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48A" w:rsidRPr="00190F5D" w:rsidRDefault="00190F5D" w:rsidP="00190F5D">
      <w:pPr>
        <w:jc w:val="center"/>
        <w:rPr>
          <w:b/>
        </w:rPr>
      </w:pPr>
      <w:r w:rsidRPr="00190F5D">
        <w:rPr>
          <w:b/>
        </w:rPr>
        <w:t>La maladie thromboembolique veineuse (MTEV)</w:t>
      </w:r>
    </w:p>
    <w:p w:rsidR="00190F5D" w:rsidRPr="00DE5511" w:rsidRDefault="00190F5D">
      <w:pPr>
        <w:rPr>
          <w:sz w:val="20"/>
          <w:szCs w:val="20"/>
        </w:rPr>
      </w:pPr>
      <w:r w:rsidRPr="00DE5511">
        <w:rPr>
          <w:b/>
          <w:sz w:val="20"/>
          <w:szCs w:val="20"/>
          <w:u w:val="single"/>
        </w:rPr>
        <w:t>Introduction</w:t>
      </w:r>
      <w:r w:rsidRPr="00DE5511">
        <w:rPr>
          <w:sz w:val="20"/>
          <w:szCs w:val="20"/>
        </w:rPr>
        <w:t> : lorsqu’on parle de thrombose veineuse profonde (TVP) ou d’embolie pulmonaire (EP), on parle au fait de la même maladie, i.e. la maladie thromboembolique veineuse (MTEV). Il n’y a quasi jamais d’EP sans TVP. Leur pathogenèse, pronostic et stratégies de traitement sont très semblables. Cette maladie est caractérisée par la présence de caillots (thrombus) dans les veines collectrices profondes (TVP) ou dans les artères pulmonaires (EP) induisant une obstruction partielle ou totale de la lumière (distinction importante en clinique).</w:t>
      </w:r>
    </w:p>
    <w:p w:rsidR="00190F5D" w:rsidRPr="00DE5511" w:rsidRDefault="00190F5D" w:rsidP="00190F5D">
      <w:pPr>
        <w:spacing w:after="0"/>
        <w:rPr>
          <w:sz w:val="20"/>
          <w:szCs w:val="20"/>
        </w:rPr>
      </w:pPr>
      <w:r w:rsidRPr="001C57F4">
        <w:rPr>
          <w:b/>
          <w:sz w:val="20"/>
          <w:szCs w:val="20"/>
        </w:rPr>
        <w:t>Facteurs de risque MTEV</w:t>
      </w:r>
      <w:r w:rsidRPr="00DE5511">
        <w:rPr>
          <w:sz w:val="20"/>
          <w:szCs w:val="20"/>
        </w:rPr>
        <w:t xml:space="preserve"> : environ 40% des TVP-EP sont idiopathiques ou 1°. Mais 60% d’entre eux peuvent souvent être associés à </w:t>
      </w:r>
      <w:r w:rsidR="0098734D" w:rsidRPr="00DE5511">
        <w:rPr>
          <w:sz w:val="20"/>
          <w:szCs w:val="20"/>
        </w:rPr>
        <w:t>un ou plusieurs</w:t>
      </w:r>
      <w:r w:rsidRPr="00DE5511">
        <w:rPr>
          <w:sz w:val="20"/>
          <w:szCs w:val="20"/>
        </w:rPr>
        <w:t xml:space="preserve"> facteurs de risques :</w:t>
      </w:r>
    </w:p>
    <w:p w:rsidR="00190F5D" w:rsidRPr="00DE5511" w:rsidRDefault="00190F5D" w:rsidP="00190F5D">
      <w:pPr>
        <w:pStyle w:val="ListParagraph"/>
        <w:numPr>
          <w:ilvl w:val="0"/>
          <w:numId w:val="1"/>
        </w:numPr>
        <w:spacing w:after="0"/>
        <w:rPr>
          <w:sz w:val="20"/>
          <w:szCs w:val="20"/>
        </w:rPr>
      </w:pPr>
      <w:r w:rsidRPr="00DE5511">
        <w:rPr>
          <w:sz w:val="20"/>
          <w:szCs w:val="20"/>
        </w:rPr>
        <w:t>Âge : incidence d’</w:t>
      </w:r>
      <w:proofErr w:type="spellStart"/>
      <w:r w:rsidRPr="00DE5511">
        <w:rPr>
          <w:sz w:val="20"/>
          <w:szCs w:val="20"/>
        </w:rPr>
        <w:t>env</w:t>
      </w:r>
      <w:proofErr w:type="spellEnd"/>
      <w:r w:rsidRPr="00DE5511">
        <w:rPr>
          <w:sz w:val="20"/>
          <w:szCs w:val="20"/>
        </w:rPr>
        <w:t xml:space="preserve"> 1/10'000 de 20 à 60 ans, d’</w:t>
      </w:r>
      <w:proofErr w:type="spellStart"/>
      <w:r w:rsidRPr="00DE5511">
        <w:rPr>
          <w:sz w:val="20"/>
          <w:szCs w:val="20"/>
        </w:rPr>
        <w:t>env</w:t>
      </w:r>
      <w:proofErr w:type="spellEnd"/>
      <w:r w:rsidRPr="00DE5511">
        <w:rPr>
          <w:sz w:val="20"/>
          <w:szCs w:val="20"/>
        </w:rPr>
        <w:t xml:space="preserve"> 1/1'000 à partir de 60 ans.</w:t>
      </w:r>
    </w:p>
    <w:p w:rsidR="00320065" w:rsidRPr="00DE5511" w:rsidRDefault="00190F5D" w:rsidP="00320065">
      <w:pPr>
        <w:pStyle w:val="ListParagraph"/>
        <w:numPr>
          <w:ilvl w:val="0"/>
          <w:numId w:val="1"/>
        </w:numPr>
        <w:rPr>
          <w:sz w:val="20"/>
          <w:szCs w:val="20"/>
        </w:rPr>
      </w:pPr>
      <w:r w:rsidRPr="00DE5511">
        <w:rPr>
          <w:sz w:val="20"/>
          <w:szCs w:val="20"/>
        </w:rPr>
        <w:t>Hypercoagulabilité :</w:t>
      </w:r>
    </w:p>
    <w:p w:rsidR="00320065" w:rsidRPr="00DE5511" w:rsidRDefault="00320065" w:rsidP="00320065">
      <w:pPr>
        <w:pStyle w:val="ListParagraph"/>
        <w:numPr>
          <w:ilvl w:val="0"/>
          <w:numId w:val="2"/>
        </w:numPr>
        <w:rPr>
          <w:sz w:val="20"/>
          <w:szCs w:val="20"/>
        </w:rPr>
      </w:pPr>
      <w:proofErr w:type="spellStart"/>
      <w:r w:rsidRPr="00DE5511">
        <w:rPr>
          <w:sz w:val="20"/>
          <w:szCs w:val="20"/>
        </w:rPr>
        <w:t>Thrombophilies</w:t>
      </w:r>
      <w:proofErr w:type="spellEnd"/>
      <w:r w:rsidRPr="00DE5511">
        <w:rPr>
          <w:sz w:val="20"/>
          <w:szCs w:val="20"/>
        </w:rPr>
        <w:t xml:space="preserve"> héréditaires : mutation de protéines C/S ou facteurs de coagulation</w:t>
      </w:r>
    </w:p>
    <w:p w:rsidR="00190F5D" w:rsidRPr="00DE5511" w:rsidRDefault="00320065" w:rsidP="00320065">
      <w:pPr>
        <w:pStyle w:val="ListParagraph"/>
        <w:numPr>
          <w:ilvl w:val="0"/>
          <w:numId w:val="2"/>
        </w:numPr>
        <w:rPr>
          <w:sz w:val="20"/>
          <w:szCs w:val="20"/>
        </w:rPr>
      </w:pPr>
      <w:r w:rsidRPr="00DE5511">
        <w:rPr>
          <w:sz w:val="20"/>
          <w:szCs w:val="20"/>
        </w:rPr>
        <w:t>Acquises : contraception orale (↑risque 2-4x), néoplasie (CA), grossesse</w:t>
      </w:r>
      <w:r w:rsidR="0098734D" w:rsidRPr="00DE5511">
        <w:rPr>
          <w:sz w:val="20"/>
          <w:szCs w:val="20"/>
        </w:rPr>
        <w:t xml:space="preserve"> (mécanisme physiologique de protection pour prévenir hémorragies à l’accouchement)</w:t>
      </w:r>
      <w:r w:rsidRPr="00DE5511">
        <w:rPr>
          <w:sz w:val="20"/>
          <w:szCs w:val="20"/>
        </w:rPr>
        <w:t xml:space="preserve">, </w:t>
      </w:r>
      <w:proofErr w:type="spellStart"/>
      <w:r w:rsidRPr="00DE5511">
        <w:rPr>
          <w:sz w:val="20"/>
          <w:szCs w:val="20"/>
        </w:rPr>
        <w:t>etc</w:t>
      </w:r>
      <w:proofErr w:type="spellEnd"/>
    </w:p>
    <w:p w:rsidR="00190F5D" w:rsidRPr="00DE5511" w:rsidRDefault="00190F5D" w:rsidP="0098734D">
      <w:pPr>
        <w:pStyle w:val="ListParagraph"/>
        <w:numPr>
          <w:ilvl w:val="0"/>
          <w:numId w:val="1"/>
        </w:numPr>
        <w:rPr>
          <w:sz w:val="20"/>
          <w:szCs w:val="20"/>
        </w:rPr>
      </w:pPr>
      <w:r w:rsidRPr="00DE5511">
        <w:rPr>
          <w:sz w:val="20"/>
          <w:szCs w:val="20"/>
        </w:rPr>
        <w:t>Stase veineuse :</w:t>
      </w:r>
      <w:r w:rsidR="0098734D" w:rsidRPr="00DE5511">
        <w:rPr>
          <w:sz w:val="20"/>
          <w:szCs w:val="20"/>
        </w:rPr>
        <w:t xml:space="preserve"> immobilité (même relative, ex long voyage assis), obésité, grossesse, compression, plâtre, etc.</w:t>
      </w:r>
    </w:p>
    <w:p w:rsidR="00190F5D" w:rsidRPr="00DE5511" w:rsidRDefault="00190F5D" w:rsidP="00190F5D">
      <w:pPr>
        <w:pStyle w:val="ListParagraph"/>
        <w:numPr>
          <w:ilvl w:val="0"/>
          <w:numId w:val="1"/>
        </w:numPr>
        <w:rPr>
          <w:sz w:val="20"/>
          <w:szCs w:val="20"/>
        </w:rPr>
      </w:pPr>
      <w:r w:rsidRPr="00DE5511">
        <w:rPr>
          <w:sz w:val="20"/>
          <w:szCs w:val="20"/>
        </w:rPr>
        <w:t>Lésion endothéliale :</w:t>
      </w:r>
      <w:r w:rsidR="0098734D" w:rsidRPr="00DE5511">
        <w:rPr>
          <w:sz w:val="20"/>
          <w:szCs w:val="20"/>
        </w:rPr>
        <w:t xml:space="preserve"> traumatismes, chirurgie, </w:t>
      </w:r>
      <w:proofErr w:type="spellStart"/>
      <w:r w:rsidR="0098734D" w:rsidRPr="00DE5511">
        <w:rPr>
          <w:sz w:val="20"/>
          <w:szCs w:val="20"/>
        </w:rPr>
        <w:t>etc</w:t>
      </w:r>
      <w:proofErr w:type="spellEnd"/>
    </w:p>
    <w:p w:rsidR="0098734D" w:rsidRPr="00DE5511" w:rsidRDefault="0098734D" w:rsidP="0098734D">
      <w:pPr>
        <w:rPr>
          <w:sz w:val="20"/>
          <w:szCs w:val="20"/>
        </w:rPr>
      </w:pPr>
      <w:r w:rsidRPr="00DE5511">
        <w:rPr>
          <w:sz w:val="20"/>
          <w:szCs w:val="20"/>
        </w:rPr>
        <w:t xml:space="preserve">Il est important de distinguer si les facteurs de risque sont transitoires ou persistants pour déterminer ensuite le </w:t>
      </w:r>
      <w:proofErr w:type="spellStart"/>
      <w:r w:rsidRPr="00DE5511">
        <w:rPr>
          <w:sz w:val="20"/>
          <w:szCs w:val="20"/>
        </w:rPr>
        <w:t>ttt</w:t>
      </w:r>
      <w:proofErr w:type="spellEnd"/>
      <w:r w:rsidRPr="00DE5511">
        <w:rPr>
          <w:sz w:val="20"/>
          <w:szCs w:val="20"/>
        </w:rPr>
        <w:t xml:space="preserve"> le plus adéquat.</w:t>
      </w:r>
    </w:p>
    <w:p w:rsidR="002546F6" w:rsidRPr="00DE5511" w:rsidRDefault="0098734D" w:rsidP="002546F6">
      <w:pPr>
        <w:rPr>
          <w:sz w:val="20"/>
          <w:szCs w:val="20"/>
        </w:rPr>
      </w:pPr>
      <w:r w:rsidRPr="00DE5511">
        <w:rPr>
          <w:b/>
          <w:sz w:val="20"/>
          <w:szCs w:val="20"/>
          <w:u w:val="single"/>
        </w:rPr>
        <w:t>TVP des membres inférieurs</w:t>
      </w:r>
      <w:r w:rsidRPr="00DE5511">
        <w:rPr>
          <w:sz w:val="20"/>
          <w:szCs w:val="20"/>
        </w:rPr>
        <w:t xml:space="preserve"> : </w:t>
      </w:r>
      <w:r w:rsidR="002546F6" w:rsidRPr="00DE5511">
        <w:rPr>
          <w:sz w:val="20"/>
          <w:szCs w:val="20"/>
        </w:rPr>
        <w:t>on distingue les TVP proximale (&gt;80% des TVP, au-dessus du genou) et distale (</w:t>
      </w:r>
      <w:r w:rsidR="006E1506">
        <w:rPr>
          <w:sz w:val="20"/>
          <w:szCs w:val="20"/>
        </w:rPr>
        <w:t>&lt;</w:t>
      </w:r>
      <w:r w:rsidR="002546F6" w:rsidRPr="00DE5511">
        <w:rPr>
          <w:sz w:val="20"/>
          <w:szCs w:val="20"/>
        </w:rPr>
        <w:t>20%, dites surales ou du mollet).</w:t>
      </w:r>
    </w:p>
    <w:p w:rsidR="007C1D1A" w:rsidRPr="00DE5511" w:rsidRDefault="007C1D1A" w:rsidP="007C1D1A">
      <w:pPr>
        <w:spacing w:after="0"/>
        <w:rPr>
          <w:sz w:val="20"/>
          <w:szCs w:val="20"/>
        </w:rPr>
      </w:pPr>
      <w:r w:rsidRPr="00DE5511">
        <w:rPr>
          <w:b/>
          <w:sz w:val="20"/>
          <w:szCs w:val="20"/>
        </w:rPr>
        <w:t>Réseau veineux</w:t>
      </w:r>
      <w:r w:rsidRPr="00DE5511">
        <w:rPr>
          <w:sz w:val="20"/>
          <w:szCs w:val="20"/>
        </w:rPr>
        <w:t> :</w:t>
      </w:r>
    </w:p>
    <w:p w:rsidR="007C1D1A" w:rsidRPr="00DE5511" w:rsidRDefault="007C1D1A" w:rsidP="007C1D1A">
      <w:pPr>
        <w:pStyle w:val="ListParagraph"/>
        <w:numPr>
          <w:ilvl w:val="0"/>
          <w:numId w:val="1"/>
        </w:numPr>
        <w:spacing w:after="0"/>
        <w:rPr>
          <w:sz w:val="20"/>
          <w:szCs w:val="20"/>
        </w:rPr>
      </w:pPr>
      <w:r w:rsidRPr="00DE5511">
        <w:rPr>
          <w:sz w:val="20"/>
          <w:szCs w:val="20"/>
        </w:rPr>
        <w:t>le système veineux profond intramusculaire (90% du retour veineux total)</w:t>
      </w:r>
    </w:p>
    <w:p w:rsidR="007C1D1A" w:rsidRPr="00DE5511" w:rsidRDefault="007C1D1A" w:rsidP="007C1D1A">
      <w:pPr>
        <w:pStyle w:val="ListParagraph"/>
        <w:numPr>
          <w:ilvl w:val="0"/>
          <w:numId w:val="1"/>
        </w:numPr>
        <w:rPr>
          <w:sz w:val="20"/>
          <w:szCs w:val="20"/>
        </w:rPr>
      </w:pPr>
      <w:r w:rsidRPr="00DE5511">
        <w:rPr>
          <w:sz w:val="20"/>
          <w:szCs w:val="20"/>
        </w:rPr>
        <w:t>Le système veineux superficiel, sous-cutané (10% du retour veineux total)</w:t>
      </w:r>
    </w:p>
    <w:p w:rsidR="0098734D" w:rsidRPr="00DE5511" w:rsidRDefault="007C1D1A" w:rsidP="007C1D1A">
      <w:pPr>
        <w:pStyle w:val="ListParagraph"/>
        <w:numPr>
          <w:ilvl w:val="0"/>
          <w:numId w:val="1"/>
        </w:numPr>
        <w:rPr>
          <w:sz w:val="20"/>
          <w:szCs w:val="20"/>
        </w:rPr>
      </w:pPr>
      <w:r w:rsidRPr="00DE5511">
        <w:rPr>
          <w:sz w:val="20"/>
          <w:szCs w:val="20"/>
        </w:rPr>
        <w:t>Nombreuses connexions entre les deux systèmes (veines perforantes)</w:t>
      </w:r>
    </w:p>
    <w:p w:rsidR="00EE7EEB" w:rsidRPr="00EE7EEB" w:rsidRDefault="00EE7EEB" w:rsidP="00EE7EEB">
      <w:pPr>
        <w:rPr>
          <w:sz w:val="20"/>
          <w:szCs w:val="20"/>
        </w:rPr>
      </w:pPr>
      <w:r w:rsidRPr="00EE7EEB">
        <w:rPr>
          <w:b/>
          <w:sz w:val="20"/>
          <w:szCs w:val="20"/>
        </w:rPr>
        <w:t xml:space="preserve">Physiopathologie : </w:t>
      </w:r>
      <w:r w:rsidRPr="00EE7EEB">
        <w:rPr>
          <w:sz w:val="20"/>
          <w:szCs w:val="20"/>
        </w:rPr>
        <w:t>le thrombus apparait dans un nid valvulaire puis s'étend en amont et surtout en aval entraînant un risque important d'EP. Ensuite, le thrombus va adhérer à la paroi et obstruer plus au moins complètement la lumière de la veine entraînant un syndrome obstructif responsable des phénomènes douloureux et des œdèmes. Le réseau veineux superficiel ainsi que le réseau lymphatique permettent de suppléer (i.e. compenser</w:t>
      </w:r>
      <w:r w:rsidR="006E1506">
        <w:rPr>
          <w:sz w:val="20"/>
          <w:szCs w:val="20"/>
        </w:rPr>
        <w:t>)</w:t>
      </w:r>
      <w:r w:rsidRPr="00EE7EEB">
        <w:rPr>
          <w:sz w:val="20"/>
          <w:szCs w:val="20"/>
        </w:rPr>
        <w:t>, du moins dans une certaine mesure.</w:t>
      </w:r>
    </w:p>
    <w:p w:rsidR="00DE5511" w:rsidRPr="00DE5511" w:rsidRDefault="00DE5511" w:rsidP="00DE5511">
      <w:pPr>
        <w:spacing w:after="0"/>
        <w:rPr>
          <w:b/>
          <w:sz w:val="20"/>
          <w:szCs w:val="20"/>
        </w:rPr>
      </w:pPr>
      <w:r w:rsidRPr="00DE5511">
        <w:rPr>
          <w:b/>
          <w:sz w:val="20"/>
          <w:szCs w:val="20"/>
        </w:rPr>
        <w:t>Diagnostic</w:t>
      </w:r>
      <w:r w:rsidR="00C2478D">
        <w:rPr>
          <w:b/>
          <w:sz w:val="20"/>
          <w:szCs w:val="20"/>
        </w:rPr>
        <w:t xml:space="preserve"> clinique </w:t>
      </w:r>
      <w:r w:rsidRPr="00DE5511">
        <w:rPr>
          <w:b/>
          <w:sz w:val="20"/>
          <w:szCs w:val="20"/>
        </w:rPr>
        <w:t>:</w:t>
      </w:r>
      <w:r>
        <w:rPr>
          <w:b/>
          <w:sz w:val="20"/>
          <w:szCs w:val="20"/>
        </w:rPr>
        <w:t xml:space="preserve"> </w:t>
      </w:r>
      <w:r w:rsidRPr="00DE5511">
        <w:rPr>
          <w:sz w:val="20"/>
          <w:szCs w:val="20"/>
        </w:rPr>
        <w:t>difficile</w:t>
      </w:r>
      <w:r w:rsidR="00C2478D">
        <w:rPr>
          <w:sz w:val="20"/>
          <w:szCs w:val="20"/>
        </w:rPr>
        <w:t xml:space="preserve"> car les signes et symptômes sont aspécifiques !</w:t>
      </w:r>
    </w:p>
    <w:p w:rsidR="00DE5511" w:rsidRPr="00DE5511" w:rsidRDefault="00DE5511" w:rsidP="00DE5511">
      <w:pPr>
        <w:pStyle w:val="ListParagraph"/>
        <w:numPr>
          <w:ilvl w:val="0"/>
          <w:numId w:val="1"/>
        </w:numPr>
        <w:spacing w:after="0"/>
        <w:rPr>
          <w:sz w:val="20"/>
          <w:szCs w:val="20"/>
        </w:rPr>
      </w:pPr>
      <w:r w:rsidRPr="00DE5511">
        <w:rPr>
          <w:sz w:val="20"/>
          <w:szCs w:val="20"/>
        </w:rPr>
        <w:t>Douleur (spontanée ou provoquée)</w:t>
      </w:r>
    </w:p>
    <w:p w:rsidR="00DE5511" w:rsidRPr="00DE5511" w:rsidRDefault="00DE5511" w:rsidP="00DE5511">
      <w:pPr>
        <w:pStyle w:val="ListParagraph"/>
        <w:numPr>
          <w:ilvl w:val="0"/>
          <w:numId w:val="1"/>
        </w:numPr>
        <w:rPr>
          <w:sz w:val="20"/>
          <w:szCs w:val="20"/>
        </w:rPr>
      </w:pPr>
      <w:r w:rsidRPr="00DE5511">
        <w:rPr>
          <w:sz w:val="20"/>
          <w:szCs w:val="20"/>
          <w:highlight w:val="yellow"/>
        </w:rPr>
        <w:t>Signe de Homans</w:t>
      </w:r>
      <w:r w:rsidRPr="00DE5511">
        <w:rPr>
          <w:sz w:val="20"/>
          <w:szCs w:val="20"/>
        </w:rPr>
        <w:t xml:space="preserve"> (douleur à la </w:t>
      </w:r>
      <w:proofErr w:type="spellStart"/>
      <w:r w:rsidRPr="00DE5511">
        <w:rPr>
          <w:sz w:val="20"/>
          <w:szCs w:val="20"/>
        </w:rPr>
        <w:t>dorsiflexion</w:t>
      </w:r>
      <w:proofErr w:type="spellEnd"/>
      <w:r w:rsidRPr="00DE5511">
        <w:rPr>
          <w:sz w:val="20"/>
          <w:szCs w:val="20"/>
        </w:rPr>
        <w:t xml:space="preserve"> du pied ou palpation du mollet)</w:t>
      </w:r>
    </w:p>
    <w:p w:rsidR="00DE5511" w:rsidRPr="00DE5511" w:rsidRDefault="00DE5511" w:rsidP="00DE5511">
      <w:pPr>
        <w:pStyle w:val="ListParagraph"/>
        <w:numPr>
          <w:ilvl w:val="0"/>
          <w:numId w:val="1"/>
        </w:numPr>
        <w:rPr>
          <w:sz w:val="20"/>
          <w:szCs w:val="20"/>
        </w:rPr>
      </w:pPr>
      <w:r w:rsidRPr="00DE5511">
        <w:rPr>
          <w:sz w:val="20"/>
          <w:szCs w:val="20"/>
        </w:rPr>
        <w:t>Œdème (le plus souvent unilatéral)</w:t>
      </w:r>
    </w:p>
    <w:p w:rsidR="00DE5511" w:rsidRPr="00DE5511" w:rsidRDefault="00DE5511" w:rsidP="00DE5511">
      <w:pPr>
        <w:pStyle w:val="ListParagraph"/>
        <w:numPr>
          <w:ilvl w:val="0"/>
          <w:numId w:val="1"/>
        </w:numPr>
        <w:rPr>
          <w:sz w:val="20"/>
          <w:szCs w:val="20"/>
        </w:rPr>
      </w:pPr>
      <w:r w:rsidRPr="00DE5511">
        <w:rPr>
          <w:sz w:val="20"/>
          <w:szCs w:val="20"/>
        </w:rPr>
        <w:t>Diminution du ballottement du mollet (</w:t>
      </w:r>
      <w:proofErr w:type="spellStart"/>
      <w:r w:rsidRPr="00DE5511">
        <w:rPr>
          <w:sz w:val="20"/>
          <w:szCs w:val="20"/>
        </w:rPr>
        <w:t>mvt</w:t>
      </w:r>
      <w:proofErr w:type="spellEnd"/>
      <w:r w:rsidRPr="00DE5511">
        <w:rPr>
          <w:sz w:val="20"/>
          <w:szCs w:val="20"/>
        </w:rPr>
        <w:t xml:space="preserve"> diminué du mollet</w:t>
      </w:r>
      <w:r>
        <w:rPr>
          <w:sz w:val="20"/>
          <w:szCs w:val="20"/>
        </w:rPr>
        <w:t xml:space="preserve"> lorsque balancé entre </w:t>
      </w:r>
      <w:r w:rsidRPr="00DE5511">
        <w:rPr>
          <w:sz w:val="20"/>
          <w:szCs w:val="20"/>
        </w:rPr>
        <w:t>mains, rigidité)</w:t>
      </w:r>
    </w:p>
    <w:p w:rsidR="00DE5511" w:rsidRPr="00DE5511" w:rsidRDefault="00DE5511" w:rsidP="00DE5511">
      <w:pPr>
        <w:pStyle w:val="ListParagraph"/>
        <w:numPr>
          <w:ilvl w:val="0"/>
          <w:numId w:val="1"/>
        </w:numPr>
        <w:rPr>
          <w:sz w:val="20"/>
          <w:szCs w:val="20"/>
        </w:rPr>
      </w:pPr>
      <w:r w:rsidRPr="00DE5511">
        <w:rPr>
          <w:sz w:val="20"/>
          <w:szCs w:val="20"/>
        </w:rPr>
        <w:t>Dilatation veineuse</w:t>
      </w:r>
    </w:p>
    <w:p w:rsidR="00DE5511" w:rsidRPr="00DE5511" w:rsidRDefault="00DE5511" w:rsidP="00DE5511">
      <w:pPr>
        <w:pStyle w:val="ListParagraph"/>
        <w:numPr>
          <w:ilvl w:val="0"/>
          <w:numId w:val="1"/>
        </w:numPr>
        <w:rPr>
          <w:sz w:val="20"/>
          <w:szCs w:val="20"/>
        </w:rPr>
      </w:pPr>
      <w:r w:rsidRPr="00DE5511">
        <w:rPr>
          <w:sz w:val="20"/>
          <w:szCs w:val="20"/>
        </w:rPr>
        <w:t>Décoloration cutanée</w:t>
      </w:r>
    </w:p>
    <w:p w:rsidR="00DE5511" w:rsidRDefault="00DE5511" w:rsidP="00DE5511">
      <w:pPr>
        <w:pStyle w:val="ListParagraph"/>
        <w:numPr>
          <w:ilvl w:val="0"/>
          <w:numId w:val="1"/>
        </w:numPr>
        <w:rPr>
          <w:sz w:val="20"/>
          <w:szCs w:val="20"/>
        </w:rPr>
      </w:pPr>
      <w:r w:rsidRPr="00DE5511">
        <w:rPr>
          <w:sz w:val="20"/>
          <w:szCs w:val="20"/>
        </w:rPr>
        <w:t>Chaleur cutanée</w:t>
      </w:r>
    </w:p>
    <w:p w:rsidR="00EE7EEB" w:rsidRDefault="00EE7EEB" w:rsidP="00EE7EEB">
      <w:pPr>
        <w:spacing w:after="0"/>
        <w:rPr>
          <w:sz w:val="20"/>
          <w:szCs w:val="20"/>
        </w:rPr>
      </w:pPr>
      <w:r w:rsidRPr="00EE7EEB">
        <w:rPr>
          <w:b/>
          <w:sz w:val="20"/>
          <w:szCs w:val="20"/>
        </w:rPr>
        <w:t xml:space="preserve">Examens </w:t>
      </w:r>
      <w:proofErr w:type="spellStart"/>
      <w:r w:rsidRPr="00EE7EEB">
        <w:rPr>
          <w:b/>
          <w:sz w:val="20"/>
          <w:szCs w:val="20"/>
        </w:rPr>
        <w:t>paracliniques</w:t>
      </w:r>
      <w:proofErr w:type="spellEnd"/>
      <w:r>
        <w:rPr>
          <w:sz w:val="20"/>
          <w:szCs w:val="20"/>
        </w:rPr>
        <w:t> :</w:t>
      </w:r>
    </w:p>
    <w:p w:rsidR="00EE7EEB" w:rsidRDefault="00EE7EEB" w:rsidP="00EE7EEB">
      <w:pPr>
        <w:pStyle w:val="ListParagraph"/>
        <w:numPr>
          <w:ilvl w:val="0"/>
          <w:numId w:val="1"/>
        </w:numPr>
        <w:spacing w:after="0"/>
        <w:rPr>
          <w:sz w:val="20"/>
          <w:szCs w:val="20"/>
        </w:rPr>
      </w:pPr>
      <w:r>
        <w:rPr>
          <w:sz w:val="20"/>
          <w:szCs w:val="20"/>
        </w:rPr>
        <w:t xml:space="preserve">Phlébographie : ne se fait plus trop, invasif, douloureux, avec produit de contraste et difficile à interpréter. </w:t>
      </w:r>
    </w:p>
    <w:p w:rsidR="00EE7EEB" w:rsidRDefault="00EE7EEB" w:rsidP="00EE7EEB">
      <w:pPr>
        <w:pStyle w:val="ListParagraph"/>
        <w:numPr>
          <w:ilvl w:val="0"/>
          <w:numId w:val="1"/>
        </w:numPr>
        <w:spacing w:after="0"/>
        <w:rPr>
          <w:sz w:val="20"/>
          <w:szCs w:val="20"/>
        </w:rPr>
      </w:pPr>
      <w:r w:rsidRPr="00EE7EEB">
        <w:rPr>
          <w:sz w:val="20"/>
          <w:szCs w:val="20"/>
        </w:rPr>
        <w:t>CT scan et IRM : promette</w:t>
      </w:r>
      <w:r>
        <w:rPr>
          <w:sz w:val="20"/>
          <w:szCs w:val="20"/>
        </w:rPr>
        <w:t>ur mais performance méconnue pour patients avec suspicion de TVP.</w:t>
      </w:r>
    </w:p>
    <w:p w:rsidR="00EE7EEB" w:rsidRPr="00EE7EEB" w:rsidRDefault="00EE7EEB" w:rsidP="00EE7EEB">
      <w:pPr>
        <w:pStyle w:val="ListParagraph"/>
        <w:numPr>
          <w:ilvl w:val="0"/>
          <w:numId w:val="1"/>
        </w:numPr>
        <w:spacing w:after="0"/>
        <w:rPr>
          <w:sz w:val="20"/>
          <w:szCs w:val="20"/>
        </w:rPr>
      </w:pPr>
      <w:r>
        <w:rPr>
          <w:sz w:val="20"/>
          <w:szCs w:val="20"/>
        </w:rPr>
        <w:t>Echographie : examen complémentaire de première intention . Critère : non compressibilité du VS</w:t>
      </w:r>
    </w:p>
    <w:p w:rsidR="00EE7EEB" w:rsidRDefault="00EE7EEB" w:rsidP="00EE7EEB">
      <w:pPr>
        <w:spacing w:after="0"/>
        <w:rPr>
          <w:b/>
          <w:sz w:val="20"/>
          <w:szCs w:val="20"/>
          <w:u w:val="single"/>
        </w:rPr>
      </w:pPr>
    </w:p>
    <w:p w:rsidR="00EE7EEB" w:rsidRPr="00EE7EEB" w:rsidRDefault="00EE7EEB" w:rsidP="00EE7EEB">
      <w:pPr>
        <w:spacing w:after="0"/>
        <w:rPr>
          <w:sz w:val="20"/>
          <w:szCs w:val="20"/>
        </w:rPr>
      </w:pPr>
      <w:r w:rsidRPr="001C57F4">
        <w:rPr>
          <w:b/>
          <w:sz w:val="20"/>
          <w:szCs w:val="20"/>
        </w:rPr>
        <w:t>Complications</w:t>
      </w:r>
      <w:r w:rsidRPr="00EE7EEB">
        <w:rPr>
          <w:sz w:val="20"/>
          <w:szCs w:val="20"/>
        </w:rPr>
        <w:t xml:space="preserve"> : </w:t>
      </w:r>
      <w:r>
        <w:rPr>
          <w:sz w:val="20"/>
          <w:szCs w:val="20"/>
        </w:rPr>
        <w:t xml:space="preserve">embolie pulmonaire </w:t>
      </w:r>
      <w:r w:rsidR="002409D9">
        <w:rPr>
          <w:sz w:val="20"/>
          <w:szCs w:val="20"/>
        </w:rPr>
        <w:t>(à court terme = 1 mois), récidive thrombotique (à moyen terme = 2-3 mois), syndrome post-thrombotique = ulcères et varices résultant de valves abîmées (à long terme).</w:t>
      </w:r>
    </w:p>
    <w:p w:rsidR="00EE7EEB" w:rsidRDefault="003210C0" w:rsidP="00EE7EEB">
      <w:pPr>
        <w:spacing w:after="0"/>
        <w:rPr>
          <w:sz w:val="20"/>
          <w:szCs w:val="20"/>
        </w:rPr>
      </w:pPr>
      <w:r w:rsidRPr="003210C0">
        <w:rPr>
          <w:b/>
          <w:sz w:val="20"/>
          <w:szCs w:val="20"/>
          <w:u w:val="single"/>
        </w:rPr>
        <w:lastRenderedPageBreak/>
        <w:t>Embolie pulmonaire</w:t>
      </w:r>
      <w:r>
        <w:rPr>
          <w:b/>
          <w:sz w:val="20"/>
          <w:szCs w:val="20"/>
        </w:rPr>
        <w:t xml:space="preserve"> : </w:t>
      </w:r>
      <w:r w:rsidR="00A533B4" w:rsidRPr="00A533B4">
        <w:rPr>
          <w:sz w:val="20"/>
          <w:szCs w:val="20"/>
        </w:rPr>
        <w:t xml:space="preserve">l'origine de ce thrombus se situe le plus souvent dans les veines des membres inférieurs, du pelvis, ou de la veine cave inférieure. Plus rarement dans les membres supérieurs (favorisés par l'utilisation de cathéters veineux centraux, de chambres implantables utilisées en chimiothérapie ou pour la nutrition </w:t>
      </w:r>
      <w:r w:rsidR="00EE7EEB">
        <w:rPr>
          <w:sz w:val="20"/>
          <w:szCs w:val="20"/>
        </w:rPr>
        <w:t>p</w:t>
      </w:r>
      <w:r w:rsidR="00A533B4" w:rsidRPr="00A533B4">
        <w:rPr>
          <w:sz w:val="20"/>
          <w:szCs w:val="20"/>
        </w:rPr>
        <w:t>arentérale) ou dans les cavités cardiaques droites.</w:t>
      </w:r>
    </w:p>
    <w:p w:rsidR="00EE7EEB" w:rsidRDefault="00EE7EEB" w:rsidP="00EE7EEB">
      <w:pPr>
        <w:spacing w:after="0"/>
        <w:rPr>
          <w:sz w:val="20"/>
          <w:szCs w:val="20"/>
        </w:rPr>
      </w:pPr>
    </w:p>
    <w:p w:rsidR="00A533B4" w:rsidRDefault="00A533B4" w:rsidP="00EE7EEB">
      <w:pPr>
        <w:spacing w:after="0"/>
        <w:rPr>
          <w:sz w:val="20"/>
          <w:szCs w:val="20"/>
        </w:rPr>
      </w:pPr>
      <w:r>
        <w:rPr>
          <w:sz w:val="20"/>
          <w:szCs w:val="20"/>
        </w:rPr>
        <w:t>L'EP est considérée comme p</w:t>
      </w:r>
      <w:r w:rsidRPr="00A533B4">
        <w:rPr>
          <w:sz w:val="20"/>
          <w:szCs w:val="20"/>
        </w:rPr>
        <w:t xml:space="preserve">ériphérique ou centrale en fonction de la localisation du thrombus et du segment </w:t>
      </w:r>
      <w:r>
        <w:rPr>
          <w:sz w:val="20"/>
          <w:szCs w:val="20"/>
        </w:rPr>
        <w:t>a</w:t>
      </w:r>
      <w:r w:rsidRPr="00A533B4">
        <w:rPr>
          <w:sz w:val="20"/>
          <w:szCs w:val="20"/>
        </w:rPr>
        <w:t>rtériel atteint</w:t>
      </w:r>
      <w:r>
        <w:rPr>
          <w:sz w:val="20"/>
          <w:szCs w:val="20"/>
        </w:rPr>
        <w:t xml:space="preserve">. Elle est dite massive </w:t>
      </w:r>
      <w:r w:rsidRPr="00A533B4">
        <w:rPr>
          <w:sz w:val="20"/>
          <w:szCs w:val="20"/>
        </w:rPr>
        <w:t xml:space="preserve">si les 2 artères pulmonaires sont touchées par la thrombose ou si il y a un </w:t>
      </w:r>
      <w:r>
        <w:rPr>
          <w:sz w:val="20"/>
          <w:szCs w:val="20"/>
        </w:rPr>
        <w:t>c</w:t>
      </w:r>
      <w:r w:rsidRPr="00A533B4">
        <w:rPr>
          <w:sz w:val="20"/>
          <w:szCs w:val="20"/>
        </w:rPr>
        <w:t>ompromis</w:t>
      </w:r>
      <w:r w:rsidR="001F163D">
        <w:rPr>
          <w:sz w:val="20"/>
          <w:szCs w:val="20"/>
        </w:rPr>
        <w:t xml:space="preserve"> hémodynamique important</w:t>
      </w:r>
      <w:r>
        <w:rPr>
          <w:sz w:val="20"/>
          <w:szCs w:val="20"/>
        </w:rPr>
        <w:t>.</w:t>
      </w:r>
    </w:p>
    <w:p w:rsidR="00EE7EEB" w:rsidRDefault="00EE7EEB" w:rsidP="00C72FE9">
      <w:pPr>
        <w:spacing w:after="0"/>
        <w:rPr>
          <w:b/>
          <w:sz w:val="20"/>
          <w:szCs w:val="20"/>
        </w:rPr>
      </w:pPr>
    </w:p>
    <w:p w:rsidR="003C27DA" w:rsidRDefault="003C27DA" w:rsidP="00C72FE9">
      <w:pPr>
        <w:spacing w:after="0"/>
        <w:rPr>
          <w:sz w:val="20"/>
          <w:szCs w:val="20"/>
        </w:rPr>
      </w:pPr>
      <w:r w:rsidRPr="003C27DA">
        <w:rPr>
          <w:b/>
          <w:sz w:val="20"/>
          <w:szCs w:val="20"/>
        </w:rPr>
        <w:t>Physiopathologie</w:t>
      </w:r>
      <w:r w:rsidR="006E1506">
        <w:rPr>
          <w:b/>
          <w:sz w:val="20"/>
          <w:szCs w:val="20"/>
        </w:rPr>
        <w:t xml:space="preserve"> d’une EP massive</w:t>
      </w:r>
      <w:r>
        <w:rPr>
          <w:sz w:val="20"/>
          <w:szCs w:val="20"/>
        </w:rPr>
        <w:t> :</w:t>
      </w:r>
    </w:p>
    <w:p w:rsidR="00A06E13" w:rsidRDefault="00A06E13" w:rsidP="00C72FE9">
      <w:pPr>
        <w:pStyle w:val="ListParagraph"/>
        <w:numPr>
          <w:ilvl w:val="0"/>
          <w:numId w:val="1"/>
        </w:numPr>
        <w:spacing w:after="0"/>
        <w:rPr>
          <w:sz w:val="20"/>
          <w:szCs w:val="20"/>
        </w:rPr>
      </w:pPr>
      <w:r w:rsidRPr="00A06E13">
        <w:rPr>
          <w:sz w:val="20"/>
          <w:szCs w:val="20"/>
          <w:highlight w:val="yellow"/>
        </w:rPr>
        <w:t>Retentissement hémodynamique</w:t>
      </w:r>
      <w:r w:rsidRPr="00A06E13">
        <w:rPr>
          <w:sz w:val="20"/>
          <w:szCs w:val="20"/>
        </w:rPr>
        <w:t xml:space="preserve"> : tachycardie, signes de choc, collapsus avec chute de TA. Déterminé par l’importance de l’obstruction artérielle pulmonaire et l’état cardiaque et respiratoire antérieur du patient. L’EP induit une augmentation abrupte de la résistance vasculaire</w:t>
      </w:r>
      <w:r w:rsidR="001F163D">
        <w:rPr>
          <w:sz w:val="20"/>
          <w:szCs w:val="20"/>
        </w:rPr>
        <w:t xml:space="preserve"> (i.e. vasoconstriction)</w:t>
      </w:r>
      <w:r w:rsidRPr="00A06E13">
        <w:rPr>
          <w:sz w:val="20"/>
          <w:szCs w:val="20"/>
        </w:rPr>
        <w:t xml:space="preserve"> pulmonaire </w:t>
      </w:r>
      <w:r>
        <w:rPr>
          <w:sz w:val="20"/>
          <w:szCs w:val="20"/>
        </w:rPr>
        <w:t xml:space="preserve">en réponse </w:t>
      </w:r>
      <w:r w:rsidRPr="00A06E13">
        <w:rPr>
          <w:sz w:val="20"/>
          <w:szCs w:val="20"/>
        </w:rPr>
        <w:t xml:space="preserve">à l’obstruction vasculaire et à la sécrétion de sérotonine </w:t>
      </w:r>
      <w:r w:rsidR="00714966">
        <w:rPr>
          <w:sz w:val="20"/>
          <w:szCs w:val="20"/>
        </w:rPr>
        <w:t>par le plaquettes.</w:t>
      </w:r>
    </w:p>
    <w:p w:rsidR="00714966" w:rsidRDefault="00714966" w:rsidP="00A06E13">
      <w:pPr>
        <w:pStyle w:val="ListParagraph"/>
        <w:numPr>
          <w:ilvl w:val="0"/>
          <w:numId w:val="1"/>
        </w:numPr>
        <w:rPr>
          <w:sz w:val="20"/>
          <w:szCs w:val="20"/>
        </w:rPr>
      </w:pPr>
      <w:r w:rsidRPr="00714966">
        <w:rPr>
          <w:sz w:val="20"/>
          <w:szCs w:val="20"/>
          <w:highlight w:val="yellow"/>
        </w:rPr>
        <w:t>Retentissement respiratoire</w:t>
      </w:r>
      <w:r>
        <w:rPr>
          <w:sz w:val="20"/>
          <w:szCs w:val="20"/>
        </w:rPr>
        <w:t> </w:t>
      </w:r>
      <w:r w:rsidR="00451071">
        <w:rPr>
          <w:sz w:val="20"/>
          <w:szCs w:val="20"/>
        </w:rPr>
        <w:t xml:space="preserve">avec perturbation des échanges gazeux </w:t>
      </w:r>
      <w:r>
        <w:rPr>
          <w:sz w:val="20"/>
          <w:szCs w:val="20"/>
        </w:rPr>
        <w:t xml:space="preserve">: </w:t>
      </w:r>
      <w:r w:rsidR="00451071">
        <w:rPr>
          <w:sz w:val="20"/>
          <w:szCs w:val="20"/>
        </w:rPr>
        <w:t>hypoxémie (toujours), hyperventilation, augmentation de l’espace mort alvéolaire.</w:t>
      </w:r>
    </w:p>
    <w:p w:rsidR="00451071" w:rsidRDefault="00451071" w:rsidP="00C4534F">
      <w:pPr>
        <w:spacing w:after="0"/>
        <w:rPr>
          <w:sz w:val="20"/>
          <w:szCs w:val="20"/>
        </w:rPr>
      </w:pPr>
      <w:r w:rsidRPr="00451071">
        <w:rPr>
          <w:b/>
          <w:sz w:val="20"/>
          <w:szCs w:val="20"/>
        </w:rPr>
        <w:t>Diagnostic</w:t>
      </w:r>
      <w:r w:rsidRPr="00EE7EEB">
        <w:rPr>
          <w:b/>
          <w:sz w:val="20"/>
          <w:szCs w:val="20"/>
        </w:rPr>
        <w:t> </w:t>
      </w:r>
      <w:r w:rsidR="00EE7EEB" w:rsidRPr="00EE7EEB">
        <w:rPr>
          <w:b/>
          <w:sz w:val="20"/>
          <w:szCs w:val="20"/>
        </w:rPr>
        <w:t>clinique</w:t>
      </w:r>
      <w:r w:rsidR="00EE7EEB">
        <w:rPr>
          <w:sz w:val="20"/>
          <w:szCs w:val="20"/>
        </w:rPr>
        <w:t xml:space="preserve"> </w:t>
      </w:r>
      <w:r>
        <w:rPr>
          <w:sz w:val="20"/>
          <w:szCs w:val="20"/>
        </w:rPr>
        <w:t>: l</w:t>
      </w:r>
      <w:r w:rsidRPr="00451071">
        <w:rPr>
          <w:sz w:val="20"/>
          <w:szCs w:val="20"/>
        </w:rPr>
        <w:t xml:space="preserve">a présentation clinique de l'embolie pulmonaire peut aller de l'absence de symptôme au choc hémodynamique. Les conséquences cliniques d’une EP sont le plus souvent proportionnelles à l’importance du </w:t>
      </w:r>
      <w:r>
        <w:rPr>
          <w:sz w:val="20"/>
          <w:szCs w:val="20"/>
        </w:rPr>
        <w:t>t</w:t>
      </w:r>
      <w:r w:rsidRPr="00451071">
        <w:rPr>
          <w:sz w:val="20"/>
          <w:szCs w:val="20"/>
        </w:rPr>
        <w:t>erritoire vasculaire amputé.</w:t>
      </w:r>
    </w:p>
    <w:p w:rsidR="001D3E8A" w:rsidRDefault="001D3E8A" w:rsidP="00C4534F">
      <w:pPr>
        <w:pStyle w:val="ListParagraph"/>
        <w:numPr>
          <w:ilvl w:val="0"/>
          <w:numId w:val="1"/>
        </w:numPr>
        <w:spacing w:after="0"/>
        <w:rPr>
          <w:sz w:val="20"/>
          <w:szCs w:val="20"/>
        </w:rPr>
      </w:pPr>
      <w:r>
        <w:rPr>
          <w:sz w:val="20"/>
          <w:szCs w:val="20"/>
        </w:rPr>
        <w:t>Centrale : dyspnée, syncope, hypotension</w:t>
      </w:r>
      <w:r w:rsidR="00F43764">
        <w:rPr>
          <w:sz w:val="20"/>
          <w:szCs w:val="20"/>
        </w:rPr>
        <w:t xml:space="preserve"> systémique (résulte d’une HTA pulmonaire</w:t>
      </w:r>
      <w:r>
        <w:rPr>
          <w:sz w:val="20"/>
          <w:szCs w:val="20"/>
        </w:rPr>
        <w:t>, cyanose</w:t>
      </w:r>
    </w:p>
    <w:p w:rsidR="001D3E8A" w:rsidRDefault="001D3E8A" w:rsidP="001D3E8A">
      <w:pPr>
        <w:pStyle w:val="ListParagraph"/>
        <w:numPr>
          <w:ilvl w:val="0"/>
          <w:numId w:val="1"/>
        </w:numPr>
        <w:rPr>
          <w:sz w:val="20"/>
          <w:szCs w:val="20"/>
        </w:rPr>
      </w:pPr>
      <w:r>
        <w:rPr>
          <w:sz w:val="20"/>
          <w:szCs w:val="20"/>
        </w:rPr>
        <w:t>Périphérique : douleur pleurale, toux, hémoptysie, symptômes souvent vague</w:t>
      </w:r>
      <w:r w:rsidR="00F43764">
        <w:rPr>
          <w:sz w:val="20"/>
          <w:szCs w:val="20"/>
        </w:rPr>
        <w:t>s</w:t>
      </w:r>
      <w:r>
        <w:rPr>
          <w:sz w:val="20"/>
          <w:szCs w:val="20"/>
        </w:rPr>
        <w:t xml:space="preserve"> voire absente</w:t>
      </w:r>
      <w:r w:rsidR="00F43764">
        <w:rPr>
          <w:sz w:val="20"/>
          <w:szCs w:val="20"/>
        </w:rPr>
        <w:t>s</w:t>
      </w:r>
      <w:r>
        <w:rPr>
          <w:sz w:val="20"/>
          <w:szCs w:val="20"/>
        </w:rPr>
        <w:t>.</w:t>
      </w:r>
    </w:p>
    <w:p w:rsidR="00EE7EEB" w:rsidRDefault="00EE7EEB" w:rsidP="00EE7EEB">
      <w:pPr>
        <w:spacing w:after="0"/>
        <w:rPr>
          <w:sz w:val="20"/>
          <w:szCs w:val="20"/>
        </w:rPr>
      </w:pPr>
      <w:r w:rsidRPr="00EE7EEB">
        <w:rPr>
          <w:b/>
          <w:sz w:val="20"/>
          <w:szCs w:val="20"/>
        </w:rPr>
        <w:t xml:space="preserve">Examens </w:t>
      </w:r>
      <w:proofErr w:type="spellStart"/>
      <w:r w:rsidRPr="00EE7EEB">
        <w:rPr>
          <w:b/>
          <w:sz w:val="20"/>
          <w:szCs w:val="20"/>
        </w:rPr>
        <w:t>paracliniques</w:t>
      </w:r>
      <w:proofErr w:type="spellEnd"/>
      <w:r>
        <w:rPr>
          <w:sz w:val="20"/>
          <w:szCs w:val="20"/>
        </w:rPr>
        <w:t> :</w:t>
      </w:r>
    </w:p>
    <w:p w:rsidR="00EE7EEB" w:rsidRDefault="00EE7EEB" w:rsidP="00EE7EEB">
      <w:pPr>
        <w:pStyle w:val="ListParagraph"/>
        <w:numPr>
          <w:ilvl w:val="0"/>
          <w:numId w:val="1"/>
        </w:numPr>
        <w:spacing w:after="0"/>
        <w:rPr>
          <w:sz w:val="20"/>
          <w:szCs w:val="20"/>
        </w:rPr>
      </w:pPr>
      <w:r>
        <w:rPr>
          <w:sz w:val="20"/>
          <w:szCs w:val="20"/>
        </w:rPr>
        <w:t>Radiographie pulmonaire : non spécifique, souvent normale (25%)</w:t>
      </w:r>
    </w:p>
    <w:p w:rsidR="00EE7EEB" w:rsidRDefault="00EE7EEB" w:rsidP="00EE7EEB">
      <w:pPr>
        <w:pStyle w:val="ListParagraph"/>
        <w:numPr>
          <w:ilvl w:val="0"/>
          <w:numId w:val="1"/>
        </w:numPr>
        <w:spacing w:after="0"/>
        <w:rPr>
          <w:sz w:val="20"/>
          <w:szCs w:val="20"/>
        </w:rPr>
      </w:pPr>
      <w:r>
        <w:rPr>
          <w:sz w:val="20"/>
          <w:szCs w:val="20"/>
        </w:rPr>
        <w:t>Gazométrie : indiquera normalement l’hypoxie</w:t>
      </w:r>
    </w:p>
    <w:p w:rsidR="00EE7EEB" w:rsidRDefault="00EE7EEB" w:rsidP="00EE7EEB">
      <w:pPr>
        <w:pStyle w:val="ListParagraph"/>
        <w:numPr>
          <w:ilvl w:val="0"/>
          <w:numId w:val="1"/>
        </w:numPr>
        <w:spacing w:after="0"/>
        <w:rPr>
          <w:sz w:val="20"/>
          <w:szCs w:val="20"/>
        </w:rPr>
      </w:pPr>
      <w:r>
        <w:rPr>
          <w:sz w:val="20"/>
          <w:szCs w:val="20"/>
        </w:rPr>
        <w:t>ECG : peut être normale (40% des cas si EP massive) mais permet souvent de dépister anomalies</w:t>
      </w:r>
    </w:p>
    <w:p w:rsidR="006C7306" w:rsidRDefault="00EE7EEB" w:rsidP="006C7306">
      <w:pPr>
        <w:pStyle w:val="ListParagraph"/>
        <w:numPr>
          <w:ilvl w:val="0"/>
          <w:numId w:val="1"/>
        </w:numPr>
        <w:spacing w:after="0"/>
        <w:rPr>
          <w:sz w:val="20"/>
          <w:szCs w:val="20"/>
        </w:rPr>
      </w:pPr>
      <w:r>
        <w:rPr>
          <w:sz w:val="20"/>
          <w:szCs w:val="20"/>
        </w:rPr>
        <w:t xml:space="preserve">Artériographie : </w:t>
      </w:r>
      <w:r w:rsidR="006C7306">
        <w:rPr>
          <w:sz w:val="20"/>
          <w:szCs w:val="20"/>
        </w:rPr>
        <w:t>technique de référence mais moins précise qu’on ne le croi</w:t>
      </w:r>
      <w:r w:rsidR="00F43764">
        <w:rPr>
          <w:sz w:val="20"/>
          <w:szCs w:val="20"/>
        </w:rPr>
        <w:t>e</w:t>
      </w:r>
      <w:r w:rsidR="006C7306">
        <w:rPr>
          <w:sz w:val="20"/>
          <w:szCs w:val="20"/>
        </w:rPr>
        <w:t>. Grande variabilité diagnostique intra et inter opérateur pour EP sous-segmentaires. Risques de complications graves.</w:t>
      </w:r>
    </w:p>
    <w:p w:rsidR="006C7306" w:rsidRDefault="006C7306" w:rsidP="006C7306">
      <w:pPr>
        <w:pStyle w:val="ListParagraph"/>
        <w:numPr>
          <w:ilvl w:val="0"/>
          <w:numId w:val="1"/>
        </w:numPr>
        <w:spacing w:after="0"/>
        <w:rPr>
          <w:sz w:val="20"/>
          <w:szCs w:val="20"/>
        </w:rPr>
      </w:pPr>
      <w:r>
        <w:rPr>
          <w:sz w:val="20"/>
          <w:szCs w:val="20"/>
        </w:rPr>
        <w:t>Scintigraphie : permet de comparer perfusion et ventilation du poumon. Mais interprétation difficile chez patients avec BPCO.</w:t>
      </w:r>
    </w:p>
    <w:p w:rsidR="006C7306" w:rsidRPr="006C7306" w:rsidRDefault="006C7306" w:rsidP="006C7306">
      <w:pPr>
        <w:pStyle w:val="ListParagraph"/>
        <w:numPr>
          <w:ilvl w:val="0"/>
          <w:numId w:val="1"/>
        </w:numPr>
        <w:spacing w:after="0"/>
        <w:rPr>
          <w:sz w:val="20"/>
          <w:szCs w:val="20"/>
        </w:rPr>
      </w:pPr>
      <w:proofErr w:type="spellStart"/>
      <w:r>
        <w:rPr>
          <w:sz w:val="20"/>
          <w:szCs w:val="20"/>
        </w:rPr>
        <w:t>Angio</w:t>
      </w:r>
      <w:proofErr w:type="spellEnd"/>
      <w:r>
        <w:rPr>
          <w:sz w:val="20"/>
          <w:szCs w:val="20"/>
        </w:rPr>
        <w:t>-CT : en train de remplacer scintigraphie. Permet de faire d’autres diagnostics (ex pneumonie) et de visualiser directement les emboles. Haute exactitude en cas d’embole de grande taille.</w:t>
      </w:r>
      <w:r w:rsidR="00547CEB">
        <w:rPr>
          <w:sz w:val="20"/>
          <w:szCs w:val="20"/>
        </w:rPr>
        <w:t xml:space="preserve"> Inconvénients sont les produits de contraste, irradiation et impossibilité d’exclure un EP lors de résultats normaux.</w:t>
      </w:r>
    </w:p>
    <w:p w:rsidR="00EE7EEB" w:rsidRDefault="00EE7EEB" w:rsidP="001C57F4">
      <w:pPr>
        <w:spacing w:after="0"/>
        <w:rPr>
          <w:sz w:val="20"/>
          <w:szCs w:val="20"/>
        </w:rPr>
      </w:pPr>
    </w:p>
    <w:p w:rsidR="001C57F4" w:rsidRPr="00EE7EEB" w:rsidRDefault="001C57F4" w:rsidP="001C57F4">
      <w:pPr>
        <w:spacing w:after="0"/>
        <w:rPr>
          <w:sz w:val="20"/>
          <w:szCs w:val="20"/>
        </w:rPr>
      </w:pPr>
      <w:r w:rsidRPr="001C57F4">
        <w:rPr>
          <w:b/>
          <w:sz w:val="20"/>
          <w:szCs w:val="20"/>
        </w:rPr>
        <w:t>Complications</w:t>
      </w:r>
      <w:r>
        <w:rPr>
          <w:sz w:val="20"/>
          <w:szCs w:val="20"/>
        </w:rPr>
        <w:t> : défaillance du ventricule droit, hypertension pulmonaire, œdème pulmonaire…</w:t>
      </w:r>
    </w:p>
    <w:p w:rsidR="001C57F4" w:rsidRDefault="001C57F4" w:rsidP="00EE7EEB">
      <w:pPr>
        <w:spacing w:after="0"/>
        <w:rPr>
          <w:b/>
          <w:sz w:val="20"/>
          <w:szCs w:val="20"/>
          <w:u w:val="single"/>
        </w:rPr>
      </w:pPr>
    </w:p>
    <w:p w:rsidR="00321842" w:rsidRDefault="00C4534F" w:rsidP="00EE7EEB">
      <w:pPr>
        <w:spacing w:after="0"/>
        <w:rPr>
          <w:sz w:val="20"/>
          <w:szCs w:val="20"/>
        </w:rPr>
      </w:pPr>
      <w:r w:rsidRPr="00C4534F">
        <w:rPr>
          <w:b/>
          <w:sz w:val="20"/>
          <w:szCs w:val="20"/>
          <w:u w:val="single"/>
        </w:rPr>
        <w:t>Probabilité clinique</w:t>
      </w:r>
      <w:r>
        <w:rPr>
          <w:sz w:val="20"/>
          <w:szCs w:val="20"/>
        </w:rPr>
        <w:t> : l</w:t>
      </w:r>
      <w:r w:rsidRPr="00C4534F">
        <w:rPr>
          <w:sz w:val="20"/>
          <w:szCs w:val="20"/>
        </w:rPr>
        <w:t>’examen clinique à lui seul ne permet pas de poser le diagnostic de TVP-EP. Toutefois, l’examen clinique et l’anamnèse jouent un rôle dans la détermination de la probabilité clinique</w:t>
      </w:r>
      <w:r>
        <w:rPr>
          <w:sz w:val="20"/>
          <w:szCs w:val="20"/>
        </w:rPr>
        <w:t xml:space="preserve">. On utilise un système de points (score de Wells ou de Genève) prenant en compte des différents facteurs de risque et </w:t>
      </w:r>
      <w:r w:rsidR="00AC1E95">
        <w:rPr>
          <w:sz w:val="20"/>
          <w:szCs w:val="20"/>
        </w:rPr>
        <w:t xml:space="preserve">de </w:t>
      </w:r>
      <w:r>
        <w:rPr>
          <w:sz w:val="20"/>
          <w:szCs w:val="20"/>
        </w:rPr>
        <w:t xml:space="preserve">protection. Une échelle </w:t>
      </w:r>
      <w:r w:rsidR="00321842">
        <w:rPr>
          <w:sz w:val="20"/>
          <w:szCs w:val="20"/>
        </w:rPr>
        <w:t>nous indique à quel type de risque correspond le total de points pour un patient donné.  Si le risque est…</w:t>
      </w:r>
    </w:p>
    <w:p w:rsidR="00321842" w:rsidRDefault="00321842" w:rsidP="00EE7EEB">
      <w:pPr>
        <w:pStyle w:val="ListParagraph"/>
        <w:numPr>
          <w:ilvl w:val="0"/>
          <w:numId w:val="1"/>
        </w:numPr>
        <w:spacing w:after="0"/>
        <w:rPr>
          <w:sz w:val="20"/>
          <w:szCs w:val="20"/>
        </w:rPr>
      </w:pPr>
      <w:r>
        <w:rPr>
          <w:sz w:val="20"/>
          <w:szCs w:val="20"/>
        </w:rPr>
        <w:t>Élevé : faire de l’imagerie tout de suite</w:t>
      </w:r>
    </w:p>
    <w:p w:rsidR="00BE5672" w:rsidRDefault="00321842" w:rsidP="00BE5672">
      <w:pPr>
        <w:pStyle w:val="ListParagraph"/>
        <w:numPr>
          <w:ilvl w:val="0"/>
          <w:numId w:val="1"/>
        </w:numPr>
        <w:rPr>
          <w:sz w:val="20"/>
          <w:szCs w:val="20"/>
        </w:rPr>
      </w:pPr>
      <w:r>
        <w:rPr>
          <w:sz w:val="20"/>
          <w:szCs w:val="20"/>
        </w:rPr>
        <w:t>Faible ou modéré : faire un dosage de D-dimères</w:t>
      </w:r>
      <w:r w:rsidR="00985301">
        <w:rPr>
          <w:sz w:val="20"/>
          <w:szCs w:val="20"/>
        </w:rPr>
        <w:t xml:space="preserve"> (pr</w:t>
      </w:r>
      <w:r w:rsidR="00EE7EEB">
        <w:rPr>
          <w:sz w:val="20"/>
          <w:szCs w:val="20"/>
        </w:rPr>
        <w:t>oduit de dégradation de fibrine, via plasmine)</w:t>
      </w:r>
      <w:r>
        <w:rPr>
          <w:sz w:val="20"/>
          <w:szCs w:val="20"/>
        </w:rPr>
        <w:t>. S</w:t>
      </w:r>
      <w:r w:rsidR="00985301">
        <w:rPr>
          <w:sz w:val="20"/>
          <w:szCs w:val="20"/>
        </w:rPr>
        <w:t xml:space="preserve">’ils sont positifs (&gt; valeur seuil) faire imagerie. S’ils sont </w:t>
      </w:r>
      <w:r w:rsidR="00F43764">
        <w:rPr>
          <w:sz w:val="20"/>
          <w:szCs w:val="20"/>
        </w:rPr>
        <w:t>néga</w:t>
      </w:r>
      <w:r w:rsidR="00985301">
        <w:rPr>
          <w:sz w:val="20"/>
          <w:szCs w:val="20"/>
        </w:rPr>
        <w:t>tifs on exclut avec certitude un TVP-EP car le test a une valeur prédictive très haute.</w:t>
      </w:r>
    </w:p>
    <w:p w:rsidR="00BE5672" w:rsidRDefault="00BE5672">
      <w:pPr>
        <w:rPr>
          <w:sz w:val="20"/>
          <w:szCs w:val="20"/>
        </w:rPr>
      </w:pPr>
      <w:r>
        <w:rPr>
          <w:sz w:val="20"/>
          <w:szCs w:val="20"/>
        </w:rPr>
        <w:br w:type="page"/>
      </w:r>
    </w:p>
    <w:p w:rsidR="00BE5672" w:rsidRPr="00BE5672" w:rsidRDefault="00BE5672" w:rsidP="00BE5672">
      <w:pPr>
        <w:jc w:val="center"/>
        <w:rPr>
          <w:b/>
          <w:szCs w:val="20"/>
        </w:rPr>
      </w:pPr>
      <w:r w:rsidRPr="00BE5672">
        <w:rPr>
          <w:b/>
          <w:szCs w:val="20"/>
        </w:rPr>
        <w:lastRenderedPageBreak/>
        <w:t>Traitement et prévention de la MTEV</w:t>
      </w:r>
    </w:p>
    <w:p w:rsidR="00BE5672" w:rsidRDefault="00BE5672" w:rsidP="00BE5672">
      <w:pPr>
        <w:spacing w:after="0"/>
        <w:rPr>
          <w:sz w:val="20"/>
          <w:szCs w:val="20"/>
        </w:rPr>
      </w:pPr>
      <w:r w:rsidRPr="00BE5672">
        <w:rPr>
          <w:b/>
          <w:sz w:val="20"/>
          <w:szCs w:val="20"/>
          <w:u w:val="single"/>
        </w:rPr>
        <w:t>Introduction</w:t>
      </w:r>
      <w:r>
        <w:rPr>
          <w:sz w:val="20"/>
          <w:szCs w:val="20"/>
        </w:rPr>
        <w:t> : le traitement d’une TVP/EP est une urgence médicale. Une MTEV non traitée peut avoir des répercussions importantes :</w:t>
      </w:r>
    </w:p>
    <w:p w:rsidR="00BE5672" w:rsidRDefault="00382DC2" w:rsidP="00BE5672">
      <w:pPr>
        <w:pStyle w:val="ListParagraph"/>
        <w:numPr>
          <w:ilvl w:val="0"/>
          <w:numId w:val="1"/>
        </w:numPr>
        <w:spacing w:after="0"/>
        <w:rPr>
          <w:sz w:val="20"/>
          <w:szCs w:val="20"/>
        </w:rPr>
      </w:pPr>
      <w:r>
        <w:rPr>
          <w:sz w:val="20"/>
          <w:szCs w:val="20"/>
        </w:rPr>
        <w:t>TVP distale isolée : 33% f</w:t>
      </w:r>
      <w:r w:rsidR="00BE5672">
        <w:rPr>
          <w:sz w:val="20"/>
          <w:szCs w:val="20"/>
        </w:rPr>
        <w:t>ont extension proximale</w:t>
      </w:r>
    </w:p>
    <w:p w:rsidR="00BE5672" w:rsidRDefault="00382DC2" w:rsidP="00BE5672">
      <w:pPr>
        <w:pStyle w:val="ListParagraph"/>
        <w:numPr>
          <w:ilvl w:val="0"/>
          <w:numId w:val="1"/>
        </w:numPr>
        <w:rPr>
          <w:sz w:val="20"/>
          <w:szCs w:val="20"/>
        </w:rPr>
      </w:pPr>
      <w:r>
        <w:rPr>
          <w:sz w:val="20"/>
          <w:szCs w:val="20"/>
        </w:rPr>
        <w:t>TVP proximale : 50% f</w:t>
      </w:r>
      <w:r w:rsidR="00BE5672">
        <w:rPr>
          <w:sz w:val="20"/>
          <w:szCs w:val="20"/>
        </w:rPr>
        <w:t>ont EP symptomatique au bout de 3 mois</w:t>
      </w:r>
    </w:p>
    <w:p w:rsidR="00BE5672" w:rsidRDefault="00BE5672" w:rsidP="00BE5672">
      <w:pPr>
        <w:pStyle w:val="ListParagraph"/>
        <w:numPr>
          <w:ilvl w:val="0"/>
          <w:numId w:val="1"/>
        </w:numPr>
        <w:rPr>
          <w:sz w:val="20"/>
          <w:szCs w:val="20"/>
        </w:rPr>
      </w:pPr>
      <w:r>
        <w:rPr>
          <w:sz w:val="20"/>
          <w:szCs w:val="20"/>
        </w:rPr>
        <w:t>EP : 26% de récidive fatale en 2 semaines, 26% de récidive non fatale</w:t>
      </w:r>
    </w:p>
    <w:p w:rsidR="00BE5672" w:rsidRDefault="00BE5672" w:rsidP="00BE5672">
      <w:pPr>
        <w:rPr>
          <w:sz w:val="20"/>
          <w:szCs w:val="20"/>
        </w:rPr>
      </w:pPr>
      <w:r w:rsidRPr="00BE5672">
        <w:rPr>
          <w:b/>
          <w:sz w:val="20"/>
          <w:szCs w:val="20"/>
          <w:u w:val="single"/>
        </w:rPr>
        <w:t>Traitements</w:t>
      </w:r>
      <w:r>
        <w:rPr>
          <w:sz w:val="20"/>
          <w:szCs w:val="20"/>
        </w:rPr>
        <w:t> :</w:t>
      </w:r>
    </w:p>
    <w:p w:rsidR="00BE5672" w:rsidRPr="00C3242D" w:rsidRDefault="00BE5672" w:rsidP="00C3242D">
      <w:pPr>
        <w:rPr>
          <w:sz w:val="20"/>
          <w:szCs w:val="20"/>
        </w:rPr>
      </w:pPr>
      <w:r w:rsidRPr="00382DC2">
        <w:rPr>
          <w:b/>
          <w:sz w:val="20"/>
          <w:szCs w:val="20"/>
        </w:rPr>
        <w:t>Prise en charge non pharmacologique</w:t>
      </w:r>
      <w:r w:rsidR="00C3242D" w:rsidRPr="00382DC2">
        <w:rPr>
          <w:b/>
          <w:sz w:val="20"/>
          <w:szCs w:val="20"/>
        </w:rPr>
        <w:t xml:space="preserve"> de la TVP</w:t>
      </w:r>
      <w:r w:rsidR="00D0557F">
        <w:rPr>
          <w:sz w:val="20"/>
          <w:szCs w:val="20"/>
        </w:rPr>
        <w:t> (</w:t>
      </w:r>
      <w:proofErr w:type="spellStart"/>
      <w:r w:rsidR="00D0557F">
        <w:rPr>
          <w:sz w:val="20"/>
          <w:szCs w:val="20"/>
        </w:rPr>
        <w:t>ttt</w:t>
      </w:r>
      <w:proofErr w:type="spellEnd"/>
      <w:r w:rsidR="00D0557F">
        <w:rPr>
          <w:sz w:val="20"/>
          <w:szCs w:val="20"/>
        </w:rPr>
        <w:t xml:space="preserve"> en ambulatoire) : on conseille vivement au patient de marcher, ne pas rester couché. Surélévation des membres inférieurs lors du repos pour aider le retour veineux. Bas de compression après un épisode de TVP proximale pendant minimum 6 mois (réduit de 50% risques de syndrome post thrombotique). Les hospitalisations pour TVP sont rares, uniquement lorsqu’elle est massive et que les œdèmes induisent une ischémie par compression sévère des artères.</w:t>
      </w:r>
    </w:p>
    <w:p w:rsidR="00C3242D" w:rsidRDefault="00C3242D" w:rsidP="00D0557F">
      <w:pPr>
        <w:spacing w:after="0"/>
        <w:rPr>
          <w:sz w:val="20"/>
          <w:szCs w:val="20"/>
        </w:rPr>
      </w:pPr>
      <w:r w:rsidRPr="00382DC2">
        <w:rPr>
          <w:b/>
          <w:sz w:val="20"/>
          <w:szCs w:val="20"/>
        </w:rPr>
        <w:t>Traitement pharmacologique</w:t>
      </w:r>
      <w:r w:rsidR="007F6C2B">
        <w:rPr>
          <w:b/>
          <w:sz w:val="20"/>
          <w:szCs w:val="20"/>
        </w:rPr>
        <w:t xml:space="preserve"> de la MTEV</w:t>
      </w:r>
      <w:r>
        <w:rPr>
          <w:sz w:val="20"/>
          <w:szCs w:val="20"/>
        </w:rPr>
        <w:t> :</w:t>
      </w:r>
    </w:p>
    <w:p w:rsidR="005C30A6" w:rsidRDefault="005C30A6" w:rsidP="005C30A6">
      <w:pPr>
        <w:pStyle w:val="ListParagraph"/>
        <w:numPr>
          <w:ilvl w:val="0"/>
          <w:numId w:val="1"/>
        </w:numPr>
        <w:spacing w:after="0"/>
        <w:rPr>
          <w:sz w:val="20"/>
          <w:szCs w:val="20"/>
        </w:rPr>
      </w:pPr>
      <w:r>
        <w:rPr>
          <w:sz w:val="20"/>
          <w:szCs w:val="20"/>
        </w:rPr>
        <w:t>Traitement initial (</w:t>
      </w:r>
      <w:r w:rsidR="00D96A0A">
        <w:rPr>
          <w:sz w:val="20"/>
          <w:szCs w:val="20"/>
        </w:rPr>
        <w:t xml:space="preserve">au moins 5 jours </w:t>
      </w:r>
      <w:r w:rsidR="007F6C2B">
        <w:rPr>
          <w:sz w:val="20"/>
          <w:szCs w:val="20"/>
        </w:rPr>
        <w:t>-</w:t>
      </w:r>
      <w:r>
        <w:rPr>
          <w:sz w:val="20"/>
          <w:szCs w:val="20"/>
        </w:rPr>
        <w:t xml:space="preserve"> </w:t>
      </w:r>
      <w:r w:rsidR="00D96A0A">
        <w:rPr>
          <w:sz w:val="20"/>
          <w:szCs w:val="20"/>
        </w:rPr>
        <w:t xml:space="preserve">minimise le risque d’extension) : </w:t>
      </w:r>
      <w:r>
        <w:rPr>
          <w:sz w:val="20"/>
          <w:szCs w:val="20"/>
        </w:rPr>
        <w:t xml:space="preserve">héparines </w:t>
      </w:r>
      <w:r w:rsidR="00D96A0A">
        <w:rPr>
          <w:sz w:val="20"/>
          <w:szCs w:val="20"/>
        </w:rPr>
        <w:t>NF/</w:t>
      </w:r>
      <w:r>
        <w:rPr>
          <w:sz w:val="20"/>
          <w:szCs w:val="20"/>
        </w:rPr>
        <w:t xml:space="preserve">LMWH et </w:t>
      </w:r>
      <w:proofErr w:type="spellStart"/>
      <w:r>
        <w:rPr>
          <w:sz w:val="20"/>
          <w:szCs w:val="20"/>
        </w:rPr>
        <w:t>fondaparinux</w:t>
      </w:r>
      <w:proofErr w:type="spellEnd"/>
      <w:r>
        <w:rPr>
          <w:sz w:val="20"/>
          <w:szCs w:val="20"/>
        </w:rPr>
        <w:t xml:space="preserve">. </w:t>
      </w:r>
      <w:r w:rsidR="007F6C2B">
        <w:rPr>
          <w:sz w:val="20"/>
          <w:szCs w:val="20"/>
        </w:rPr>
        <w:t>Administrés par voie parentérale (iv/sous-</w:t>
      </w:r>
      <w:proofErr w:type="spellStart"/>
      <w:r w:rsidR="007F6C2B">
        <w:rPr>
          <w:sz w:val="20"/>
          <w:szCs w:val="20"/>
        </w:rPr>
        <w:t>cut</w:t>
      </w:r>
      <w:proofErr w:type="spellEnd"/>
      <w:r w:rsidR="007F6C2B">
        <w:rPr>
          <w:sz w:val="20"/>
          <w:szCs w:val="20"/>
        </w:rPr>
        <w:t xml:space="preserve">). Ont un délai d’action très rapide. </w:t>
      </w:r>
      <w:r>
        <w:rPr>
          <w:sz w:val="20"/>
          <w:szCs w:val="20"/>
        </w:rPr>
        <w:t xml:space="preserve">Peuvent tous être administrés si insuffisance hépatique modérée. Mais en cas d’insuffisance rénale </w:t>
      </w:r>
      <w:r w:rsidR="00D96A0A">
        <w:rPr>
          <w:sz w:val="20"/>
          <w:szCs w:val="20"/>
        </w:rPr>
        <w:t xml:space="preserve">sévère le </w:t>
      </w:r>
      <w:proofErr w:type="spellStart"/>
      <w:r w:rsidR="00D96A0A">
        <w:rPr>
          <w:sz w:val="20"/>
          <w:szCs w:val="20"/>
        </w:rPr>
        <w:t>fondaparinux</w:t>
      </w:r>
      <w:proofErr w:type="spellEnd"/>
      <w:r w:rsidR="00D96A0A">
        <w:rPr>
          <w:sz w:val="20"/>
          <w:szCs w:val="20"/>
        </w:rPr>
        <w:t xml:space="preserve"> est proscrit (car métabolisme rénal), LMWH est déconseillé, l’héparine non fractionnée en revanche</w:t>
      </w:r>
      <w:r w:rsidR="007F6C2B">
        <w:rPr>
          <w:sz w:val="20"/>
          <w:szCs w:val="20"/>
        </w:rPr>
        <w:t xml:space="preserve"> ne pose pas de problème</w:t>
      </w:r>
      <w:r w:rsidR="00D96A0A">
        <w:rPr>
          <w:sz w:val="20"/>
          <w:szCs w:val="20"/>
        </w:rPr>
        <w:t>.</w:t>
      </w:r>
    </w:p>
    <w:p w:rsidR="00240A04" w:rsidRPr="00C24116" w:rsidRDefault="00240A04" w:rsidP="00240A04">
      <w:pPr>
        <w:pStyle w:val="ListParagraph"/>
        <w:spacing w:after="0"/>
        <w:rPr>
          <w:sz w:val="20"/>
          <w:szCs w:val="20"/>
        </w:rPr>
      </w:pPr>
    </w:p>
    <w:p w:rsidR="00C24116" w:rsidRDefault="007F6C2B" w:rsidP="00C24116">
      <w:pPr>
        <w:pStyle w:val="ListParagraph"/>
        <w:numPr>
          <w:ilvl w:val="0"/>
          <w:numId w:val="1"/>
        </w:numPr>
        <w:rPr>
          <w:sz w:val="20"/>
          <w:szCs w:val="20"/>
        </w:rPr>
      </w:pPr>
      <w:r>
        <w:rPr>
          <w:sz w:val="20"/>
          <w:szCs w:val="20"/>
        </w:rPr>
        <w:t xml:space="preserve">Traitement intermédiaire (à partir de 5-7 jours </w:t>
      </w:r>
      <w:r w:rsidR="00240A04">
        <w:rPr>
          <w:sz w:val="20"/>
          <w:szCs w:val="20"/>
        </w:rPr>
        <w:t xml:space="preserve">et pendant </w:t>
      </w:r>
      <w:r w:rsidR="00C053E0">
        <w:rPr>
          <w:sz w:val="20"/>
          <w:szCs w:val="20"/>
        </w:rPr>
        <w:t>minimum</w:t>
      </w:r>
      <w:r w:rsidR="00240A04">
        <w:rPr>
          <w:sz w:val="20"/>
          <w:szCs w:val="20"/>
        </w:rPr>
        <w:t xml:space="preserve"> 3 mois</w:t>
      </w:r>
      <w:r>
        <w:rPr>
          <w:sz w:val="20"/>
          <w:szCs w:val="20"/>
        </w:rPr>
        <w:t xml:space="preserve">- </w:t>
      </w:r>
      <w:r w:rsidR="00C053E0">
        <w:rPr>
          <w:sz w:val="20"/>
          <w:szCs w:val="20"/>
        </w:rPr>
        <w:t>↓</w:t>
      </w:r>
      <w:r>
        <w:rPr>
          <w:sz w:val="20"/>
          <w:szCs w:val="20"/>
        </w:rPr>
        <w:t>risque de récidive) : a</w:t>
      </w:r>
      <w:r w:rsidR="00C3242D">
        <w:rPr>
          <w:sz w:val="20"/>
          <w:szCs w:val="20"/>
        </w:rPr>
        <w:t>nti-vitamines K</w:t>
      </w:r>
      <w:r w:rsidR="00240A04">
        <w:rPr>
          <w:sz w:val="20"/>
          <w:szCs w:val="20"/>
        </w:rPr>
        <w:t xml:space="preserve">, </w:t>
      </w:r>
      <w:r>
        <w:rPr>
          <w:sz w:val="20"/>
          <w:szCs w:val="20"/>
        </w:rPr>
        <w:t xml:space="preserve">ex </w:t>
      </w:r>
      <w:proofErr w:type="spellStart"/>
      <w:r>
        <w:rPr>
          <w:sz w:val="20"/>
          <w:szCs w:val="20"/>
        </w:rPr>
        <w:t>warfarine</w:t>
      </w:r>
      <w:proofErr w:type="spellEnd"/>
      <w:r>
        <w:rPr>
          <w:sz w:val="20"/>
          <w:szCs w:val="20"/>
        </w:rPr>
        <w:t>. Administrés par voie orale</w:t>
      </w:r>
      <w:r w:rsidR="00C053E0">
        <w:rPr>
          <w:sz w:val="20"/>
          <w:szCs w:val="20"/>
        </w:rPr>
        <w:t>, ont une marge thérapeutique étroite et interagissent facilement avec médicaments/aliments</w:t>
      </w:r>
      <w:r>
        <w:rPr>
          <w:sz w:val="20"/>
          <w:szCs w:val="20"/>
        </w:rPr>
        <w:t>. Ont un délai d’action retardé donc donnés en même temps que l’héparine/</w:t>
      </w:r>
      <w:proofErr w:type="spellStart"/>
      <w:r>
        <w:rPr>
          <w:sz w:val="20"/>
          <w:szCs w:val="20"/>
        </w:rPr>
        <w:t>fondaparinux</w:t>
      </w:r>
      <w:proofErr w:type="spellEnd"/>
      <w:r>
        <w:rPr>
          <w:sz w:val="20"/>
          <w:szCs w:val="20"/>
        </w:rPr>
        <w:t xml:space="preserve"> ; on arrête le </w:t>
      </w:r>
      <w:proofErr w:type="spellStart"/>
      <w:r>
        <w:rPr>
          <w:sz w:val="20"/>
          <w:szCs w:val="20"/>
        </w:rPr>
        <w:t>t</w:t>
      </w:r>
      <w:r w:rsidR="00C053E0">
        <w:rPr>
          <w:sz w:val="20"/>
          <w:szCs w:val="20"/>
        </w:rPr>
        <w:t>tt</w:t>
      </w:r>
      <w:proofErr w:type="spellEnd"/>
      <w:r>
        <w:rPr>
          <w:sz w:val="20"/>
          <w:szCs w:val="20"/>
        </w:rPr>
        <w:t xml:space="preserve"> initial une fois que l’anti-</w:t>
      </w:r>
      <w:proofErr w:type="spellStart"/>
      <w:r>
        <w:rPr>
          <w:sz w:val="20"/>
          <w:szCs w:val="20"/>
        </w:rPr>
        <w:t>VitK</w:t>
      </w:r>
      <w:proofErr w:type="spellEnd"/>
      <w:r>
        <w:rPr>
          <w:sz w:val="20"/>
          <w:szCs w:val="20"/>
        </w:rPr>
        <w:t xml:space="preserve"> prend effet.</w:t>
      </w:r>
    </w:p>
    <w:p w:rsidR="00C24116" w:rsidRDefault="00C24116" w:rsidP="00C24116">
      <w:pPr>
        <w:pStyle w:val="ListParagraph"/>
        <w:rPr>
          <w:sz w:val="20"/>
          <w:szCs w:val="20"/>
        </w:rPr>
      </w:pPr>
    </w:p>
    <w:p w:rsidR="00C24116" w:rsidRDefault="00C24116" w:rsidP="00C24116">
      <w:pPr>
        <w:pStyle w:val="ListParagraph"/>
        <w:rPr>
          <w:sz w:val="20"/>
          <w:szCs w:val="20"/>
        </w:rPr>
      </w:pPr>
      <w:r>
        <w:rPr>
          <w:sz w:val="20"/>
          <w:szCs w:val="20"/>
        </w:rPr>
        <w:t xml:space="preserve">Surveillance biologique </w:t>
      </w:r>
      <w:r w:rsidRPr="00C24116">
        <w:rPr>
          <w:sz w:val="20"/>
          <w:szCs w:val="20"/>
        </w:rPr>
        <w:t>de l’efficacité d’un traitement anticoagulant oral</w:t>
      </w:r>
      <w:r>
        <w:rPr>
          <w:sz w:val="20"/>
          <w:szCs w:val="20"/>
        </w:rPr>
        <w:t> :</w:t>
      </w:r>
    </w:p>
    <w:p w:rsidR="00C24116" w:rsidRPr="00C24116" w:rsidRDefault="00C24116" w:rsidP="00C24116">
      <w:pPr>
        <w:pStyle w:val="ListParagraph"/>
        <w:numPr>
          <w:ilvl w:val="0"/>
          <w:numId w:val="4"/>
        </w:numPr>
        <w:rPr>
          <w:sz w:val="20"/>
          <w:szCs w:val="20"/>
        </w:rPr>
      </w:pPr>
      <w:r w:rsidRPr="00C24116">
        <w:rPr>
          <w:sz w:val="20"/>
          <w:szCs w:val="20"/>
        </w:rPr>
        <w:t>Temps de quick</w:t>
      </w:r>
      <w:r w:rsidR="007E606A" w:rsidRPr="007E606A">
        <w:rPr>
          <w:sz w:val="20"/>
          <w:szCs w:val="20"/>
        </w:rPr>
        <w:t xml:space="preserve"> </w:t>
      </w:r>
      <w:r w:rsidR="007E606A">
        <w:rPr>
          <w:sz w:val="20"/>
          <w:szCs w:val="20"/>
        </w:rPr>
        <w:t>(</w:t>
      </w:r>
      <w:r w:rsidR="007E606A" w:rsidRPr="00C24116">
        <w:rPr>
          <w:sz w:val="20"/>
          <w:szCs w:val="20"/>
        </w:rPr>
        <w:t>TQ</w:t>
      </w:r>
      <w:r w:rsidR="007E606A">
        <w:rPr>
          <w:sz w:val="20"/>
          <w:szCs w:val="20"/>
        </w:rPr>
        <w:t xml:space="preserve">) </w:t>
      </w:r>
      <w:r w:rsidRPr="00C24116">
        <w:rPr>
          <w:sz w:val="20"/>
          <w:szCs w:val="20"/>
        </w:rPr>
        <w:t>:</w:t>
      </w:r>
      <w:r w:rsidRPr="00C24116">
        <w:t xml:space="preserve"> </w:t>
      </w:r>
      <w:r w:rsidRPr="00C24116">
        <w:rPr>
          <w:sz w:val="20"/>
          <w:szCs w:val="20"/>
        </w:rPr>
        <w:t xml:space="preserve">de la thromboplastine est ajoutée au sang afin d’activer la coagulation. Un caillot sanguin se forme alors. Le temps nécessaire à la formation de ce </w:t>
      </w:r>
      <w:r>
        <w:rPr>
          <w:sz w:val="20"/>
          <w:szCs w:val="20"/>
        </w:rPr>
        <w:t>c</w:t>
      </w:r>
      <w:r w:rsidRPr="00C24116">
        <w:rPr>
          <w:sz w:val="20"/>
          <w:szCs w:val="20"/>
        </w:rPr>
        <w:t>aillot est mesuré en secondes.</w:t>
      </w:r>
      <w:r w:rsidR="007E606A">
        <w:rPr>
          <w:sz w:val="20"/>
          <w:szCs w:val="20"/>
        </w:rPr>
        <w:t xml:space="preserve"> On parle parfois de temps de prothrombine (TP), calculé à partir du TQ.</w:t>
      </w:r>
    </w:p>
    <w:p w:rsidR="00037051" w:rsidRDefault="00C24116" w:rsidP="00C24116">
      <w:pPr>
        <w:pStyle w:val="ListParagraph"/>
        <w:numPr>
          <w:ilvl w:val="0"/>
          <w:numId w:val="4"/>
        </w:numPr>
        <w:rPr>
          <w:sz w:val="20"/>
          <w:szCs w:val="20"/>
        </w:rPr>
      </w:pPr>
      <w:r w:rsidRPr="00C24116">
        <w:rPr>
          <w:sz w:val="20"/>
          <w:szCs w:val="20"/>
        </w:rPr>
        <w:t xml:space="preserve">International </w:t>
      </w:r>
      <w:proofErr w:type="spellStart"/>
      <w:r w:rsidRPr="00C24116">
        <w:rPr>
          <w:sz w:val="20"/>
          <w:szCs w:val="20"/>
        </w:rPr>
        <w:t>Normalised</w:t>
      </w:r>
      <w:proofErr w:type="spellEnd"/>
      <w:r w:rsidRPr="00C24116">
        <w:rPr>
          <w:sz w:val="20"/>
          <w:szCs w:val="20"/>
        </w:rPr>
        <w:t xml:space="preserve"> Ratio (INR) :</w:t>
      </w:r>
      <w:r w:rsidRPr="00C24116">
        <w:t xml:space="preserve"> </w:t>
      </w:r>
      <w:r w:rsidRPr="00C24116">
        <w:rPr>
          <w:sz w:val="20"/>
          <w:szCs w:val="20"/>
        </w:rPr>
        <w:t>“c</w:t>
      </w:r>
      <w:r w:rsidR="00135F5B">
        <w:rPr>
          <w:sz w:val="20"/>
          <w:szCs w:val="20"/>
        </w:rPr>
        <w:t>orrection” mathématique du TP</w:t>
      </w:r>
      <w:r w:rsidRPr="00C24116">
        <w:rPr>
          <w:sz w:val="20"/>
          <w:szCs w:val="20"/>
        </w:rPr>
        <w:t xml:space="preserve"> pour les différences de sensibilité des thromboplastines. Il permet de comparer les résultats entre les labos et de standardiser les TP</w:t>
      </w:r>
      <w:r>
        <w:rPr>
          <w:sz w:val="20"/>
          <w:szCs w:val="20"/>
        </w:rPr>
        <w:t>.</w:t>
      </w:r>
      <w:r w:rsidR="00037051">
        <w:rPr>
          <w:sz w:val="20"/>
          <w:szCs w:val="20"/>
        </w:rPr>
        <w:t xml:space="preserve"> </w:t>
      </w:r>
      <w:r w:rsidR="00037051" w:rsidRPr="00037051">
        <w:rPr>
          <w:sz w:val="20"/>
          <w:szCs w:val="20"/>
        </w:rPr>
        <w:t>Sa</w:t>
      </w:r>
      <w:r w:rsidR="00037051">
        <w:rPr>
          <w:sz w:val="20"/>
          <w:szCs w:val="20"/>
        </w:rPr>
        <w:t xml:space="preserve"> valeur devrait idéalement se situer entre 2 et 3 (&lt;2 = risque de thrombose, &gt;3 = risque d’hémorragie). Le traitement initial prend fin après 2 INR efficaces à </w:t>
      </w:r>
      <m:oMath>
        <m:r>
          <w:rPr>
            <w:rFonts w:ascii="Cambria Math" w:hAnsi="Cambria Math"/>
            <w:sz w:val="20"/>
            <w:szCs w:val="20"/>
          </w:rPr>
          <m:t>≥</m:t>
        </m:r>
      </m:oMath>
      <w:r w:rsidR="00037051">
        <w:rPr>
          <w:rFonts w:eastAsiaTheme="minorEastAsia"/>
          <w:sz w:val="20"/>
          <w:szCs w:val="20"/>
        </w:rPr>
        <w:t>24h d’intervalle.</w:t>
      </w:r>
    </w:p>
    <w:p w:rsidR="00037051" w:rsidRDefault="00037051" w:rsidP="00037051">
      <w:pPr>
        <w:pStyle w:val="ListParagraph"/>
        <w:ind w:left="1440"/>
        <w:rPr>
          <w:sz w:val="20"/>
          <w:szCs w:val="20"/>
        </w:rPr>
      </w:pPr>
    </w:p>
    <w:p w:rsidR="00C24116" w:rsidRPr="00037051" w:rsidRDefault="00135F5B" w:rsidP="00037051">
      <w:pPr>
        <w:pStyle w:val="ListParagraph"/>
        <w:ind w:left="1440"/>
        <w:rPr>
          <w:sz w:val="20"/>
          <w:szCs w:val="20"/>
        </w:rPr>
      </w:pPr>
      <m:oMathPara>
        <m:oMath>
          <m:r>
            <m:rPr>
              <m:sty m:val="p"/>
            </m:rPr>
            <w:rPr>
              <w:rFonts w:ascii="Cambria Math" w:hAnsi="Cambria Math"/>
              <w:sz w:val="20"/>
              <w:szCs w:val="20"/>
            </w:rPr>
            <m:t>INR=</m:t>
          </m:r>
          <m:sSup>
            <m:sSupPr>
              <m:ctrlPr>
                <w:rPr>
                  <w:rFonts w:ascii="Cambria Math" w:hAnsi="Cambria Math"/>
                  <w:sz w:val="20"/>
                  <w:szCs w:val="20"/>
                </w:rPr>
              </m:ctrlPr>
            </m:sSupPr>
            <m:e>
              <m:r>
                <m:rPr>
                  <m:sty m:val="p"/>
                </m:rPr>
                <w:rPr>
                  <w:rFonts w:ascii="Cambria Math" w:hAnsi="Cambria Math"/>
                  <w:sz w:val="20"/>
                  <w:szCs w:val="20"/>
                </w:rPr>
                <m:t xml:space="preserve">( </m:t>
              </m:r>
              <m:f>
                <m:fPr>
                  <m:ctrlPr>
                    <w:rPr>
                      <w:rFonts w:ascii="Cambria Math" w:hAnsi="Cambria Math"/>
                      <w:sz w:val="20"/>
                      <w:szCs w:val="20"/>
                    </w:rPr>
                  </m:ctrlPr>
                </m:fPr>
                <m:num>
                  <m:r>
                    <m:rPr>
                      <m:sty m:val="p"/>
                    </m:rPr>
                    <w:rPr>
                      <w:rFonts w:ascii="Cambria Math" w:hAnsi="Cambria Math"/>
                      <w:sz w:val="20"/>
                      <w:szCs w:val="20"/>
                    </w:rPr>
                    <m:t>TP patient en sec</m:t>
                  </m:r>
                </m:num>
                <m:den>
                  <m:r>
                    <m:rPr>
                      <m:sty m:val="p"/>
                    </m:rPr>
                    <w:rPr>
                      <w:rFonts w:ascii="Cambria Math" w:hAnsi="Cambria Math"/>
                      <w:sz w:val="20"/>
                      <w:szCs w:val="20"/>
                    </w:rPr>
                    <m:t>TP moyen en sec</m:t>
                  </m:r>
                </m:den>
              </m:f>
              <m:r>
                <m:rPr>
                  <m:sty m:val="p"/>
                </m:rPr>
                <w:rPr>
                  <w:rFonts w:ascii="Cambria Math" w:hAnsi="Cambria Math"/>
                  <w:sz w:val="20"/>
                  <w:szCs w:val="20"/>
                </w:rPr>
                <m:t xml:space="preserve"> )</m:t>
              </m:r>
            </m:e>
            <m:sup>
              <m:r>
                <m:rPr>
                  <m:sty m:val="p"/>
                </m:rPr>
                <w:rPr>
                  <w:rFonts w:ascii="Cambria Math" w:hAnsi="Cambria Math"/>
                  <w:sz w:val="20"/>
                  <w:szCs w:val="20"/>
                </w:rPr>
                <m:t>ISI=international sensitivity index</m:t>
              </m:r>
            </m:sup>
          </m:sSup>
        </m:oMath>
      </m:oMathPara>
    </w:p>
    <w:p w:rsidR="00240A04" w:rsidRDefault="00C05F61" w:rsidP="00C05F61">
      <w:pPr>
        <w:spacing w:after="0"/>
        <w:rPr>
          <w:sz w:val="20"/>
          <w:szCs w:val="20"/>
        </w:rPr>
      </w:pPr>
      <w:r w:rsidRPr="00C05F61">
        <w:rPr>
          <w:b/>
          <w:sz w:val="20"/>
          <w:szCs w:val="20"/>
        </w:rPr>
        <w:t xml:space="preserve">Important </w:t>
      </w:r>
      <w:r w:rsidR="00C053E0">
        <w:rPr>
          <w:b/>
          <w:sz w:val="20"/>
          <w:szCs w:val="20"/>
        </w:rPr>
        <w:t>que le patient soit bien informé sur</w:t>
      </w:r>
      <w:r>
        <w:rPr>
          <w:sz w:val="20"/>
          <w:szCs w:val="20"/>
        </w:rPr>
        <w:t>…</w:t>
      </w:r>
    </w:p>
    <w:p w:rsidR="00C05F61" w:rsidRPr="00C05F61" w:rsidRDefault="00C05F61" w:rsidP="00C05F61">
      <w:pPr>
        <w:pStyle w:val="ListParagraph"/>
        <w:numPr>
          <w:ilvl w:val="0"/>
          <w:numId w:val="1"/>
        </w:numPr>
        <w:spacing w:after="0"/>
        <w:rPr>
          <w:sz w:val="20"/>
          <w:szCs w:val="20"/>
        </w:rPr>
      </w:pPr>
      <w:r w:rsidRPr="00C05F61">
        <w:rPr>
          <w:sz w:val="20"/>
          <w:szCs w:val="20"/>
        </w:rPr>
        <w:t xml:space="preserve">L'indication pour laquelle ce tt lui a été prescrit </w:t>
      </w:r>
    </w:p>
    <w:p w:rsidR="00C05F61" w:rsidRPr="00C05F61" w:rsidRDefault="00C05F61" w:rsidP="00C05F61">
      <w:pPr>
        <w:pStyle w:val="ListParagraph"/>
        <w:numPr>
          <w:ilvl w:val="0"/>
          <w:numId w:val="1"/>
        </w:numPr>
        <w:rPr>
          <w:sz w:val="20"/>
          <w:szCs w:val="20"/>
        </w:rPr>
      </w:pPr>
      <w:r w:rsidRPr="00C05F61">
        <w:rPr>
          <w:sz w:val="20"/>
          <w:szCs w:val="20"/>
        </w:rPr>
        <w:t>L'INR cible</w:t>
      </w:r>
      <w:r>
        <w:rPr>
          <w:sz w:val="20"/>
          <w:szCs w:val="20"/>
        </w:rPr>
        <w:t xml:space="preserve"> (2-3)</w:t>
      </w:r>
    </w:p>
    <w:p w:rsidR="00C05F61" w:rsidRPr="00C05F61" w:rsidRDefault="00C05F61" w:rsidP="00C05F61">
      <w:pPr>
        <w:pStyle w:val="ListParagraph"/>
        <w:numPr>
          <w:ilvl w:val="0"/>
          <w:numId w:val="1"/>
        </w:numPr>
        <w:rPr>
          <w:sz w:val="20"/>
          <w:szCs w:val="20"/>
        </w:rPr>
      </w:pPr>
      <w:r w:rsidRPr="00C05F61">
        <w:rPr>
          <w:sz w:val="20"/>
          <w:szCs w:val="20"/>
        </w:rPr>
        <w:t xml:space="preserve">Les risques hémorragiques et thrombotiques liés au </w:t>
      </w:r>
      <w:r>
        <w:rPr>
          <w:sz w:val="20"/>
          <w:szCs w:val="20"/>
        </w:rPr>
        <w:t>traitement : même avec un INR de 2-3, il y a 2-3% de risque de faire une hémorragie spontanée majeure (ex cérébrale).</w:t>
      </w:r>
    </w:p>
    <w:p w:rsidR="00C05F61" w:rsidRPr="00C05F61" w:rsidRDefault="00C05F61" w:rsidP="00C05F61">
      <w:pPr>
        <w:pStyle w:val="ListParagraph"/>
        <w:numPr>
          <w:ilvl w:val="0"/>
          <w:numId w:val="1"/>
        </w:numPr>
        <w:rPr>
          <w:sz w:val="20"/>
          <w:szCs w:val="20"/>
        </w:rPr>
      </w:pPr>
      <w:r w:rsidRPr="00C05F61">
        <w:rPr>
          <w:sz w:val="20"/>
          <w:szCs w:val="20"/>
        </w:rPr>
        <w:t>Le risque lié à l'automédication</w:t>
      </w:r>
    </w:p>
    <w:p w:rsidR="00C05F61" w:rsidRPr="00C05F61" w:rsidRDefault="00C05F61" w:rsidP="00C05F61">
      <w:pPr>
        <w:pStyle w:val="ListParagraph"/>
        <w:numPr>
          <w:ilvl w:val="0"/>
          <w:numId w:val="1"/>
        </w:numPr>
        <w:rPr>
          <w:sz w:val="20"/>
          <w:szCs w:val="20"/>
        </w:rPr>
      </w:pPr>
      <w:r w:rsidRPr="00C05F61">
        <w:rPr>
          <w:sz w:val="20"/>
          <w:szCs w:val="20"/>
        </w:rPr>
        <w:t>Les int</w:t>
      </w:r>
      <w:r>
        <w:rPr>
          <w:sz w:val="20"/>
          <w:szCs w:val="20"/>
        </w:rPr>
        <w:t>e</w:t>
      </w:r>
      <w:r w:rsidRPr="00C05F61">
        <w:rPr>
          <w:sz w:val="20"/>
          <w:szCs w:val="20"/>
        </w:rPr>
        <w:t>ractions</w:t>
      </w:r>
    </w:p>
    <w:p w:rsidR="00C05F61" w:rsidRPr="00C05F61" w:rsidRDefault="00C05F61" w:rsidP="00C05F61">
      <w:pPr>
        <w:pStyle w:val="ListParagraph"/>
        <w:numPr>
          <w:ilvl w:val="0"/>
          <w:numId w:val="1"/>
        </w:numPr>
        <w:rPr>
          <w:sz w:val="20"/>
          <w:szCs w:val="20"/>
        </w:rPr>
      </w:pPr>
      <w:r w:rsidRPr="00C05F61">
        <w:rPr>
          <w:sz w:val="20"/>
          <w:szCs w:val="20"/>
        </w:rPr>
        <w:t>Les signes annonciateurs d'un surdosage</w:t>
      </w:r>
    </w:p>
    <w:p w:rsidR="00C05F61" w:rsidRPr="00C05F61" w:rsidRDefault="00C05F61" w:rsidP="00C05F61">
      <w:pPr>
        <w:pStyle w:val="ListParagraph"/>
        <w:numPr>
          <w:ilvl w:val="0"/>
          <w:numId w:val="1"/>
        </w:numPr>
        <w:rPr>
          <w:sz w:val="20"/>
          <w:szCs w:val="20"/>
        </w:rPr>
      </w:pPr>
      <w:r w:rsidRPr="00C05F61">
        <w:rPr>
          <w:sz w:val="20"/>
          <w:szCs w:val="20"/>
        </w:rPr>
        <w:t>L’importance de la surveillance de l’INR</w:t>
      </w:r>
    </w:p>
    <w:p w:rsidR="00C05F61" w:rsidRDefault="00C05F61" w:rsidP="00C05F61">
      <w:pPr>
        <w:pStyle w:val="ListParagraph"/>
        <w:numPr>
          <w:ilvl w:val="0"/>
          <w:numId w:val="1"/>
        </w:numPr>
        <w:rPr>
          <w:sz w:val="20"/>
          <w:szCs w:val="20"/>
        </w:rPr>
      </w:pPr>
      <w:r w:rsidRPr="00C05F61">
        <w:rPr>
          <w:sz w:val="20"/>
          <w:szCs w:val="20"/>
        </w:rPr>
        <w:t>Le carnet d’</w:t>
      </w:r>
      <w:proofErr w:type="spellStart"/>
      <w:r w:rsidRPr="00C05F61">
        <w:rPr>
          <w:sz w:val="20"/>
          <w:szCs w:val="20"/>
        </w:rPr>
        <w:t>anticoagulation</w:t>
      </w:r>
      <w:proofErr w:type="spellEnd"/>
    </w:p>
    <w:p w:rsidR="00C053E0" w:rsidRDefault="00C053E0">
      <w:pPr>
        <w:rPr>
          <w:sz w:val="20"/>
          <w:szCs w:val="20"/>
        </w:rPr>
      </w:pPr>
      <w:r>
        <w:rPr>
          <w:sz w:val="20"/>
          <w:szCs w:val="20"/>
        </w:rPr>
        <w:br w:type="page"/>
      </w:r>
    </w:p>
    <w:p w:rsidR="00C05F61" w:rsidRDefault="00C05F61" w:rsidP="00C05F61">
      <w:pPr>
        <w:rPr>
          <w:sz w:val="20"/>
          <w:szCs w:val="20"/>
        </w:rPr>
      </w:pPr>
      <w:r>
        <w:rPr>
          <w:sz w:val="20"/>
          <w:szCs w:val="20"/>
        </w:rPr>
        <w:lastRenderedPageBreak/>
        <w:t xml:space="preserve">Pour n’importe quel traitement il faut peser les risques et les bénéfices. </w:t>
      </w:r>
      <w:r w:rsidR="00C053E0">
        <w:rPr>
          <w:sz w:val="20"/>
          <w:szCs w:val="20"/>
        </w:rPr>
        <w:t>Si cela s’avère nécessaire, il est possible de continuer le traitement d’anti-</w:t>
      </w:r>
      <w:proofErr w:type="spellStart"/>
      <w:r w:rsidR="00C053E0">
        <w:rPr>
          <w:sz w:val="20"/>
          <w:szCs w:val="20"/>
        </w:rPr>
        <w:t>VitK</w:t>
      </w:r>
      <w:proofErr w:type="spellEnd"/>
      <w:r w:rsidR="00C053E0">
        <w:rPr>
          <w:sz w:val="20"/>
          <w:szCs w:val="20"/>
        </w:rPr>
        <w:t xml:space="preserve"> (on parle alors de phase chronique du traitement). </w:t>
      </w:r>
      <w:r>
        <w:rPr>
          <w:sz w:val="20"/>
          <w:szCs w:val="20"/>
        </w:rPr>
        <w:t xml:space="preserve">Retenir </w:t>
      </w:r>
      <w:r w:rsidR="007E606A">
        <w:rPr>
          <w:sz w:val="20"/>
          <w:szCs w:val="20"/>
        </w:rPr>
        <w:t>qu’une EP idiopathique présente</w:t>
      </w:r>
      <w:r>
        <w:rPr>
          <w:sz w:val="20"/>
          <w:szCs w:val="20"/>
        </w:rPr>
        <w:t xml:space="preserve"> de très hauts risques de récidive. Une EP 2° à un facteur de risque transitoire a moins de chances de récidiver qu’une EP 2° à un facteur de risque permanent. Les médecins sont conseillés de voir les patients ayant eu un</w:t>
      </w:r>
      <w:r w:rsidR="00C053E0">
        <w:rPr>
          <w:sz w:val="20"/>
          <w:szCs w:val="20"/>
        </w:rPr>
        <w:t>e</w:t>
      </w:r>
      <w:r>
        <w:rPr>
          <w:sz w:val="20"/>
          <w:szCs w:val="20"/>
        </w:rPr>
        <w:t xml:space="preserve"> MTEV au moins une fois par an, de remettre chaque fois en question si on veut poursuivre le traitement ou pas.</w:t>
      </w:r>
    </w:p>
    <w:p w:rsidR="00C053E0" w:rsidRDefault="00C053E0" w:rsidP="00BC24E5">
      <w:pPr>
        <w:spacing w:after="0"/>
        <w:rPr>
          <w:sz w:val="20"/>
          <w:szCs w:val="20"/>
        </w:rPr>
      </w:pPr>
      <w:r w:rsidRPr="00C053E0">
        <w:rPr>
          <w:b/>
          <w:sz w:val="20"/>
          <w:szCs w:val="20"/>
          <w:u w:val="single"/>
        </w:rPr>
        <w:t>Nouveaux anticoagulants et leurs cibles</w:t>
      </w:r>
      <w:r>
        <w:rPr>
          <w:sz w:val="20"/>
          <w:szCs w:val="20"/>
        </w:rPr>
        <w:t> : des chercheurs essaient actuellement de mettre au point des molécules agissant directement sur</w:t>
      </w:r>
      <w:r w:rsidR="00BC24E5">
        <w:rPr>
          <w:sz w:val="20"/>
          <w:szCs w:val="20"/>
        </w:rPr>
        <w:t xml:space="preserve"> le facteur de coagulation</w:t>
      </w:r>
      <w:r>
        <w:rPr>
          <w:sz w:val="20"/>
          <w:szCs w:val="20"/>
        </w:rPr>
        <w:t xml:space="preserve"> </w:t>
      </w:r>
      <w:proofErr w:type="spellStart"/>
      <w:r w:rsidR="00666D9D">
        <w:rPr>
          <w:sz w:val="20"/>
          <w:szCs w:val="20"/>
        </w:rPr>
        <w:t>X</w:t>
      </w:r>
      <w:r w:rsidR="00BC24E5">
        <w:rPr>
          <w:sz w:val="20"/>
          <w:szCs w:val="20"/>
        </w:rPr>
        <w:t>a</w:t>
      </w:r>
      <w:proofErr w:type="spellEnd"/>
      <w:r w:rsidR="00BC24E5">
        <w:rPr>
          <w:sz w:val="20"/>
          <w:szCs w:val="20"/>
        </w:rPr>
        <w:t xml:space="preserve"> </w:t>
      </w:r>
      <w:r w:rsidR="00C249D0">
        <w:rPr>
          <w:sz w:val="20"/>
          <w:szCs w:val="20"/>
        </w:rPr>
        <w:t>(</w:t>
      </w:r>
      <w:proofErr w:type="spellStart"/>
      <w:r w:rsidR="00C249D0" w:rsidRPr="00C249D0">
        <w:rPr>
          <w:sz w:val="20"/>
          <w:szCs w:val="20"/>
          <w:highlight w:val="yellow"/>
        </w:rPr>
        <w:t>Rivaroxaban</w:t>
      </w:r>
      <w:proofErr w:type="spellEnd"/>
      <w:r w:rsidR="00C249D0">
        <w:rPr>
          <w:sz w:val="20"/>
          <w:szCs w:val="20"/>
        </w:rPr>
        <w:t xml:space="preserve">) </w:t>
      </w:r>
      <w:r w:rsidR="00BC24E5">
        <w:rPr>
          <w:sz w:val="20"/>
          <w:szCs w:val="20"/>
        </w:rPr>
        <w:t>ou la thrombine (</w:t>
      </w:r>
      <w:proofErr w:type="spellStart"/>
      <w:r w:rsidR="00C249D0">
        <w:rPr>
          <w:sz w:val="20"/>
          <w:szCs w:val="20"/>
          <w:highlight w:val="yellow"/>
        </w:rPr>
        <w:t>D</w:t>
      </w:r>
      <w:r w:rsidR="00BC24E5" w:rsidRPr="00BC24E5">
        <w:rPr>
          <w:sz w:val="20"/>
          <w:szCs w:val="20"/>
          <w:highlight w:val="yellow"/>
        </w:rPr>
        <w:t>abigatran</w:t>
      </w:r>
      <w:proofErr w:type="spellEnd"/>
      <w:r w:rsidR="00BC24E5">
        <w:rPr>
          <w:sz w:val="20"/>
          <w:szCs w:val="20"/>
        </w:rPr>
        <w:t>). Certains de ces traitements arrivent déjà sur le marché. Avantages :</w:t>
      </w:r>
    </w:p>
    <w:p w:rsidR="00BC24E5" w:rsidRDefault="00BC24E5" w:rsidP="00BC24E5">
      <w:pPr>
        <w:pStyle w:val="ListParagraph"/>
        <w:numPr>
          <w:ilvl w:val="0"/>
          <w:numId w:val="1"/>
        </w:numPr>
        <w:spacing w:after="0"/>
        <w:rPr>
          <w:sz w:val="20"/>
          <w:szCs w:val="20"/>
        </w:rPr>
      </w:pPr>
      <w:r>
        <w:rPr>
          <w:sz w:val="20"/>
          <w:szCs w:val="20"/>
        </w:rPr>
        <w:t>Administration orale</w:t>
      </w:r>
    </w:p>
    <w:p w:rsidR="00280BF3" w:rsidRDefault="00280BF3" w:rsidP="00BC24E5">
      <w:pPr>
        <w:pStyle w:val="ListParagraph"/>
        <w:numPr>
          <w:ilvl w:val="0"/>
          <w:numId w:val="1"/>
        </w:numPr>
        <w:spacing w:after="0"/>
        <w:rPr>
          <w:sz w:val="20"/>
          <w:szCs w:val="20"/>
        </w:rPr>
      </w:pPr>
      <w:r>
        <w:rPr>
          <w:sz w:val="20"/>
          <w:szCs w:val="20"/>
        </w:rPr>
        <w:t xml:space="preserve">Effet rapide : pourrait remplacer les inhibiteurs de la </w:t>
      </w:r>
      <w:proofErr w:type="spellStart"/>
      <w:r>
        <w:rPr>
          <w:sz w:val="20"/>
          <w:szCs w:val="20"/>
        </w:rPr>
        <w:t>VitK</w:t>
      </w:r>
      <w:proofErr w:type="spellEnd"/>
      <w:r>
        <w:rPr>
          <w:sz w:val="20"/>
          <w:szCs w:val="20"/>
        </w:rPr>
        <w:t xml:space="preserve"> (donc pas besoin de prendre 2 anticoagulants pendant la phase initiale du traitement). On n’ose pas encore faire de la monothérapie avec le </w:t>
      </w:r>
      <w:proofErr w:type="spellStart"/>
      <w:r>
        <w:rPr>
          <w:sz w:val="20"/>
          <w:szCs w:val="20"/>
        </w:rPr>
        <w:t>dabigatran</w:t>
      </w:r>
      <w:proofErr w:type="spellEnd"/>
      <w:r>
        <w:rPr>
          <w:sz w:val="20"/>
          <w:szCs w:val="20"/>
        </w:rPr>
        <w:t xml:space="preserve"> </w:t>
      </w:r>
      <w:r w:rsidR="00666D9D">
        <w:rPr>
          <w:sz w:val="20"/>
          <w:szCs w:val="20"/>
        </w:rPr>
        <w:t>car son efficacité en phase initiale est mal connue. Mais cela commence à se faire avec une autre molécule (inhibitrice de Xa).</w:t>
      </w:r>
    </w:p>
    <w:p w:rsidR="00BC24E5" w:rsidRDefault="00BC24E5" w:rsidP="00BC24E5">
      <w:pPr>
        <w:pStyle w:val="ListParagraph"/>
        <w:numPr>
          <w:ilvl w:val="0"/>
          <w:numId w:val="1"/>
        </w:numPr>
        <w:rPr>
          <w:sz w:val="20"/>
          <w:szCs w:val="20"/>
        </w:rPr>
      </w:pPr>
      <w:r>
        <w:rPr>
          <w:sz w:val="20"/>
          <w:szCs w:val="20"/>
        </w:rPr>
        <w:t>Dose fixe</w:t>
      </w:r>
    </w:p>
    <w:p w:rsidR="00BC24E5" w:rsidRDefault="00BC24E5" w:rsidP="00BC24E5">
      <w:pPr>
        <w:pStyle w:val="ListParagraph"/>
        <w:numPr>
          <w:ilvl w:val="0"/>
          <w:numId w:val="1"/>
        </w:numPr>
        <w:rPr>
          <w:sz w:val="20"/>
          <w:szCs w:val="20"/>
        </w:rPr>
      </w:pPr>
      <w:r>
        <w:rPr>
          <w:sz w:val="20"/>
          <w:szCs w:val="20"/>
        </w:rPr>
        <w:t>Pas de monitoring</w:t>
      </w:r>
    </w:p>
    <w:p w:rsidR="00BC24E5" w:rsidRDefault="00BC24E5" w:rsidP="00BC24E5">
      <w:pPr>
        <w:pStyle w:val="ListParagraph"/>
        <w:numPr>
          <w:ilvl w:val="0"/>
          <w:numId w:val="1"/>
        </w:numPr>
        <w:rPr>
          <w:sz w:val="20"/>
          <w:szCs w:val="20"/>
        </w:rPr>
      </w:pPr>
      <w:r>
        <w:rPr>
          <w:sz w:val="20"/>
          <w:szCs w:val="20"/>
        </w:rPr>
        <w:t>Peu d’interaction alimentaire ou médicamenteuse</w:t>
      </w:r>
    </w:p>
    <w:p w:rsidR="00280BF3" w:rsidRPr="00280BF3" w:rsidRDefault="00BC24E5" w:rsidP="00280BF3">
      <w:pPr>
        <w:pStyle w:val="ListParagraph"/>
        <w:numPr>
          <w:ilvl w:val="0"/>
          <w:numId w:val="1"/>
        </w:numPr>
        <w:rPr>
          <w:sz w:val="20"/>
          <w:szCs w:val="20"/>
        </w:rPr>
      </w:pPr>
      <w:r>
        <w:rPr>
          <w:sz w:val="20"/>
          <w:szCs w:val="20"/>
        </w:rPr>
        <w:t>Demi-vie plus courte</w:t>
      </w:r>
    </w:p>
    <w:p w:rsidR="00BC24E5" w:rsidRPr="00BC24E5" w:rsidRDefault="00BC24E5" w:rsidP="00BC24E5">
      <w:pPr>
        <w:rPr>
          <w:sz w:val="20"/>
          <w:szCs w:val="20"/>
        </w:rPr>
      </w:pPr>
      <w:r>
        <w:rPr>
          <w:sz w:val="20"/>
          <w:szCs w:val="20"/>
        </w:rPr>
        <w:t>Seul inconvénient :  pas d’antidote. Si le patient fait une hémorragie il n’existe pas de molécule pour bloquer les effets de l’anticoagulant.</w:t>
      </w:r>
    </w:p>
    <w:sectPr w:rsidR="00BC24E5" w:rsidRPr="00BC24E5" w:rsidSect="00EE7EEB">
      <w:footerReference w:type="default" r:id="rId7"/>
      <w:pgSz w:w="11906" w:h="16838"/>
      <w:pgMar w:top="709" w:right="1417" w:bottom="1417"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35D8" w:rsidRDefault="001035D8" w:rsidP="00A533B4">
      <w:pPr>
        <w:spacing w:after="0" w:line="240" w:lineRule="auto"/>
      </w:pPr>
      <w:r>
        <w:separator/>
      </w:r>
    </w:p>
  </w:endnote>
  <w:endnote w:type="continuationSeparator" w:id="0">
    <w:p w:rsidR="001035D8" w:rsidRDefault="001035D8" w:rsidP="00A533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6"/>
      </w:rPr>
      <w:id w:val="10346392"/>
      <w:docPartObj>
        <w:docPartGallery w:val="Page Numbers (Bottom of Page)"/>
        <w:docPartUnique/>
      </w:docPartObj>
    </w:sdtPr>
    <w:sdtContent>
      <w:p w:rsidR="00280BF3" w:rsidRPr="00A533B4" w:rsidRDefault="00631674">
        <w:pPr>
          <w:pStyle w:val="Footer"/>
          <w:jc w:val="right"/>
          <w:rPr>
            <w:sz w:val="16"/>
          </w:rPr>
        </w:pPr>
        <w:r w:rsidRPr="00A533B4">
          <w:rPr>
            <w:sz w:val="16"/>
          </w:rPr>
          <w:fldChar w:fldCharType="begin"/>
        </w:r>
        <w:r w:rsidR="00280BF3" w:rsidRPr="00A533B4">
          <w:rPr>
            <w:sz w:val="16"/>
          </w:rPr>
          <w:instrText xml:space="preserve"> PAGE   \* MERGEFORMAT </w:instrText>
        </w:r>
        <w:r w:rsidRPr="00A533B4">
          <w:rPr>
            <w:sz w:val="16"/>
          </w:rPr>
          <w:fldChar w:fldCharType="separate"/>
        </w:r>
        <w:r w:rsidR="007E606A">
          <w:rPr>
            <w:noProof/>
            <w:sz w:val="16"/>
          </w:rPr>
          <w:t>4</w:t>
        </w:r>
        <w:r w:rsidRPr="00A533B4">
          <w:rPr>
            <w:sz w:val="16"/>
          </w:rPr>
          <w:fldChar w:fldCharType="end"/>
        </w:r>
      </w:p>
    </w:sdtContent>
  </w:sdt>
  <w:p w:rsidR="00280BF3" w:rsidRPr="00A533B4" w:rsidRDefault="00280BF3">
    <w:pPr>
      <w:pStyle w:val="Footer"/>
      <w:rPr>
        <w:sz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35D8" w:rsidRDefault="001035D8" w:rsidP="00A533B4">
      <w:pPr>
        <w:spacing w:after="0" w:line="240" w:lineRule="auto"/>
      </w:pPr>
      <w:r>
        <w:separator/>
      </w:r>
    </w:p>
  </w:footnote>
  <w:footnote w:type="continuationSeparator" w:id="0">
    <w:p w:rsidR="001035D8" w:rsidRDefault="001035D8" w:rsidP="00A533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E5DB5"/>
    <w:multiLevelType w:val="hybridMultilevel"/>
    <w:tmpl w:val="D23CE46A"/>
    <w:lvl w:ilvl="0" w:tplc="6F14EBF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217D629B"/>
    <w:multiLevelType w:val="hybridMultilevel"/>
    <w:tmpl w:val="32E8609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6A227316"/>
    <w:multiLevelType w:val="hybridMultilevel"/>
    <w:tmpl w:val="AA4841B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79493860"/>
    <w:multiLevelType w:val="hybridMultilevel"/>
    <w:tmpl w:val="0D72459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90F5D"/>
    <w:rsid w:val="00037051"/>
    <w:rsid w:val="001035D8"/>
    <w:rsid w:val="0010648A"/>
    <w:rsid w:val="00135F5B"/>
    <w:rsid w:val="00190F5D"/>
    <w:rsid w:val="001C57F4"/>
    <w:rsid w:val="001D3E8A"/>
    <w:rsid w:val="001F163D"/>
    <w:rsid w:val="002409D9"/>
    <w:rsid w:val="00240A04"/>
    <w:rsid w:val="002546F6"/>
    <w:rsid w:val="00280BF3"/>
    <w:rsid w:val="00291B1E"/>
    <w:rsid w:val="00320065"/>
    <w:rsid w:val="003210C0"/>
    <w:rsid w:val="00321842"/>
    <w:rsid w:val="00382DC2"/>
    <w:rsid w:val="003C27DA"/>
    <w:rsid w:val="00451071"/>
    <w:rsid w:val="00485DED"/>
    <w:rsid w:val="00547BE9"/>
    <w:rsid w:val="00547CEB"/>
    <w:rsid w:val="00577158"/>
    <w:rsid w:val="005C30A6"/>
    <w:rsid w:val="00631674"/>
    <w:rsid w:val="00666D9D"/>
    <w:rsid w:val="006C7306"/>
    <w:rsid w:val="006E1506"/>
    <w:rsid w:val="00701AE7"/>
    <w:rsid w:val="00714966"/>
    <w:rsid w:val="007C1D1A"/>
    <w:rsid w:val="007E606A"/>
    <w:rsid w:val="007F6C2B"/>
    <w:rsid w:val="0082226B"/>
    <w:rsid w:val="00985301"/>
    <w:rsid w:val="0098734D"/>
    <w:rsid w:val="009E1DD3"/>
    <w:rsid w:val="00A06E13"/>
    <w:rsid w:val="00A533B4"/>
    <w:rsid w:val="00AC1E95"/>
    <w:rsid w:val="00B960AE"/>
    <w:rsid w:val="00BC24E5"/>
    <w:rsid w:val="00BE5672"/>
    <w:rsid w:val="00C053E0"/>
    <w:rsid w:val="00C05F61"/>
    <w:rsid w:val="00C24116"/>
    <w:rsid w:val="00C2478D"/>
    <w:rsid w:val="00C249D0"/>
    <w:rsid w:val="00C3242D"/>
    <w:rsid w:val="00C4534F"/>
    <w:rsid w:val="00C72FE9"/>
    <w:rsid w:val="00CE1AFE"/>
    <w:rsid w:val="00D0557F"/>
    <w:rsid w:val="00D96A0A"/>
    <w:rsid w:val="00DE5511"/>
    <w:rsid w:val="00E103EB"/>
    <w:rsid w:val="00EE7EEB"/>
    <w:rsid w:val="00F43764"/>
    <w:rsid w:val="00FB39A4"/>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4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0F5D"/>
    <w:pPr>
      <w:ind w:left="720"/>
      <w:contextualSpacing/>
    </w:pPr>
  </w:style>
  <w:style w:type="character" w:customStyle="1" w:styleId="apple-converted-space">
    <w:name w:val="apple-converted-space"/>
    <w:basedOn w:val="DefaultParagraphFont"/>
    <w:rsid w:val="00DE5511"/>
  </w:style>
  <w:style w:type="character" w:styleId="Emphasis">
    <w:name w:val="Emphasis"/>
    <w:basedOn w:val="DefaultParagraphFont"/>
    <w:uiPriority w:val="20"/>
    <w:qFormat/>
    <w:rsid w:val="00DE5511"/>
    <w:rPr>
      <w:i/>
      <w:iCs/>
    </w:rPr>
  </w:style>
  <w:style w:type="paragraph" w:styleId="Header">
    <w:name w:val="header"/>
    <w:basedOn w:val="Normal"/>
    <w:link w:val="HeaderChar"/>
    <w:uiPriority w:val="99"/>
    <w:semiHidden/>
    <w:unhideWhenUsed/>
    <w:rsid w:val="00A533B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A533B4"/>
  </w:style>
  <w:style w:type="paragraph" w:styleId="Footer">
    <w:name w:val="footer"/>
    <w:basedOn w:val="Normal"/>
    <w:link w:val="FooterChar"/>
    <w:uiPriority w:val="99"/>
    <w:unhideWhenUsed/>
    <w:rsid w:val="00A533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533B4"/>
  </w:style>
  <w:style w:type="table" w:styleId="TableGrid">
    <w:name w:val="Table Grid"/>
    <w:basedOn w:val="TableNormal"/>
    <w:uiPriority w:val="59"/>
    <w:rsid w:val="005C30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35F5B"/>
    <w:rPr>
      <w:color w:val="808080"/>
    </w:rPr>
  </w:style>
  <w:style w:type="paragraph" w:styleId="BalloonText">
    <w:name w:val="Balloon Text"/>
    <w:basedOn w:val="Normal"/>
    <w:link w:val="BalloonTextChar"/>
    <w:uiPriority w:val="99"/>
    <w:semiHidden/>
    <w:unhideWhenUsed/>
    <w:rsid w:val="00135F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5F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1694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33</cp:revision>
  <dcterms:created xsi:type="dcterms:W3CDTF">2013-09-23T16:31:00Z</dcterms:created>
  <dcterms:modified xsi:type="dcterms:W3CDTF">2014-07-21T08:25:00Z</dcterms:modified>
</cp:coreProperties>
</file>