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748" w:rsidRPr="00466A3D" w:rsidRDefault="00712748" w:rsidP="00712748">
      <w:pPr>
        <w:spacing w:after="0"/>
        <w:rPr>
          <w:sz w:val="20"/>
        </w:rPr>
      </w:pPr>
      <w:bookmarkStart w:id="0" w:name="_GoBack"/>
      <w:bookmarkEnd w:id="0"/>
    </w:p>
    <w:p w:rsidR="00712748" w:rsidRPr="00B16B0D" w:rsidRDefault="00712748" w:rsidP="00B16B0D">
      <w:pPr>
        <w:spacing w:after="0"/>
        <w:jc w:val="center"/>
        <w:rPr>
          <w:b/>
          <w:sz w:val="20"/>
        </w:rPr>
      </w:pPr>
      <w:r w:rsidRPr="00B16B0D">
        <w:rPr>
          <w:b/>
          <w:sz w:val="20"/>
        </w:rPr>
        <w:t>Slides 23-24</w:t>
      </w:r>
    </w:p>
    <w:p w:rsidR="00712748" w:rsidRPr="00466A3D" w:rsidRDefault="00712748" w:rsidP="00712748">
      <w:pPr>
        <w:spacing w:after="0"/>
        <w:rPr>
          <w:sz w:val="20"/>
        </w:rPr>
      </w:pPr>
    </w:p>
    <w:p w:rsidR="00712748" w:rsidRPr="00466A3D" w:rsidRDefault="00712748" w:rsidP="00712748">
      <w:pPr>
        <w:spacing w:after="0"/>
        <w:rPr>
          <w:color w:val="FF0000"/>
          <w:sz w:val="20"/>
        </w:rPr>
      </w:pPr>
      <w:r w:rsidRPr="00466A3D">
        <w:rPr>
          <w:sz w:val="20"/>
        </w:rPr>
        <w:t xml:space="preserve">Clef : </w:t>
      </w:r>
      <w:r w:rsidRPr="00466A3D">
        <w:rPr>
          <w:color w:val="00B050"/>
          <w:sz w:val="20"/>
        </w:rPr>
        <w:t>vert = leucocyte</w:t>
      </w:r>
      <w:r w:rsidRPr="00466A3D">
        <w:rPr>
          <w:sz w:val="20"/>
        </w:rPr>
        <w:t xml:space="preserve">, </w:t>
      </w:r>
      <w:r w:rsidRPr="00466A3D">
        <w:rPr>
          <w:color w:val="FF0000"/>
          <w:sz w:val="20"/>
        </w:rPr>
        <w:t>rouge = épithélium activé</w:t>
      </w:r>
    </w:p>
    <w:p w:rsidR="00712748" w:rsidRPr="00466A3D" w:rsidRDefault="00712748" w:rsidP="00712748">
      <w:pPr>
        <w:spacing w:after="0"/>
        <w:rPr>
          <w:color w:val="00B050"/>
          <w:sz w:val="20"/>
        </w:rPr>
      </w:pPr>
    </w:p>
    <w:tbl>
      <w:tblPr>
        <w:tblStyle w:val="Grilledutableau"/>
        <w:tblW w:w="14238" w:type="dxa"/>
        <w:tblLook w:val="04A0" w:firstRow="1" w:lastRow="0" w:firstColumn="1" w:lastColumn="0" w:noHBand="0" w:noVBand="1"/>
      </w:tblPr>
      <w:tblGrid>
        <w:gridCol w:w="2235"/>
        <w:gridCol w:w="4152"/>
        <w:gridCol w:w="7851"/>
      </w:tblGrid>
      <w:tr w:rsidR="00AA0B0B" w:rsidRPr="00466A3D" w:rsidTr="00466A3D">
        <w:trPr>
          <w:trHeight w:val="365"/>
        </w:trPr>
        <w:tc>
          <w:tcPr>
            <w:tcW w:w="2235" w:type="dxa"/>
            <w:vAlign w:val="center"/>
          </w:tcPr>
          <w:p w:rsidR="00AA0B0B" w:rsidRPr="00466A3D" w:rsidRDefault="00AA0B0B" w:rsidP="00712748">
            <w:pPr>
              <w:jc w:val="center"/>
              <w:rPr>
                <w:sz w:val="20"/>
              </w:rPr>
            </w:pPr>
          </w:p>
        </w:tc>
        <w:tc>
          <w:tcPr>
            <w:tcW w:w="4152" w:type="dxa"/>
            <w:vAlign w:val="center"/>
          </w:tcPr>
          <w:p w:rsidR="00AA0B0B" w:rsidRPr="00466A3D" w:rsidRDefault="00AA0B0B" w:rsidP="00712748">
            <w:pPr>
              <w:jc w:val="center"/>
              <w:rPr>
                <w:b/>
                <w:sz w:val="20"/>
              </w:rPr>
            </w:pPr>
            <w:r w:rsidRPr="00466A3D">
              <w:rPr>
                <w:b/>
                <w:sz w:val="20"/>
              </w:rPr>
              <w:t>Récepteur</w:t>
            </w:r>
          </w:p>
        </w:tc>
        <w:tc>
          <w:tcPr>
            <w:tcW w:w="7851" w:type="dxa"/>
            <w:vAlign w:val="center"/>
          </w:tcPr>
          <w:p w:rsidR="00AA0B0B" w:rsidRPr="00466A3D" w:rsidRDefault="00AA0B0B" w:rsidP="00712748">
            <w:pPr>
              <w:jc w:val="center"/>
              <w:rPr>
                <w:b/>
                <w:sz w:val="20"/>
              </w:rPr>
            </w:pPr>
            <w:r w:rsidRPr="00466A3D">
              <w:rPr>
                <w:b/>
                <w:sz w:val="20"/>
              </w:rPr>
              <w:t>Ligand</w:t>
            </w:r>
          </w:p>
        </w:tc>
      </w:tr>
      <w:tr w:rsidR="001500E1" w:rsidRPr="00466A3D" w:rsidTr="00466A3D">
        <w:trPr>
          <w:trHeight w:val="365"/>
        </w:trPr>
        <w:tc>
          <w:tcPr>
            <w:tcW w:w="2235" w:type="dxa"/>
            <w:vMerge w:val="restart"/>
            <w:vAlign w:val="center"/>
          </w:tcPr>
          <w:p w:rsidR="001500E1" w:rsidRPr="00466A3D" w:rsidRDefault="001500E1" w:rsidP="00712748">
            <w:pPr>
              <w:jc w:val="center"/>
              <w:rPr>
                <w:b/>
                <w:sz w:val="20"/>
              </w:rPr>
            </w:pPr>
            <w:r w:rsidRPr="00466A3D">
              <w:rPr>
                <w:b/>
                <w:sz w:val="20"/>
              </w:rPr>
              <w:t>Rolling (liaisons de faible affinité)</w:t>
            </w:r>
          </w:p>
        </w:tc>
        <w:tc>
          <w:tcPr>
            <w:tcW w:w="4152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00B050"/>
                <w:sz w:val="20"/>
              </w:rPr>
            </w:pPr>
            <w:r w:rsidRPr="00466A3D">
              <w:rPr>
                <w:color w:val="00B050"/>
                <w:sz w:val="20"/>
              </w:rPr>
              <w:t>L-sélectine</w:t>
            </w:r>
          </w:p>
        </w:tc>
        <w:tc>
          <w:tcPr>
            <w:tcW w:w="7851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FF0000"/>
                <w:sz w:val="20"/>
              </w:rPr>
            </w:pPr>
            <w:r w:rsidRPr="00466A3D">
              <w:rPr>
                <w:color w:val="FF0000"/>
                <w:sz w:val="20"/>
              </w:rPr>
              <w:t>PNAD : présenté par glycoprotéine type CD34 (sialomucine)</w:t>
            </w:r>
          </w:p>
        </w:tc>
      </w:tr>
      <w:tr w:rsidR="001500E1" w:rsidRPr="00466A3D" w:rsidTr="00466A3D">
        <w:trPr>
          <w:trHeight w:val="378"/>
        </w:trPr>
        <w:tc>
          <w:tcPr>
            <w:tcW w:w="2235" w:type="dxa"/>
            <w:vMerge/>
            <w:vAlign w:val="center"/>
          </w:tcPr>
          <w:p w:rsidR="001500E1" w:rsidRPr="00466A3D" w:rsidRDefault="001500E1" w:rsidP="00712748">
            <w:pPr>
              <w:jc w:val="center"/>
              <w:rPr>
                <w:b/>
                <w:sz w:val="20"/>
              </w:rPr>
            </w:pPr>
          </w:p>
        </w:tc>
        <w:tc>
          <w:tcPr>
            <w:tcW w:w="4152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FF0000"/>
                <w:sz w:val="20"/>
              </w:rPr>
            </w:pPr>
            <w:r w:rsidRPr="00466A3D">
              <w:rPr>
                <w:color w:val="FF0000"/>
                <w:sz w:val="20"/>
              </w:rPr>
              <w:t>E/P-sélectines</w:t>
            </w:r>
          </w:p>
        </w:tc>
        <w:tc>
          <w:tcPr>
            <w:tcW w:w="7851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00B050"/>
                <w:sz w:val="20"/>
              </w:rPr>
            </w:pPr>
            <w:r w:rsidRPr="00466A3D">
              <w:rPr>
                <w:color w:val="00B050"/>
                <w:sz w:val="20"/>
              </w:rPr>
              <w:t>PSGL-1 : glycoprotéine avec oligosaccharide de type sialyl Lewis x</w:t>
            </w:r>
          </w:p>
        </w:tc>
      </w:tr>
      <w:tr w:rsidR="001500E1" w:rsidRPr="00466A3D" w:rsidTr="00466A3D">
        <w:trPr>
          <w:trHeight w:val="378"/>
        </w:trPr>
        <w:tc>
          <w:tcPr>
            <w:tcW w:w="2235" w:type="dxa"/>
            <w:vMerge/>
            <w:vAlign w:val="center"/>
          </w:tcPr>
          <w:p w:rsidR="001500E1" w:rsidRPr="00466A3D" w:rsidRDefault="001500E1" w:rsidP="00712748">
            <w:pPr>
              <w:jc w:val="center"/>
              <w:rPr>
                <w:b/>
                <w:sz w:val="20"/>
              </w:rPr>
            </w:pPr>
          </w:p>
        </w:tc>
        <w:tc>
          <w:tcPr>
            <w:tcW w:w="4152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00B050"/>
                <w:sz w:val="20"/>
              </w:rPr>
            </w:pPr>
            <w:r w:rsidRPr="00466A3D">
              <w:rPr>
                <w:color w:val="00B050"/>
                <w:sz w:val="20"/>
              </w:rPr>
              <w:t>α4β7 intégrines</w:t>
            </w:r>
          </w:p>
        </w:tc>
        <w:tc>
          <w:tcPr>
            <w:tcW w:w="7851" w:type="dxa"/>
            <w:vAlign w:val="center"/>
          </w:tcPr>
          <w:p w:rsidR="001500E1" w:rsidRPr="00466A3D" w:rsidRDefault="001500E1" w:rsidP="00712748">
            <w:pPr>
              <w:jc w:val="center"/>
              <w:rPr>
                <w:color w:val="FF0000"/>
                <w:sz w:val="20"/>
              </w:rPr>
            </w:pPr>
            <w:r w:rsidRPr="00466A3D">
              <w:rPr>
                <w:color w:val="FF0000"/>
                <w:sz w:val="20"/>
              </w:rPr>
              <w:t>MadCAM (dans plaques de Peyer et ggl lymphatiques mésentériques) + VCAM1</w:t>
            </w:r>
          </w:p>
        </w:tc>
      </w:tr>
      <w:tr w:rsidR="00AA0B0B" w:rsidRPr="00466A3D" w:rsidTr="00466A3D">
        <w:trPr>
          <w:trHeight w:val="1484"/>
        </w:trPr>
        <w:tc>
          <w:tcPr>
            <w:tcW w:w="2235" w:type="dxa"/>
            <w:vAlign w:val="center"/>
          </w:tcPr>
          <w:p w:rsidR="00AA0B0B" w:rsidRPr="00466A3D" w:rsidRDefault="00AA0B0B" w:rsidP="00712748">
            <w:pPr>
              <w:jc w:val="center"/>
              <w:rPr>
                <w:b/>
                <w:sz w:val="20"/>
              </w:rPr>
            </w:pPr>
            <w:r w:rsidRPr="00466A3D">
              <w:rPr>
                <w:b/>
                <w:sz w:val="20"/>
              </w:rPr>
              <w:t>Activation</w:t>
            </w:r>
          </w:p>
        </w:tc>
        <w:tc>
          <w:tcPr>
            <w:tcW w:w="12003" w:type="dxa"/>
            <w:gridSpan w:val="2"/>
            <w:vAlign w:val="center"/>
          </w:tcPr>
          <w:p w:rsidR="00D34CED" w:rsidRPr="00466A3D" w:rsidRDefault="00AA0B0B" w:rsidP="00712748">
            <w:pPr>
              <w:rPr>
                <w:sz w:val="20"/>
              </w:rPr>
            </w:pPr>
            <w:r w:rsidRPr="00466A3D">
              <w:rPr>
                <w:sz w:val="20"/>
              </w:rPr>
              <w:t xml:space="preserve">Chemoattractants du milieu EC comme chémokines, PAF, LTB4, complément etc. lient récepteur sur leucocyte (GPCR). Ceci permet d’établir </w:t>
            </w:r>
            <w:r w:rsidR="00D34CED" w:rsidRPr="00466A3D">
              <w:rPr>
                <w:sz w:val="20"/>
              </w:rPr>
              <w:t>des liaisons de haute affinité :</w:t>
            </w:r>
          </w:p>
          <w:p w:rsidR="00D34CED" w:rsidRPr="00466A3D" w:rsidRDefault="002E0F25" w:rsidP="00712748">
            <w:pPr>
              <w:pStyle w:val="Paragraphedeliste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noProof/>
                <w:sz w:val="20"/>
                <w:lang w:eastAsia="fr-C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5506720</wp:posOffset>
                      </wp:positionH>
                      <wp:positionV relativeFrom="paragraph">
                        <wp:posOffset>36195</wp:posOffset>
                      </wp:positionV>
                      <wp:extent cx="534670" cy="273050"/>
                      <wp:effectExtent l="0" t="0" r="2540" b="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4670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16B0D" w:rsidRPr="00B16B0D" w:rsidRDefault="00B16B0D">
                                  <w:pPr>
                                    <w:rPr>
                                      <w:b/>
                                    </w:rPr>
                                  </w:pPr>
                                  <w:r w:rsidRPr="00B16B0D">
                                    <w:rPr>
                                      <w:b/>
                                    </w:rPr>
                                    <w:t>arrêt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433.6pt;margin-top:2.85pt;width:42.1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" stroked="f" strokecolor="blue">
                      <v:textbox>
                        <w:txbxContent>
                          <w:p w:rsidR="00B16B0D" w:rsidRPr="00B16B0D" w:rsidRDefault="00B16B0D">
                            <w:pPr>
                              <w:rPr>
                                <w:b/>
                              </w:rPr>
                            </w:pPr>
                            <w:r w:rsidRPr="00B16B0D">
                              <w:rPr>
                                <w:b/>
                              </w:rPr>
                              <w:t>arrêt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  <w:lang w:eastAsia="fr-C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5219065</wp:posOffset>
                      </wp:positionH>
                      <wp:positionV relativeFrom="paragraph">
                        <wp:posOffset>27940</wp:posOffset>
                      </wp:positionV>
                      <wp:extent cx="166370" cy="273050"/>
                      <wp:effectExtent l="13335" t="6350" r="10795" b="63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6370" cy="273050"/>
                              </a:xfrm>
                              <a:prstGeom prst="rightBrace">
                                <a:avLst>
                                  <a:gd name="adj1" fmla="val 1367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05F368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2" o:spid="_x0000_s1026" type="#_x0000_t88" style="position:absolute;margin-left:410.95pt;margin-top:2.2pt;width:13.1pt;height:2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"/>
                  </w:pict>
                </mc:Fallback>
              </mc:AlternateContent>
            </w:r>
            <w:r w:rsidR="00AA0B0B" w:rsidRPr="00466A3D">
              <w:rPr>
                <w:sz w:val="20"/>
              </w:rPr>
              <w:t>LFA1</w:t>
            </w:r>
            <w:r w:rsidR="00D34CED" w:rsidRPr="00466A3D">
              <w:rPr>
                <w:sz w:val="20"/>
              </w:rPr>
              <w:t>(αLβ2 intégrine) : passe de conformation inactive à active, se lie à ICAM-1 (dans HEV)</w:t>
            </w:r>
          </w:p>
          <w:p w:rsidR="00D34CED" w:rsidRPr="00466A3D" w:rsidRDefault="00D34CED" w:rsidP="00712748">
            <w:pPr>
              <w:pStyle w:val="Paragraphedeliste"/>
              <w:numPr>
                <w:ilvl w:val="0"/>
                <w:numId w:val="1"/>
              </w:numPr>
              <w:rPr>
                <w:sz w:val="20"/>
              </w:rPr>
            </w:pPr>
            <w:r w:rsidRPr="00466A3D">
              <w:rPr>
                <w:sz w:val="20"/>
              </w:rPr>
              <w:t xml:space="preserve">Liaisons α4β7 – MadCAM/VCAM1 </w:t>
            </w:r>
            <w:r w:rsidR="00712748" w:rsidRPr="00466A3D">
              <w:rPr>
                <w:sz w:val="20"/>
              </w:rPr>
              <w:t xml:space="preserve">passent de basse à </w:t>
            </w:r>
            <w:r w:rsidRPr="00466A3D">
              <w:rPr>
                <w:sz w:val="20"/>
              </w:rPr>
              <w:t>haute affinité</w:t>
            </w:r>
          </w:p>
        </w:tc>
      </w:tr>
    </w:tbl>
    <w:p w:rsidR="001500E1" w:rsidRPr="00466A3D" w:rsidRDefault="001500E1" w:rsidP="00712748">
      <w:pPr>
        <w:spacing w:after="0"/>
        <w:rPr>
          <w:color w:val="FF0000"/>
          <w:sz w:val="20"/>
        </w:rPr>
      </w:pPr>
    </w:p>
    <w:p w:rsidR="00712748" w:rsidRPr="00466A3D" w:rsidRDefault="00712748" w:rsidP="00712748">
      <w:pPr>
        <w:spacing w:after="0"/>
        <w:rPr>
          <w:sz w:val="20"/>
        </w:rPr>
      </w:pPr>
      <w:r w:rsidRPr="00466A3D">
        <w:rPr>
          <w:sz w:val="20"/>
        </w:rPr>
        <w:t>Rappels</w:t>
      </w:r>
      <w:r w:rsidR="001500E1" w:rsidRPr="00466A3D">
        <w:rPr>
          <w:sz w:val="20"/>
        </w:rPr>
        <w:t> :</w:t>
      </w:r>
    </w:p>
    <w:p w:rsidR="001500E1" w:rsidRPr="00466A3D" w:rsidRDefault="001500E1" w:rsidP="00712748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466A3D">
        <w:rPr>
          <w:sz w:val="20"/>
        </w:rPr>
        <w:t xml:space="preserve">la liaison α4β7 – MadCAM/VCAM1 dans les MALT permettent roulement sans </w:t>
      </w:r>
      <w:r w:rsidR="00712748" w:rsidRPr="00466A3D">
        <w:rPr>
          <w:sz w:val="20"/>
        </w:rPr>
        <w:t>passer par les lectines</w:t>
      </w:r>
    </w:p>
    <w:p w:rsidR="00712748" w:rsidRPr="00466A3D" w:rsidRDefault="00712748" w:rsidP="00712748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466A3D">
        <w:rPr>
          <w:sz w:val="20"/>
        </w:rPr>
        <w:t>Sélectine P : exprimée immédiatement lorsque l’épithélium est activé car stockée dans les granules de Weibel-Palade</w:t>
      </w:r>
    </w:p>
    <w:p w:rsidR="00712748" w:rsidRDefault="00712748" w:rsidP="00712748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 w:rsidRPr="00466A3D">
        <w:rPr>
          <w:sz w:val="20"/>
        </w:rPr>
        <w:t>Sélectine E : exprimée dans un 2</w:t>
      </w:r>
      <w:r w:rsidRPr="00466A3D">
        <w:rPr>
          <w:sz w:val="20"/>
          <w:vertAlign w:val="superscript"/>
        </w:rPr>
        <w:t>ème</w:t>
      </w:r>
      <w:r w:rsidRPr="00466A3D">
        <w:rPr>
          <w:sz w:val="20"/>
        </w:rPr>
        <w:t xml:space="preserve"> temps car doit être transcrite</w:t>
      </w:r>
    </w:p>
    <w:p w:rsidR="00B16B0D" w:rsidRPr="00466A3D" w:rsidRDefault="00B16B0D" w:rsidP="00712748">
      <w:pPr>
        <w:pStyle w:val="Paragraphedeliste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Un GPRC important (activation) : CCR7, récepteur des chimiokines CCL19 + CCL21 (permettent le homing des CD, LT et LB)</w:t>
      </w:r>
    </w:p>
    <w:sectPr w:rsidR="00B16B0D" w:rsidRPr="00466A3D" w:rsidSect="00AA0B0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9E281B"/>
    <w:multiLevelType w:val="hybridMultilevel"/>
    <w:tmpl w:val="1CAC4B9E"/>
    <w:lvl w:ilvl="0" w:tplc="615A151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B0B"/>
    <w:rsid w:val="001500E1"/>
    <w:rsid w:val="00254134"/>
    <w:rsid w:val="002E0F25"/>
    <w:rsid w:val="00466A3D"/>
    <w:rsid w:val="00712748"/>
    <w:rsid w:val="00AA0B0B"/>
    <w:rsid w:val="00B16B0D"/>
    <w:rsid w:val="00D34CED"/>
    <w:rsid w:val="00DB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7CC2B0-038E-4083-BA49-BC75B99B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1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0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34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</dc:creator>
  <cp:lastModifiedBy>Anton Raemy</cp:lastModifiedBy>
  <cp:revision>2</cp:revision>
  <cp:lastPrinted>2013-11-21T21:35:00Z</cp:lastPrinted>
  <dcterms:created xsi:type="dcterms:W3CDTF">2014-12-06T21:14:00Z</dcterms:created>
  <dcterms:modified xsi:type="dcterms:W3CDTF">2014-12-06T21:14:00Z</dcterms:modified>
</cp:coreProperties>
</file>