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F100" w14:textId="77777777" w:rsidR="00207C66" w:rsidRDefault="00000000">
      <w:pPr>
        <w:pStyle w:val="Standard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Fièvre d’origine indéterminée</w:t>
      </w:r>
    </w:p>
    <w:p w14:paraId="26246B30" w14:textId="77777777" w:rsidR="00207C66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>Thermorégulation : noyau pré-optique de l’hypothalamus antérieur (OVLT), variations journalières 0.5-1° et selon cycle veille-sommeil, santé mentale (</w:t>
      </w:r>
      <w:r>
        <w:rPr>
          <w:b/>
          <w:bCs/>
          <w:sz w:val="20"/>
          <w:szCs w:val="20"/>
        </w:rPr>
        <w:t>stress, dépression, schizophrénie</w:t>
      </w:r>
      <w:r>
        <w:rPr>
          <w:sz w:val="20"/>
          <w:szCs w:val="20"/>
        </w:rPr>
        <w:t>), AP, IRC, choc, stomatite/rectite, climat, etc.</w:t>
      </w:r>
    </w:p>
    <w:p w14:paraId="5E30D046" w14:textId="77777777" w:rsidR="00207C66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T° moyenne = </w:t>
      </w:r>
      <w:r>
        <w:rPr>
          <w:b/>
          <w:bCs/>
          <w:sz w:val="20"/>
          <w:szCs w:val="20"/>
        </w:rPr>
        <w:t>36.8° ± 0.4°</w:t>
      </w:r>
      <w:r>
        <w:rPr>
          <w:sz w:val="20"/>
          <w:szCs w:val="20"/>
        </w:rPr>
        <w:t xml:space="preserve"> (T° orale -0.4°, T° rectale +0.2°) ; mesure axillaire uniquement chez le NN</w:t>
      </w:r>
    </w:p>
    <w:p w14:paraId="11B30458" w14:textId="77777777" w:rsidR="00207C66" w:rsidRDefault="00000000">
      <w:pPr>
        <w:pStyle w:val="Standard"/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Hyperthermie→ coup de chaleur, médicaments, drogues, sd. neuroleptique/5-HT, thyrotoxicose, etc.</w:t>
      </w:r>
    </w:p>
    <w:p w14:paraId="1BBA6190" w14:textId="77777777" w:rsidR="00207C66" w:rsidRDefault="00000000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sz w:val="20"/>
          <w:szCs w:val="20"/>
        </w:rPr>
        <w:t xml:space="preserve">Fièvre (modification setpoint) → T° &gt; 37.8° (37.2° le matin) ; vasoC, frissons, </w:t>
      </w:r>
      <w:r>
        <w:rPr>
          <w:rFonts w:eastAsia="Liberation Serif" w:cs="Liberation Serif"/>
          <w:sz w:val="20"/>
          <w:szCs w:val="20"/>
        </w:rPr>
        <w:t>↑</w:t>
      </w:r>
      <w:r>
        <w:rPr>
          <w:sz w:val="20"/>
          <w:szCs w:val="20"/>
        </w:rPr>
        <w:t xml:space="preserve"> métab. hépat., comportements</w:t>
      </w:r>
    </w:p>
    <w:p w14:paraId="583D90A0" w14:textId="77777777" w:rsidR="00207C66" w:rsidRDefault="00000000">
      <w:pPr>
        <w:pStyle w:val="Standard"/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Hyperpyrexie → en cas d’infection sévère ou d’hémorragie du SNC, T° &gt; 41.5°, risque vital dès 41°</w:t>
      </w:r>
    </w:p>
    <w:p w14:paraId="4CE2369F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1D564C34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Physiopathologie :</w:t>
      </w:r>
    </w:p>
    <w:p w14:paraId="12B62396" w14:textId="77777777" w:rsidR="00207C66" w:rsidRDefault="00000000">
      <w:pPr>
        <w:pStyle w:val="Standard"/>
        <w:numPr>
          <w:ilvl w:val="0"/>
          <w:numId w:val="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Pyrogènes exo. (microbes, toxines, LPS, etc.) vs. pyrogènes endogènes (complexes Ag-Ac, C’, ac. biliaires)</w:t>
      </w:r>
    </w:p>
    <w:p w14:paraId="707FE9E9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→ cytokines pyrogéniques (macrophages → IL-1, IL-6, TNF, CNTF, IFNα)</w:t>
      </w:r>
    </w:p>
    <w:p w14:paraId="763D873A" w14:textId="77777777" w:rsidR="00207C66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→ cytokines → OVLT → libération AA + activation COX → PGE2 → EP3 via AMPc → </w:t>
      </w:r>
      <w:r>
        <w:rPr>
          <w:rFonts w:eastAsia="Liberation Serif" w:cs="Liberation Serif"/>
          <w:sz w:val="20"/>
          <w:szCs w:val="20"/>
        </w:rPr>
        <w:t>↑</w:t>
      </w:r>
      <w:r>
        <w:rPr>
          <w:sz w:val="20"/>
          <w:szCs w:val="20"/>
        </w:rPr>
        <w:t xml:space="preserve"> set-point</w:t>
      </w:r>
    </w:p>
    <w:p w14:paraId="3179B861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→ PGE2 = arthro-myalgies en périphérie</w:t>
      </w:r>
    </w:p>
    <w:p w14:paraId="25A321E7" w14:textId="77777777" w:rsidR="00207C66" w:rsidRDefault="00000000">
      <w:pPr>
        <w:pStyle w:val="Standard"/>
        <w:numPr>
          <w:ilvl w:val="0"/>
          <w:numId w:val="2"/>
        </w:numPr>
        <w:rPr>
          <w:rFonts w:hint="eastAsia"/>
        </w:rPr>
      </w:pPr>
      <w:r>
        <w:rPr>
          <w:sz w:val="20"/>
          <w:szCs w:val="20"/>
        </w:rPr>
        <w:t>Possible libération directe dans méningo-encéphalites ; cytokines également sur</w:t>
      </w:r>
      <w:r>
        <w:rPr>
          <w:b/>
          <w:bCs/>
          <w:sz w:val="20"/>
          <w:szCs w:val="20"/>
        </w:rPr>
        <w:t xml:space="preserve"> hémorragies et TCC</w:t>
      </w:r>
      <w:r>
        <w:rPr>
          <w:sz w:val="20"/>
          <w:szCs w:val="20"/>
        </w:rPr>
        <w:t xml:space="preserve"> du SNC</w:t>
      </w:r>
    </w:p>
    <w:p w14:paraId="7E586B63" w14:textId="77777777" w:rsidR="00207C66" w:rsidRDefault="00000000">
      <w:pPr>
        <w:pStyle w:val="Standard"/>
        <w:numPr>
          <w:ilvl w:val="0"/>
          <w:numId w:val="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Régul. négatifs (cryogènes endogènes) → vasopressine, αMSH, glucocorticoïdes, neuropeptides CRH et Y</w:t>
      </w:r>
    </w:p>
    <w:p w14:paraId="211CB851" w14:textId="77777777" w:rsidR="00207C66" w:rsidRDefault="00000000">
      <w:pPr>
        <w:pStyle w:val="Standard"/>
        <w:numPr>
          <w:ilvl w:val="0"/>
          <w:numId w:val="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Rôle bénéfique de la fièvre → inhibition croissance micro-organismes + stimulation des défenses</w:t>
      </w:r>
    </w:p>
    <w:p w14:paraId="65D7BEEF" w14:textId="77777777" w:rsidR="00207C66" w:rsidRDefault="00000000">
      <w:pPr>
        <w:pStyle w:val="Standard"/>
        <w:numPr>
          <w:ilvl w:val="0"/>
          <w:numId w:val="2"/>
        </w:numPr>
        <w:rPr>
          <w:rFonts w:hint="eastAsia"/>
        </w:rPr>
      </w:pPr>
      <w:r>
        <w:rPr>
          <w:sz w:val="20"/>
          <w:szCs w:val="20"/>
        </w:rPr>
        <w:t>Effets néfastes → convulsions fébriles, augmentation tonus sympathique / consommation O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, sepsis si dérégulé</w:t>
      </w:r>
    </w:p>
    <w:p w14:paraId="20C4C9EB" w14:textId="77777777" w:rsidR="00207C66" w:rsidRDefault="00000000">
      <w:pPr>
        <w:pStyle w:val="Standard"/>
        <w:numPr>
          <w:ilvl w:val="0"/>
          <w:numId w:val="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Réponse de la phase aiguë (foie, IL-6) :</w:t>
      </w:r>
    </w:p>
    <w:p w14:paraId="3882EFD9" w14:textId="77777777" w:rsidR="00207C66" w:rsidRDefault="00000000">
      <w:pPr>
        <w:pStyle w:val="Standard"/>
        <w:numPr>
          <w:ilvl w:val="1"/>
          <w:numId w:val="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Protéines positives (C’, coagulation, fibrinolyse, anti-protéases, haptoglobine, PLA2, LBP, CRP, SAA, …)</w:t>
      </w:r>
    </w:p>
    <w:p w14:paraId="12382982" w14:textId="77777777" w:rsidR="00207C66" w:rsidRDefault="00000000">
      <w:pPr>
        <w:pStyle w:val="Standard"/>
        <w:numPr>
          <w:ilvl w:val="2"/>
          <w:numId w:val="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CRP → active complément et favorise adhérence phagocytes par liaison phosphocholines</w:t>
      </w:r>
    </w:p>
    <w:p w14:paraId="0F9D1342" w14:textId="77777777" w:rsidR="00207C66" w:rsidRDefault="00000000">
      <w:pPr>
        <w:pStyle w:val="Standard"/>
        <w:numPr>
          <w:ilvl w:val="2"/>
          <w:numId w:val="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Amyloïde A → potentialise adhérence et chémotactisme des phagocytes</w:t>
      </w:r>
    </w:p>
    <w:p w14:paraId="17F872D7" w14:textId="77777777" w:rsidR="00207C66" w:rsidRDefault="00000000">
      <w:pPr>
        <w:pStyle w:val="Standard"/>
        <w:numPr>
          <w:ilvl w:val="1"/>
          <w:numId w:val="2"/>
        </w:numPr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Protéines négatives → albumine, transferrine, AFP, facteur XII</w:t>
      </w:r>
    </w:p>
    <w:p w14:paraId="315A6DDC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75355CE5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FUO (&gt; 38.3° à plusieurs reprises) :</w:t>
      </w:r>
    </w:p>
    <w:p w14:paraId="1B39C471" w14:textId="77777777" w:rsidR="00207C66" w:rsidRDefault="00000000">
      <w:pPr>
        <w:pStyle w:val="Standard"/>
        <w:numPr>
          <w:ilvl w:val="0"/>
          <w:numId w:val="3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FUO classique : indéterminé après 3 consultations, 1 semaine d’ambulatoire ou 3 jours d’hospitalisation</w:t>
      </w:r>
    </w:p>
    <w:p w14:paraId="1231D149" w14:textId="77777777" w:rsidR="00207C66" w:rsidRDefault="00000000">
      <w:pPr>
        <w:pStyle w:val="Standard"/>
        <w:numPr>
          <w:ilvl w:val="1"/>
          <w:numId w:val="3"/>
        </w:numPr>
        <w:rPr>
          <w:rFonts w:hint="eastAsia"/>
        </w:rPr>
      </w:pPr>
      <w:r>
        <w:rPr>
          <w:sz w:val="20"/>
          <w:szCs w:val="20"/>
        </w:rPr>
        <w:t xml:space="preserve">Infections (cause principale) → notamment chez les enfants, </w:t>
      </w:r>
      <w:r>
        <w:rPr>
          <w:color w:val="FF0000"/>
          <w:sz w:val="20"/>
          <w:szCs w:val="20"/>
        </w:rPr>
        <w:t>3</w:t>
      </w:r>
      <w:r>
        <w:rPr>
          <w:color w:val="FF0000"/>
          <w:sz w:val="20"/>
          <w:szCs w:val="20"/>
          <w:vertAlign w:val="superscript"/>
        </w:rPr>
        <w:t>e</w:t>
      </w:r>
      <w:r>
        <w:rPr>
          <w:color w:val="FF0000"/>
          <w:sz w:val="20"/>
          <w:szCs w:val="20"/>
        </w:rPr>
        <w:t xml:space="preserve"> cause chez les &gt; 65 ans</w:t>
      </w:r>
    </w:p>
    <w:p w14:paraId="1C3693C5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→ en pédiatrie, corrélation T° et survenue d’une bactériémie !</w:t>
      </w:r>
    </w:p>
    <w:p w14:paraId="74CFB385" w14:textId="77777777" w:rsidR="00207C66" w:rsidRDefault="00000000">
      <w:pPr>
        <w:pStyle w:val="Standard"/>
        <w:numPr>
          <w:ilvl w:val="1"/>
          <w:numId w:val="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Cancers (lymphomes, leucémies, cancer rein, adénocarcinome métastatique, histiocytome malin, myxome)</w:t>
      </w:r>
    </w:p>
    <w:p w14:paraId="5F26F60B" w14:textId="77777777" w:rsidR="00207C66" w:rsidRDefault="00000000">
      <w:pPr>
        <w:pStyle w:val="Standard"/>
        <w:numPr>
          <w:ilvl w:val="1"/>
          <w:numId w:val="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Maladie inflammatoire ou auto-immune (Still, Horton, LED, PAN, cryoglobulinémie)</w:t>
      </w:r>
    </w:p>
    <w:p w14:paraId="74B9E03B" w14:textId="77777777" w:rsidR="00207C66" w:rsidRDefault="00000000">
      <w:pPr>
        <w:pStyle w:val="Standard"/>
        <w:numPr>
          <w:ilvl w:val="1"/>
          <w:numId w:val="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Divers (maladie granulomateuse, thyroïdite, FMF, EP, fièvres factices)</w:t>
      </w:r>
    </w:p>
    <w:p w14:paraId="19DC2847" w14:textId="77777777" w:rsidR="00207C66" w:rsidRDefault="00000000">
      <w:pPr>
        <w:pStyle w:val="Standard"/>
        <w:numPr>
          <w:ilvl w:val="1"/>
          <w:numId w:val="3"/>
        </w:numPr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Inconnue (25-30%) → 75 % de résolution spontanée, 25 % de cause devenant évidente avec le temps</w:t>
      </w:r>
    </w:p>
    <w:p w14:paraId="2E01F48D" w14:textId="77777777" w:rsidR="00207C66" w:rsidRDefault="00000000">
      <w:pPr>
        <w:pStyle w:val="Standard"/>
        <w:numPr>
          <w:ilvl w:val="0"/>
          <w:numId w:val="3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FUO nosocomiale : indéterminé après 3 jours d’hospitalisation avec fièvre pendant hospitalisation</w:t>
      </w:r>
    </w:p>
    <w:p w14:paraId="1C0F8703" w14:textId="77777777" w:rsidR="00207C66" w:rsidRDefault="00000000">
      <w:pPr>
        <w:pStyle w:val="Standard"/>
        <w:numPr>
          <w:ilvl w:val="1"/>
          <w:numId w:val="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Infection (50%) → cathéter, prothèses, abcès, sinusite chez l’intubé, sonde urinaire, etc.</w:t>
      </w:r>
    </w:p>
    <w:p w14:paraId="1ABB4400" w14:textId="77777777" w:rsidR="00207C66" w:rsidRDefault="00000000">
      <w:pPr>
        <w:pStyle w:val="Standard"/>
        <w:numPr>
          <w:ilvl w:val="1"/>
          <w:numId w:val="3"/>
        </w:numPr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Non-infection (25%) → cholécystite alithiasique, pancréatite, thyroïdite, goutte</w:t>
      </w:r>
    </w:p>
    <w:p w14:paraId="1D2C7989" w14:textId="77777777" w:rsidR="00207C66" w:rsidRDefault="00000000">
      <w:pPr>
        <w:pStyle w:val="Standard"/>
        <w:numPr>
          <w:ilvl w:val="1"/>
          <w:numId w:val="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SI souvent non-infectieux, ex. post-AVC → effet de masse intracrânien ou infection urinaire sur sonde</w:t>
      </w:r>
    </w:p>
    <w:p w14:paraId="4E3F45D3" w14:textId="77777777" w:rsidR="00207C66" w:rsidRDefault="00000000">
      <w:pPr>
        <w:pStyle w:val="Standard"/>
        <w:numPr>
          <w:ilvl w:val="0"/>
          <w:numId w:val="3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FUO du neutropénique : indéterminé après 3 jours d’hospitalisation avec neutrophiles &lt; 500 / mm³</w:t>
      </w:r>
    </w:p>
    <w:p w14:paraId="6C668D4F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→ 30-40 % restent indéterminés (diverses infection, GVHD, fièvre tumorale, fièvre médicamenteuse)</w:t>
      </w:r>
    </w:p>
    <w:p w14:paraId="354811DA" w14:textId="77777777" w:rsidR="00207C66" w:rsidRDefault="00000000">
      <w:pPr>
        <w:pStyle w:val="Standard"/>
        <w:numPr>
          <w:ilvl w:val="0"/>
          <w:numId w:val="3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FUO du VIH : indéterminé après 3 jours d’hospitalisation ou 4 semaines en ambulatoire</w:t>
      </w:r>
    </w:p>
    <w:p w14:paraId="28E19F4E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→ VIH aigu, infection opportuniste, lymphome</w:t>
      </w:r>
    </w:p>
    <w:p w14:paraId="72A93545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606D9246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Investigations :</w:t>
      </w:r>
    </w:p>
    <w:p w14:paraId="66916B28" w14:textId="77777777" w:rsidR="00207C66" w:rsidRDefault="00000000">
      <w:pPr>
        <w:pStyle w:val="Standard"/>
        <w:numPr>
          <w:ilvl w:val="0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Priorité → vérifier la présence d’une fièvre (non-confirmée / factice dans 33%!)</w:t>
      </w:r>
    </w:p>
    <w:p w14:paraId="73C8D4AA" w14:textId="77777777" w:rsidR="00207C66" w:rsidRDefault="00000000">
      <w:pPr>
        <w:pStyle w:val="Standard"/>
        <w:numPr>
          <w:ilvl w:val="1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Rechercher un pattern particulier (périodique, ondulante, tierce, quatre, etc.)</w:t>
      </w:r>
    </w:p>
    <w:p w14:paraId="7A93769D" w14:textId="77777777" w:rsidR="00207C66" w:rsidRDefault="00000000">
      <w:pPr>
        <w:pStyle w:val="Standard"/>
        <w:numPr>
          <w:ilvl w:val="1"/>
          <w:numId w:val="4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Mesure de la T° des urines</w:t>
      </w:r>
    </w:p>
    <w:p w14:paraId="063A64CB" w14:textId="77777777" w:rsidR="00207C66" w:rsidRDefault="00000000">
      <w:pPr>
        <w:pStyle w:val="Standard"/>
        <w:numPr>
          <w:ilvl w:val="1"/>
          <w:numId w:val="4"/>
        </w:numPr>
        <w:rPr>
          <w:rFonts w:hint="eastAsia"/>
        </w:rPr>
      </w:pPr>
      <w:r>
        <w:rPr>
          <w:b/>
          <w:bCs/>
          <w:sz w:val="20"/>
          <w:szCs w:val="20"/>
        </w:rPr>
        <w:t>Dissociation sphyngo-thermique (factice, typhoïde, leptospirose, brucellose) (</w:t>
      </w:r>
      <w:r>
        <w:rPr>
          <w:rFonts w:eastAsia="Liberation Serif" w:cs="Liberation Serif"/>
          <w:b/>
          <w:bCs/>
          <w:sz w:val="20"/>
          <w:szCs w:val="20"/>
        </w:rPr>
        <w:t>↑</w:t>
      </w:r>
      <w:r>
        <w:rPr>
          <w:b/>
          <w:bCs/>
          <w:sz w:val="20"/>
          <w:szCs w:val="20"/>
        </w:rPr>
        <w:t xml:space="preserve"> 10-20bpm/degré)</w:t>
      </w:r>
    </w:p>
    <w:p w14:paraId="093967B0" w14:textId="77777777" w:rsidR="00207C66" w:rsidRDefault="00000000">
      <w:pPr>
        <w:pStyle w:val="Standard"/>
        <w:numPr>
          <w:ilvl w:val="0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Anamnèse + examen clinique complet tous les jours (y.c. ATCD, médicaments, animaux, toxiques, sexuel, etc.)</w:t>
      </w:r>
    </w:p>
    <w:p w14:paraId="7A4B774B" w14:textId="77777777" w:rsidR="00207C66" w:rsidRDefault="00000000">
      <w:pPr>
        <w:pStyle w:val="Standard"/>
        <w:numPr>
          <w:ilvl w:val="0"/>
          <w:numId w:val="4"/>
        </w:numPr>
        <w:rPr>
          <w:rFonts w:hint="eastAsia"/>
        </w:rPr>
      </w:pPr>
      <w:r>
        <w:rPr>
          <w:sz w:val="20"/>
          <w:szCs w:val="20"/>
        </w:rPr>
        <w:t xml:space="preserve">Labo → pose Dx dans 25 % // </w:t>
      </w:r>
      <w:r>
        <w:rPr>
          <w:b/>
          <w:bCs/>
          <w:color w:val="FF0000"/>
          <w:sz w:val="20"/>
          <w:szCs w:val="20"/>
        </w:rPr>
        <w:t>CAVE VS &gt; 100 mm/h → ostéomyélite, endocardite, TBC</w:t>
      </w:r>
    </w:p>
    <w:p w14:paraId="3C2C6677" w14:textId="77777777" w:rsidR="00207C66" w:rsidRDefault="00000000">
      <w:pPr>
        <w:pStyle w:val="Standard"/>
        <w:numPr>
          <w:ilvl w:val="0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Microbiologie en faisant attention aux probabilités pré-test et à la spécificité des tests, toujours hémocultures</w:t>
      </w:r>
    </w:p>
    <w:p w14:paraId="0E63C491" w14:textId="77777777" w:rsidR="00207C66" w:rsidRDefault="00000000">
      <w:pPr>
        <w:pStyle w:val="Standard"/>
        <w:numPr>
          <w:ilvl w:val="0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Radio : RX thorax toujours, CT thoraco-abdo quasi-systématique (Dx &lt; 10%), autres y.c. PET-CT</w:t>
      </w:r>
    </w:p>
    <w:p w14:paraId="2478A048" w14:textId="77777777" w:rsidR="00207C66" w:rsidRDefault="00000000">
      <w:pPr>
        <w:pStyle w:val="Standard"/>
        <w:numPr>
          <w:ilvl w:val="0"/>
          <w:numId w:val="4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Biopsie apporte Dx dans moins de 50 % des cas, endoscopie, chirurgie doit rester exceptionnelle</w:t>
      </w:r>
    </w:p>
    <w:p w14:paraId="42A9A713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017B513C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TTT symptomatique :</w:t>
      </w:r>
    </w:p>
    <w:p w14:paraId="72E8094A" w14:textId="77777777" w:rsidR="00207C66" w:rsidRDefault="00000000">
      <w:pPr>
        <w:pStyle w:val="Standard"/>
        <w:numPr>
          <w:ilvl w:val="0"/>
          <w:numId w:val="5"/>
        </w:numPr>
        <w:rPr>
          <w:rFonts w:hint="eastAsia"/>
        </w:rPr>
      </w:pPr>
      <w:r>
        <w:rPr>
          <w:sz w:val="20"/>
          <w:szCs w:val="20"/>
        </w:rPr>
        <w:t xml:space="preserve">Mesures physiques contre-balancées par mécanismes thermo-régulateurs → </w:t>
      </w:r>
      <w:r>
        <w:rPr>
          <w:b/>
          <w:bCs/>
          <w:sz w:val="20"/>
          <w:szCs w:val="20"/>
        </w:rPr>
        <w:t>inefficace sans Tx anti-pyrétique</w:t>
      </w:r>
    </w:p>
    <w:p w14:paraId="4AB95950" w14:textId="77777777" w:rsidR="00207C66" w:rsidRDefault="00000000">
      <w:pPr>
        <w:pStyle w:val="Standard"/>
        <w:numPr>
          <w:ilvl w:val="0"/>
          <w:numId w:val="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Anti-pyrétiques : AINS, Aspirine, Paracétamol, Corticostéroïdes</w:t>
      </w:r>
    </w:p>
    <w:p w14:paraId="43A439FD" w14:textId="77777777" w:rsidR="00207C66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→ vasoC coronaire sous AINS, sd. de Reye sous Aspirine, </w:t>
      </w:r>
      <w:r>
        <w:rPr>
          <w:b/>
          <w:bCs/>
          <w:sz w:val="20"/>
          <w:szCs w:val="20"/>
        </w:rPr>
        <w:t>PAS de prévention des convulsions fébriles !</w:t>
      </w:r>
    </w:p>
    <w:p w14:paraId="0E517648" w14:textId="77777777" w:rsidR="00207C66" w:rsidRDefault="00000000">
      <w:pPr>
        <w:pStyle w:val="Standard"/>
        <w:numPr>
          <w:ilvl w:val="0"/>
          <w:numId w:val="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TTT empirique à éviter, sauf evtl. en cas de forte suspicion étiologique (ex. TBC) → ! faussement rassurant…</w:t>
      </w:r>
    </w:p>
    <w:p w14:paraId="663353B0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5A1E753B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5D8440A8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Pronostic :</w:t>
      </w:r>
    </w:p>
    <w:p w14:paraId="35B16046" w14:textId="77777777" w:rsidR="00207C66" w:rsidRDefault="00000000">
      <w:pPr>
        <w:pStyle w:val="Standard"/>
        <w:numPr>
          <w:ilvl w:val="0"/>
          <w:numId w:val="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>Bon pronostic en général, résolution sans séquelles &gt; 4 semaines</w:t>
      </w:r>
    </w:p>
    <w:p w14:paraId="70C71ED7" w14:textId="77777777" w:rsidR="00207C66" w:rsidRDefault="00000000">
      <w:pPr>
        <w:pStyle w:val="Standard"/>
        <w:numPr>
          <w:ilvl w:val="0"/>
          <w:numId w:val="6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Mortalité 3-5 %</w:t>
      </w:r>
    </w:p>
    <w:p w14:paraId="21F70DE7" w14:textId="77777777" w:rsidR="00207C66" w:rsidRDefault="00000000">
      <w:pPr>
        <w:pStyle w:val="Standard"/>
        <w:numPr>
          <w:ilvl w:val="0"/>
          <w:numId w:val="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Retard Dx dramatique pour infections intra-abdominales, TBC miliaire ou infections fongiques disséminées</w:t>
      </w:r>
    </w:p>
    <w:p w14:paraId="1DDD0AB2" w14:textId="77777777" w:rsidR="00207C66" w:rsidRDefault="00207C66">
      <w:pPr>
        <w:pStyle w:val="Standard"/>
        <w:rPr>
          <w:rFonts w:hint="eastAsia"/>
          <w:b/>
          <w:bCs/>
          <w:i/>
          <w:iCs/>
        </w:rPr>
      </w:pPr>
    </w:p>
    <w:p w14:paraId="43F015D9" w14:textId="77777777" w:rsidR="00207C66" w:rsidRDefault="00000000">
      <w:pPr>
        <w:pStyle w:val="Standard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Thérapie anti-microbienne</w:t>
      </w:r>
    </w:p>
    <w:p w14:paraId="6C82EEBC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30-50 % des prescriptions d’antibiotiques sont adéquates</w:t>
      </w:r>
    </w:p>
    <w:p w14:paraId="760D9862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Mécanismes généraux :</w:t>
      </w:r>
    </w:p>
    <w:p w14:paraId="029BCBA3" w14:textId="77777777" w:rsidR="00207C66" w:rsidRDefault="00000000">
      <w:pPr>
        <w:pStyle w:val="Standard"/>
        <w:numPr>
          <w:ilvl w:val="0"/>
          <w:numId w:val="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Inhibition de la synthèse de la paroi → β-lactamines, glycopeptides</w:t>
      </w:r>
    </w:p>
    <w:p w14:paraId="2DDFCC36" w14:textId="77777777" w:rsidR="00207C66" w:rsidRDefault="00000000">
      <w:pPr>
        <w:pStyle w:val="Standard"/>
        <w:numPr>
          <w:ilvl w:val="0"/>
          <w:numId w:val="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Inhibition du métabolisme → sulfamidés, trimethoprim</w:t>
      </w:r>
    </w:p>
    <w:p w14:paraId="7DA9FC99" w14:textId="77777777" w:rsidR="00207C66" w:rsidRDefault="00000000">
      <w:pPr>
        <w:pStyle w:val="Standard"/>
        <w:numPr>
          <w:ilvl w:val="0"/>
          <w:numId w:val="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Inhibition de la réplication de l’ADN (gyrase, topoisomérase IV) → quinolones, métronidazole</w:t>
      </w:r>
    </w:p>
    <w:p w14:paraId="7D4C6746" w14:textId="77777777" w:rsidR="00207C66" w:rsidRDefault="00000000">
      <w:pPr>
        <w:pStyle w:val="Standard"/>
        <w:numPr>
          <w:ilvl w:val="0"/>
          <w:numId w:val="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Inhibition de la sous-unité 30S → aminoglycosides, tétracyclines</w:t>
      </w:r>
    </w:p>
    <w:p w14:paraId="7722E5A2" w14:textId="77777777" w:rsidR="00207C66" w:rsidRDefault="00000000">
      <w:pPr>
        <w:pStyle w:val="Standard"/>
        <w:numPr>
          <w:ilvl w:val="0"/>
          <w:numId w:val="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Inhibition de la sous-unité 50S → macrolides, clindamycine</w:t>
      </w:r>
    </w:p>
    <w:p w14:paraId="10D065C6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25DD2264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Résistances :</w:t>
      </w:r>
    </w:p>
    <w:p w14:paraId="2F7D186B" w14:textId="77777777" w:rsidR="00207C66" w:rsidRDefault="00000000">
      <w:pPr>
        <w:pStyle w:val="Standard"/>
        <w:numPr>
          <w:ilvl w:val="0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Résistance intrinsèque (ex. les Gram négatifs sont résistants aux glycopeptides)</w:t>
      </w:r>
    </w:p>
    <w:p w14:paraId="6D1E7C49" w14:textId="77777777" w:rsidR="00207C66" w:rsidRDefault="00000000">
      <w:pPr>
        <w:pStyle w:val="Standard"/>
        <w:numPr>
          <w:ilvl w:val="0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Résistance acquise (mutation, échange de matériel génétique) :</w:t>
      </w:r>
    </w:p>
    <w:p w14:paraId="4592FE4C" w14:textId="77777777" w:rsidR="00207C66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Destruction enzymatique de l’antibiotique</w:t>
      </w:r>
    </w:p>
    <w:p w14:paraId="3332742A" w14:textId="77777777" w:rsidR="00207C66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Diminution de la pénétration de l’antibiotique</w:t>
      </w:r>
    </w:p>
    <w:p w14:paraId="319F3ED5" w14:textId="77777777" w:rsidR="00207C66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Évacuation de l’antibiotique hors de la bactérie</w:t>
      </w:r>
    </w:p>
    <w:p w14:paraId="453A4779" w14:textId="77777777" w:rsidR="00207C66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Modification de la cible de l’antibiotique</w:t>
      </w:r>
    </w:p>
    <w:p w14:paraId="67D4BB7B" w14:textId="77777777" w:rsidR="00207C66" w:rsidRDefault="00000000">
      <w:pPr>
        <w:pStyle w:val="Standard"/>
        <w:numPr>
          <w:ilvl w:val="0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Niveaux de résistance :</w:t>
      </w:r>
    </w:p>
    <w:p w14:paraId="6729454F" w14:textId="77777777" w:rsidR="00207C66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Au niveau de la bactérie elle-même (ex. risque de résistance des Gram négatifs en particulier)</w:t>
      </w:r>
    </w:p>
    <w:p w14:paraId="3554C98E" w14:textId="77777777" w:rsidR="00207C66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Au niveau de la flore colonisante du patient (ex. risque de surinfections compliquées à C. difficile)</w:t>
      </w:r>
    </w:p>
    <w:p w14:paraId="10C52EF8" w14:textId="77777777" w:rsidR="00207C66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Au niveau de la population (ex. corrélation géographique et chronologique selon les AB utilisés)</w:t>
      </w:r>
    </w:p>
    <w:p w14:paraId="77A7A686" w14:textId="77777777" w:rsidR="00207C66" w:rsidRDefault="00000000">
      <w:pPr>
        <w:pStyle w:val="Standard"/>
        <w:numPr>
          <w:ilvl w:val="0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Résistance réversible par diminution de la pression de sélection, notamment si :</w:t>
      </w:r>
    </w:p>
    <w:p w14:paraId="75AC58FD" w14:textId="77777777" w:rsidR="00207C66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Mécanisme instable</w:t>
      </w:r>
    </w:p>
    <w:p w14:paraId="6FDEDAEB" w14:textId="77777777" w:rsidR="00207C66" w:rsidRDefault="00000000">
      <w:pPr>
        <w:pStyle w:val="Standard"/>
        <w:numPr>
          <w:ilvl w:val="1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Mécanisme représente un désavantage pour la bactérie en l’absence de l’antibiotique (fitness cost)</w:t>
      </w:r>
    </w:p>
    <w:p w14:paraId="538150B2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2301A916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Indications à l’antibiothérapie empirique :</w:t>
      </w:r>
    </w:p>
    <w:p w14:paraId="11C08477" w14:textId="77777777" w:rsidR="00207C66" w:rsidRDefault="00000000">
      <w:pPr>
        <w:pStyle w:val="Standard"/>
        <w:numPr>
          <w:ilvl w:val="0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Patient remplissant certains critères cliniques :</w:t>
      </w:r>
    </w:p>
    <w:p w14:paraId="21A68A0C" w14:textId="77777777" w:rsidR="00207C66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Pneumonie (toux aiguë + dyspnée ou tachypnée ou fièvre ≥ 4 jours ou anomalie à l’auscultation) ± RX</w:t>
      </w:r>
    </w:p>
    <w:p w14:paraId="0D0AA669" w14:textId="77777777" w:rsidR="00207C66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Bactériurie asymptomatique en cas de grossesse ou OP urologique</w:t>
      </w:r>
    </w:p>
    <w:p w14:paraId="6C9EB886" w14:textId="77777777" w:rsidR="00207C66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Diarrhée bactérienne en cas de dysentérie ou immunosuppression ou âge avancé</w:t>
      </w:r>
    </w:p>
    <w:p w14:paraId="2019D73B" w14:textId="77777777" w:rsidR="00207C66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Rhinosinusite aiguë si rhinorrhée purulente ≥ 7 jours</w:t>
      </w:r>
    </w:p>
    <w:p w14:paraId="1A62B14D" w14:textId="77777777" w:rsidR="00207C66" w:rsidRDefault="00000000">
      <w:pPr>
        <w:pStyle w:val="Standard"/>
        <w:numPr>
          <w:ilvl w:val="0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Sepsis ou choc septique</w:t>
      </w:r>
    </w:p>
    <w:p w14:paraId="573899A8" w14:textId="77777777" w:rsidR="00207C66" w:rsidRDefault="00000000">
      <w:pPr>
        <w:pStyle w:val="Standard"/>
        <w:numPr>
          <w:ilvl w:val="0"/>
          <w:numId w:val="9"/>
        </w:numPr>
        <w:rPr>
          <w:rFonts w:hint="eastAsia"/>
        </w:rPr>
      </w:pPr>
      <w:r>
        <w:rPr>
          <w:sz w:val="20"/>
          <w:szCs w:val="20"/>
        </w:rPr>
        <w:t xml:space="preserve">Risque accru d’évolution défavorable → </w:t>
      </w:r>
      <w:r>
        <w:rPr>
          <w:b/>
          <w:bCs/>
          <w:sz w:val="20"/>
          <w:szCs w:val="20"/>
        </w:rPr>
        <w:t>neutropénie</w:t>
      </w:r>
      <w:r>
        <w:rPr>
          <w:sz w:val="20"/>
          <w:szCs w:val="20"/>
        </w:rPr>
        <w:t xml:space="preserve"> ou </w:t>
      </w:r>
      <w:r>
        <w:rPr>
          <w:b/>
          <w:bCs/>
          <w:sz w:val="20"/>
          <w:szCs w:val="20"/>
        </w:rPr>
        <w:t>EF sévère chez les patients âgés</w:t>
      </w:r>
    </w:p>
    <w:p w14:paraId="316BB532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0C131FFA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Principaux germes à couvrir :</w:t>
      </w:r>
    </w:p>
    <w:p w14:paraId="54BE6102" w14:textId="77777777" w:rsidR="00207C66" w:rsidRDefault="00000000">
      <w:pPr>
        <w:pStyle w:val="Standard"/>
        <w:numPr>
          <w:ilvl w:val="0"/>
          <w:numId w:val="10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Rhino-sinusite bactérienne aiguë → S. pneumoniae, H. influenzae, M. catarrhalis</w:t>
      </w:r>
    </w:p>
    <w:p w14:paraId="269C637E" w14:textId="77777777" w:rsidR="00207C66" w:rsidRDefault="00000000">
      <w:pPr>
        <w:pStyle w:val="Standard"/>
        <w:numPr>
          <w:ilvl w:val="0"/>
          <w:numId w:val="10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Infection intra-abdominale → entérobactéries, anaérobes</w:t>
      </w:r>
    </w:p>
    <w:p w14:paraId="58A1A37A" w14:textId="77777777" w:rsidR="00207C66" w:rsidRDefault="00000000">
      <w:pPr>
        <w:pStyle w:val="Standard"/>
        <w:numPr>
          <w:ilvl w:val="0"/>
          <w:numId w:val="10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Infection post-hospitalisation/antibiothérapie → Gram négatifs résistants (ex. Pseudomonas), MRSA, Candida</w:t>
      </w:r>
    </w:p>
    <w:p w14:paraId="4C095CD5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1E3B253B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Astuces :</w:t>
      </w:r>
    </w:p>
    <w:p w14:paraId="5E1017B5" w14:textId="77777777" w:rsidR="00207C66" w:rsidRDefault="00000000">
      <w:pPr>
        <w:pStyle w:val="Standard"/>
        <w:numPr>
          <w:ilvl w:val="0"/>
          <w:numId w:val="11"/>
        </w:numPr>
        <w:rPr>
          <w:rFonts w:hint="eastAsia"/>
        </w:rPr>
      </w:pPr>
      <w:r>
        <w:rPr>
          <w:sz w:val="20"/>
          <w:szCs w:val="20"/>
        </w:rPr>
        <w:t xml:space="preserve">Traitement de </w:t>
      </w:r>
      <w:r>
        <w:rPr>
          <w:b/>
          <w:bCs/>
          <w:sz w:val="20"/>
          <w:szCs w:val="20"/>
        </w:rPr>
        <w:t>MRSA et S. epidermis</w:t>
      </w:r>
      <w:r>
        <w:rPr>
          <w:sz w:val="20"/>
          <w:szCs w:val="20"/>
        </w:rPr>
        <w:t xml:space="preserve"> (staph. à coagulase négative) → Vancomycine, Daptomycine, Linezolid</w:t>
      </w:r>
    </w:p>
    <w:p w14:paraId="2A6A5B57" w14:textId="77777777" w:rsidR="00207C66" w:rsidRDefault="00000000">
      <w:pPr>
        <w:pStyle w:val="Standard"/>
        <w:numPr>
          <w:ilvl w:val="0"/>
          <w:numId w:val="1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Bactéries intra-cellulaires (Legionella, Mycoplasma, Chlamydia) :</w:t>
      </w:r>
    </w:p>
    <w:p w14:paraId="4D3ED140" w14:textId="77777777" w:rsidR="00207C66" w:rsidRDefault="00000000">
      <w:pPr>
        <w:pStyle w:val="Standard"/>
        <w:numPr>
          <w:ilvl w:val="1"/>
          <w:numId w:val="1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Macrolides</w:t>
      </w:r>
    </w:p>
    <w:p w14:paraId="7DEE6A60" w14:textId="77777777" w:rsidR="00207C66" w:rsidRDefault="00000000">
      <w:pPr>
        <w:pStyle w:val="Standard"/>
        <w:numPr>
          <w:ilvl w:val="1"/>
          <w:numId w:val="1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Quinolones</w:t>
      </w:r>
    </w:p>
    <w:p w14:paraId="3E73D4D1" w14:textId="77777777" w:rsidR="00207C66" w:rsidRDefault="00000000">
      <w:pPr>
        <w:pStyle w:val="Standard"/>
        <w:numPr>
          <w:ilvl w:val="1"/>
          <w:numId w:val="1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(Tétracyclines)</w:t>
      </w:r>
    </w:p>
    <w:p w14:paraId="7CB83E26" w14:textId="77777777" w:rsidR="00207C66" w:rsidRDefault="00000000">
      <w:pPr>
        <w:pStyle w:val="Standard"/>
        <w:numPr>
          <w:ilvl w:val="1"/>
          <w:numId w:val="1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(Co-trimoxazole)</w:t>
      </w:r>
    </w:p>
    <w:p w14:paraId="43352B0B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69C12CEB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Indications à une administration IV :</w:t>
      </w:r>
    </w:p>
    <w:p w14:paraId="32E5311A" w14:textId="77777777" w:rsidR="00207C66" w:rsidRDefault="00000000">
      <w:pPr>
        <w:pStyle w:val="Standard"/>
        <w:numPr>
          <w:ilvl w:val="0"/>
          <w:numId w:val="1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Troubles du transit gastro-intestinal</w:t>
      </w:r>
    </w:p>
    <w:p w14:paraId="1D998458" w14:textId="77777777" w:rsidR="00207C66" w:rsidRDefault="00000000">
      <w:pPr>
        <w:pStyle w:val="Standard"/>
        <w:numPr>
          <w:ilvl w:val="0"/>
          <w:numId w:val="1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Sepsis / mauvais EG</w:t>
      </w:r>
    </w:p>
    <w:p w14:paraId="2576EBE7" w14:textId="77777777" w:rsidR="00207C66" w:rsidRDefault="00000000">
      <w:pPr>
        <w:pStyle w:val="Standard"/>
        <w:numPr>
          <w:ilvl w:val="0"/>
          <w:numId w:val="1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Posologie trop élevée pour être tolérée par voie orale</w:t>
      </w:r>
    </w:p>
    <w:p w14:paraId="5E44BEC7" w14:textId="77777777" w:rsidR="00207C66" w:rsidRDefault="00000000">
      <w:pPr>
        <w:pStyle w:val="Standard"/>
        <w:numPr>
          <w:ilvl w:val="0"/>
          <w:numId w:val="12"/>
        </w:numPr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AB à biodisponibilité orale insuffisante → Carbapénèmes, Aminoglycosides, Glycopeptides</w:t>
      </w:r>
    </w:p>
    <w:p w14:paraId="0E57CB89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5928082E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Pénétration tissulaire :</w:t>
      </w:r>
    </w:p>
    <w:p w14:paraId="6FCEBC80" w14:textId="77777777" w:rsidR="00207C66" w:rsidRDefault="00000000">
      <w:pPr>
        <w:pStyle w:val="Standard"/>
        <w:numPr>
          <w:ilvl w:val="0"/>
          <w:numId w:val="1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Altérée notamment dans les infections chroniques</w:t>
      </w:r>
    </w:p>
    <w:p w14:paraId="69227B00" w14:textId="77777777" w:rsidR="00207C66" w:rsidRDefault="00000000">
      <w:pPr>
        <w:pStyle w:val="Standard"/>
        <w:numPr>
          <w:ilvl w:val="0"/>
          <w:numId w:val="1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Limitée pour les infections suivantes :</w:t>
      </w:r>
    </w:p>
    <w:p w14:paraId="6AD59C9E" w14:textId="77777777" w:rsidR="00207C66" w:rsidRDefault="00000000">
      <w:pPr>
        <w:pStyle w:val="Standard"/>
        <w:numPr>
          <w:ilvl w:val="1"/>
          <w:numId w:val="13"/>
        </w:numPr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lastRenderedPageBreak/>
        <w:t>Ostéomyélite</w:t>
      </w:r>
    </w:p>
    <w:p w14:paraId="1FE64FA3" w14:textId="77777777" w:rsidR="00207C66" w:rsidRDefault="00000000">
      <w:pPr>
        <w:pStyle w:val="Standard"/>
        <w:numPr>
          <w:ilvl w:val="1"/>
          <w:numId w:val="13"/>
        </w:numPr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Méningite</w:t>
      </w:r>
    </w:p>
    <w:p w14:paraId="6189EBF7" w14:textId="77777777" w:rsidR="00207C66" w:rsidRDefault="00000000">
      <w:pPr>
        <w:pStyle w:val="Standard"/>
        <w:numPr>
          <w:ilvl w:val="1"/>
          <w:numId w:val="13"/>
        </w:numPr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Prostatite</w:t>
      </w:r>
    </w:p>
    <w:p w14:paraId="032E5513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2382746C" w14:textId="77777777" w:rsidR="00207C66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En cas de traitement empirique, toujours ré-évaluer le traitement à </w:t>
      </w:r>
      <w:r>
        <w:rPr>
          <w:b/>
          <w:bCs/>
          <w:sz w:val="20"/>
          <w:szCs w:val="20"/>
        </w:rPr>
        <w:t>48-72h</w:t>
      </w:r>
      <w:r>
        <w:rPr>
          <w:sz w:val="20"/>
          <w:szCs w:val="20"/>
        </w:rPr>
        <w:t xml:space="preserve"> → réduire spectre ? passer en PO ?</w:t>
      </w:r>
    </w:p>
    <w:p w14:paraId="5EB927C1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Note : durée des AB en prophylaxie chirurgicale &lt; 24h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8108"/>
      </w:tblGrid>
      <w:tr w:rsidR="00207C66" w14:paraId="2530DCDF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703C3" w14:textId="77777777" w:rsidR="00207C66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β-lactamines</w:t>
            </w:r>
          </w:p>
        </w:tc>
        <w:tc>
          <w:tcPr>
            <w:tcW w:w="8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811DA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Généralités :</w:t>
            </w:r>
          </w:p>
          <w:p w14:paraId="39F1B303" w14:textId="77777777" w:rsidR="00207C66" w:rsidRDefault="00000000">
            <w:pPr>
              <w:pStyle w:val="TableContents"/>
              <w:numPr>
                <w:ilvl w:val="0"/>
                <w:numId w:val="14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10 % d’anamnèse d’allergie, mais c’est une vraie allergie dans seulement 1 cas sur 10</w:t>
            </w:r>
          </w:p>
          <w:p w14:paraId="086D41A6" w14:textId="77777777" w:rsidR="00207C66" w:rsidRDefault="00000000">
            <w:pPr>
              <w:pStyle w:val="TableContents"/>
              <w:numPr>
                <w:ilvl w:val="0"/>
                <w:numId w:val="14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Réaction de type I rare (1 décès / 100 000 patients)</w:t>
            </w:r>
          </w:p>
          <w:p w14:paraId="627C42B0" w14:textId="77777777" w:rsidR="00207C66" w:rsidRDefault="00000000">
            <w:pPr>
              <w:pStyle w:val="TableContents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Réaction de type IV &gt; 72h fréquente et ne constitue </w:t>
            </w:r>
            <w:r>
              <w:rPr>
                <w:b/>
                <w:bCs/>
                <w:sz w:val="20"/>
                <w:szCs w:val="20"/>
              </w:rPr>
              <w:t>pas une CI</w:t>
            </w:r>
            <w:r>
              <w:rPr>
                <w:sz w:val="20"/>
                <w:szCs w:val="20"/>
              </w:rPr>
              <w:t xml:space="preserve"> absolue aux β-lactamines</w:t>
            </w:r>
          </w:p>
          <w:p w14:paraId="54173B6B" w14:textId="77777777" w:rsidR="00207C66" w:rsidRDefault="00000000">
            <w:pPr>
              <w:pStyle w:val="TableContents"/>
              <w:numPr>
                <w:ilvl w:val="1"/>
                <w:numId w:val="14"/>
              </w:num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Allergie croisée </w:t>
            </w:r>
            <w:r>
              <w:rPr>
                <w:b/>
                <w:bCs/>
                <w:sz w:val="20"/>
                <w:szCs w:val="20"/>
              </w:rPr>
              <w:t>3 %</w:t>
            </w:r>
            <w:r>
              <w:rPr>
                <w:sz w:val="20"/>
                <w:szCs w:val="20"/>
              </w:rPr>
              <w:t xml:space="preserve"> avec les céphalosporines</w:t>
            </w:r>
          </w:p>
          <w:p w14:paraId="1A4F5DC7" w14:textId="77777777" w:rsidR="00207C66" w:rsidRDefault="00000000">
            <w:pPr>
              <w:pStyle w:val="TableContents"/>
              <w:numPr>
                <w:ilvl w:val="1"/>
                <w:numId w:val="14"/>
              </w:num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Allergie croisée </w:t>
            </w:r>
            <w:r>
              <w:rPr>
                <w:b/>
                <w:bCs/>
                <w:sz w:val="20"/>
                <w:szCs w:val="20"/>
              </w:rPr>
              <w:t>1 %</w:t>
            </w:r>
            <w:r>
              <w:rPr>
                <w:sz w:val="20"/>
                <w:szCs w:val="20"/>
              </w:rPr>
              <w:t xml:space="preserve"> avec les carbapénèmes</w:t>
            </w:r>
          </w:p>
          <w:p w14:paraId="71CD4FF7" w14:textId="77777777" w:rsidR="00207C66" w:rsidRDefault="00000000">
            <w:pPr>
              <w:pStyle w:val="TableContents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Diarrhée</w:t>
            </w:r>
            <w:r>
              <w:rPr>
                <w:sz w:val="20"/>
                <w:szCs w:val="20"/>
              </w:rPr>
              <w:t xml:space="preserve"> (5-10 % sous amoxicilline, jusqu’à 20 % sous co-amoxicilline)</w:t>
            </w:r>
          </w:p>
          <w:p w14:paraId="6C81AB2B" w14:textId="77777777" w:rsidR="00207C66" w:rsidRDefault="00000000">
            <w:pPr>
              <w:pStyle w:val="TableContents"/>
              <w:numPr>
                <w:ilvl w:val="1"/>
                <w:numId w:val="14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Incidence augmente selon la largeur du spectre et l’activité anti-anaérobe</w:t>
            </w:r>
          </w:p>
          <w:p w14:paraId="459074F3" w14:textId="77777777" w:rsidR="00207C66" w:rsidRDefault="00000000">
            <w:pPr>
              <w:pStyle w:val="TableContents"/>
              <w:numPr>
                <w:ilvl w:val="1"/>
                <w:numId w:val="14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25 % résultent d’une sur-infection à C. difficile</w:t>
            </w:r>
          </w:p>
          <w:p w14:paraId="51E37082" w14:textId="77777777" w:rsidR="00207C66" w:rsidRDefault="00000000">
            <w:pPr>
              <w:pStyle w:val="TableContents"/>
              <w:numPr>
                <w:ilvl w:val="0"/>
                <w:numId w:val="14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Résistance aux β-lactamases : carbapénèmes &gt; céphalosporines &gt; pénicillines</w:t>
            </w:r>
          </w:p>
          <w:p w14:paraId="1D600A17" w14:textId="77777777" w:rsidR="00207C66" w:rsidRDefault="00207C66">
            <w:pPr>
              <w:pStyle w:val="TableContents"/>
              <w:rPr>
                <w:rFonts w:hint="eastAsia"/>
                <w:sz w:val="20"/>
                <w:szCs w:val="20"/>
              </w:rPr>
            </w:pPr>
          </w:p>
          <w:p w14:paraId="086FC630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Pénicillines :</w:t>
            </w:r>
          </w:p>
          <w:p w14:paraId="4312CAE5" w14:textId="77777777" w:rsidR="00207C66" w:rsidRDefault="00000000">
            <w:pPr>
              <w:pStyle w:val="TableContents"/>
              <w:numPr>
                <w:ilvl w:val="0"/>
                <w:numId w:val="15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Pénicilline V → possible prise PO</w:t>
            </w:r>
          </w:p>
          <w:p w14:paraId="42FE9A85" w14:textId="77777777" w:rsidR="00207C66" w:rsidRDefault="00000000">
            <w:pPr>
              <w:pStyle w:val="TableContents"/>
              <w:numPr>
                <w:ilvl w:val="0"/>
                <w:numId w:val="15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Flucloxacilline → résiste aux pénicillinases</w:t>
            </w:r>
          </w:p>
          <w:p w14:paraId="3C7AA64D" w14:textId="77777777" w:rsidR="00207C66" w:rsidRDefault="00000000">
            <w:pPr>
              <w:pStyle w:val="TableContents"/>
              <w:numPr>
                <w:ilvl w:val="0"/>
                <w:numId w:val="15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Amoxicilline → spectre plus étendu vers les bacilles Gram négatifs</w:t>
            </w:r>
          </w:p>
          <w:p w14:paraId="484AA479" w14:textId="77777777" w:rsidR="00207C66" w:rsidRDefault="00000000">
            <w:pPr>
              <w:pStyle w:val="TableContents"/>
              <w:numPr>
                <w:ilvl w:val="0"/>
                <w:numId w:val="15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Pipéracilline → dérivé à large spectre</w:t>
            </w:r>
          </w:p>
          <w:p w14:paraId="7294A140" w14:textId="77777777" w:rsidR="00207C66" w:rsidRDefault="00207C66">
            <w:pPr>
              <w:pStyle w:val="TableContents"/>
              <w:rPr>
                <w:rFonts w:hint="eastAsia"/>
                <w:sz w:val="20"/>
                <w:szCs w:val="20"/>
              </w:rPr>
            </w:pPr>
          </w:p>
          <w:p w14:paraId="4AFB18A6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Céphalosporines :</w:t>
            </w:r>
          </w:p>
          <w:p w14:paraId="1DED70A6" w14:textId="77777777" w:rsidR="00207C66" w:rsidRDefault="00000000">
            <w:pPr>
              <w:pStyle w:val="TableContents"/>
              <w:numPr>
                <w:ilvl w:val="0"/>
                <w:numId w:val="16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Pas d’activité contre les anaérobes à l’exception de la Céfoxitine et du Céfotétan</w:t>
            </w:r>
          </w:p>
          <w:p w14:paraId="390749B3" w14:textId="77777777" w:rsidR="00207C66" w:rsidRDefault="00000000">
            <w:pPr>
              <w:pStyle w:val="TableContents"/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  <w:vertAlign w:val="superscript"/>
              </w:rPr>
              <w:t>e</w:t>
            </w:r>
            <w:r>
              <w:rPr>
                <w:sz w:val="20"/>
                <w:szCs w:val="20"/>
              </w:rPr>
              <w:t xml:space="preserve"> génération → excellent contre les Gram négatifs, mais moins bon contre les Gram +</w:t>
            </w:r>
          </w:p>
          <w:p w14:paraId="67A3371C" w14:textId="77777777" w:rsidR="00207C66" w:rsidRDefault="00000000">
            <w:pPr>
              <w:pStyle w:val="TableContents"/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  <w:vertAlign w:val="superscript"/>
              </w:rPr>
              <w:t>e</w:t>
            </w:r>
            <w:r>
              <w:rPr>
                <w:b/>
                <w:bCs/>
                <w:sz w:val="20"/>
                <w:szCs w:val="20"/>
              </w:rPr>
              <w:t xml:space="preserve"> génération (Céfépime) </w:t>
            </w:r>
            <w:r>
              <w:rPr>
                <w:sz w:val="20"/>
                <w:szCs w:val="20"/>
              </w:rPr>
              <w:t>→ combine les avantages de toutes les générations</w:t>
            </w:r>
          </w:p>
          <w:p w14:paraId="7B861A44" w14:textId="77777777" w:rsidR="00207C66" w:rsidRDefault="00207C66">
            <w:pPr>
              <w:pStyle w:val="TableContents"/>
              <w:rPr>
                <w:rFonts w:hint="eastAsia"/>
                <w:sz w:val="20"/>
                <w:szCs w:val="20"/>
              </w:rPr>
            </w:pPr>
          </w:p>
          <w:p w14:paraId="62AA8E86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Carbapénèmes :</w:t>
            </w:r>
          </w:p>
          <w:p w14:paraId="442A9334" w14:textId="77777777" w:rsidR="00207C66" w:rsidRDefault="00000000">
            <w:pPr>
              <w:pStyle w:val="TableContents"/>
              <w:numPr>
                <w:ilvl w:val="0"/>
                <w:numId w:val="17"/>
              </w:num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AB de choix contre les </w:t>
            </w:r>
            <w:r>
              <w:rPr>
                <w:b/>
                <w:bCs/>
                <w:sz w:val="20"/>
                <w:szCs w:val="20"/>
              </w:rPr>
              <w:t>ESBL</w:t>
            </w:r>
          </w:p>
          <w:p w14:paraId="305E1AA4" w14:textId="77777777" w:rsidR="00207C66" w:rsidRDefault="00000000">
            <w:pPr>
              <w:pStyle w:val="TableContents"/>
              <w:numPr>
                <w:ilvl w:val="0"/>
                <w:numId w:val="17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Ertapénème → pas d’activité contre Pseudomonas !</w:t>
            </w:r>
          </w:p>
        </w:tc>
      </w:tr>
      <w:tr w:rsidR="00207C66" w14:paraId="1F37FECC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9621F0" w14:textId="77777777" w:rsidR="00207C66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Glycopeptides</w:t>
            </w:r>
          </w:p>
        </w:tc>
        <w:tc>
          <w:tcPr>
            <w:tcW w:w="81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A0E69A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Ex. Vancomycine, Téicoplanine</w:t>
            </w:r>
          </w:p>
          <w:p w14:paraId="77BB89CB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Résistance :</w:t>
            </w:r>
          </w:p>
          <w:p w14:paraId="70A22781" w14:textId="77777777" w:rsidR="00207C66" w:rsidRDefault="00000000">
            <w:pPr>
              <w:pStyle w:val="TableContents"/>
              <w:numPr>
                <w:ilvl w:val="0"/>
                <w:numId w:val="18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Résistance intrinsèque des Gram négatifs (pas de passage de la membrane externe)</w:t>
            </w:r>
          </w:p>
          <w:p w14:paraId="17D27C52" w14:textId="77777777" w:rsidR="00207C66" w:rsidRDefault="00000000">
            <w:pPr>
              <w:pStyle w:val="TableContents"/>
              <w:numPr>
                <w:ilvl w:val="0"/>
                <w:numId w:val="18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Résistance des entérocoques VRE (→ transfert aux MRSA?)</w:t>
            </w:r>
          </w:p>
          <w:p w14:paraId="00F82465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ES :</w:t>
            </w:r>
          </w:p>
          <w:p w14:paraId="4A98D88F" w14:textId="77777777" w:rsidR="00207C66" w:rsidRDefault="00000000">
            <w:pPr>
              <w:pStyle w:val="TableContents"/>
              <w:numPr>
                <w:ilvl w:val="0"/>
                <w:numId w:val="19"/>
              </w:num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Red man syndrome</w:t>
            </w:r>
            <w:r>
              <w:rPr>
                <w:sz w:val="20"/>
                <w:szCs w:val="20"/>
              </w:rPr>
              <w:t xml:space="preserve"> → à éviter via perfusion lente sur au moins 60 minute</w:t>
            </w:r>
          </w:p>
          <w:p w14:paraId="64B8C3AF" w14:textId="77777777" w:rsidR="00207C66" w:rsidRDefault="00000000">
            <w:pPr>
              <w:pStyle w:val="TableContents"/>
              <w:numPr>
                <w:ilvl w:val="0"/>
                <w:numId w:val="19"/>
              </w:num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Ototoxicité</w:t>
            </w:r>
          </w:p>
        </w:tc>
      </w:tr>
      <w:tr w:rsidR="00207C66" w14:paraId="5CDFF043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369301" w14:textId="77777777" w:rsidR="00207C66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Aminoglycosides</w:t>
            </w:r>
          </w:p>
        </w:tc>
        <w:tc>
          <w:tcPr>
            <w:tcW w:w="81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B25E5C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Ex. Amikacine, Gentamicine, Tobramycine</w:t>
            </w:r>
          </w:p>
          <w:p w14:paraId="4FDAD6D3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Toxicité importante :</w:t>
            </w:r>
          </w:p>
          <w:p w14:paraId="1970299B" w14:textId="77777777" w:rsidR="00207C66" w:rsidRDefault="00000000">
            <w:pPr>
              <w:pStyle w:val="TableContents"/>
              <w:numPr>
                <w:ilvl w:val="0"/>
                <w:numId w:val="20"/>
              </w:num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À utiliser uniquement </w:t>
            </w:r>
            <w:r>
              <w:rPr>
                <w:b/>
                <w:bCs/>
                <w:sz w:val="20"/>
                <w:szCs w:val="20"/>
              </w:rPr>
              <w:t>en association</w:t>
            </w:r>
            <w:r>
              <w:rPr>
                <w:sz w:val="20"/>
                <w:szCs w:val="20"/>
              </w:rPr>
              <w:t xml:space="preserve"> pour une durée de </w:t>
            </w:r>
            <w:r>
              <w:rPr>
                <w:b/>
                <w:bCs/>
                <w:sz w:val="20"/>
                <w:szCs w:val="20"/>
              </w:rPr>
              <w:t>quelques jours</w:t>
            </w:r>
            <w:r>
              <w:rPr>
                <w:sz w:val="20"/>
                <w:szCs w:val="20"/>
              </w:rPr>
              <w:t xml:space="preserve"> au maximum</w:t>
            </w:r>
          </w:p>
          <w:p w14:paraId="7EF8E7B0" w14:textId="77777777" w:rsidR="00207C66" w:rsidRDefault="00000000">
            <w:pPr>
              <w:pStyle w:val="TableContents"/>
              <w:numPr>
                <w:ilvl w:val="0"/>
                <w:numId w:val="20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Surveillance du taux sérique</w:t>
            </w:r>
          </w:p>
          <w:p w14:paraId="2DDD369C" w14:textId="77777777" w:rsidR="00207C66" w:rsidRDefault="00000000">
            <w:pPr>
              <w:pStyle w:val="TableContents"/>
              <w:numPr>
                <w:ilvl w:val="0"/>
                <w:numId w:val="20"/>
              </w:num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Effet post-antibiotique → </w:t>
            </w:r>
            <w:r>
              <w:rPr>
                <w:b/>
                <w:bCs/>
                <w:sz w:val="20"/>
                <w:szCs w:val="20"/>
              </w:rPr>
              <w:t>1 seule dose par jour</w:t>
            </w:r>
            <w:r>
              <w:rPr>
                <w:sz w:val="20"/>
                <w:szCs w:val="20"/>
              </w:rPr>
              <w:t xml:space="preserve"> devrait suffire</w:t>
            </w:r>
          </w:p>
          <w:p w14:paraId="1A84D943" w14:textId="77777777" w:rsidR="00207C66" w:rsidRDefault="00000000">
            <w:pPr>
              <w:pStyle w:val="TableContents"/>
              <w:numPr>
                <w:ilvl w:val="0"/>
                <w:numId w:val="20"/>
              </w:num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ES :</w:t>
            </w:r>
          </w:p>
          <w:p w14:paraId="758FA9F7" w14:textId="77777777" w:rsidR="00207C66" w:rsidRDefault="00000000">
            <w:pPr>
              <w:pStyle w:val="TableContents"/>
              <w:numPr>
                <w:ilvl w:val="1"/>
                <w:numId w:val="20"/>
              </w:num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Néphrotoxicité</w:t>
            </w:r>
          </w:p>
          <w:p w14:paraId="237865A3" w14:textId="77777777" w:rsidR="00207C66" w:rsidRDefault="00000000">
            <w:pPr>
              <w:pStyle w:val="TableContents"/>
              <w:numPr>
                <w:ilvl w:val="1"/>
                <w:numId w:val="20"/>
              </w:num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Ototoxicité</w:t>
            </w:r>
          </w:p>
        </w:tc>
      </w:tr>
      <w:tr w:rsidR="00207C66" w14:paraId="3763F5C1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111036" w14:textId="77777777" w:rsidR="00207C66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Macrolides</w:t>
            </w:r>
          </w:p>
        </w:tc>
        <w:tc>
          <w:tcPr>
            <w:tcW w:w="81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7A13D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Ex. Érythromycine, Clarithromycine, Azithromycine</w:t>
            </w:r>
          </w:p>
          <w:p w14:paraId="64E16EC9" w14:textId="77777777" w:rsidR="00207C66" w:rsidRDefault="00000000">
            <w:pPr>
              <w:pStyle w:val="TableContents"/>
              <w:rPr>
                <w:rFonts w:hint="eastAsia"/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CAVE interaction CYP450</w:t>
            </w:r>
          </w:p>
        </w:tc>
      </w:tr>
      <w:tr w:rsidR="00207C66" w14:paraId="1D6F13A3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D7B3B3" w14:textId="77777777" w:rsidR="00207C66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Quinolones</w:t>
            </w:r>
          </w:p>
        </w:tc>
        <w:tc>
          <w:tcPr>
            <w:tcW w:w="81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5918D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Ex. Ciprofloxacine ou nouvelle génération → Lévo/Moxifloxacine</w:t>
            </w:r>
          </w:p>
          <w:p w14:paraId="5C7D988D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Large spectre, excellente biodisponibilité, bonne pénétration, bonne tolérance</w:t>
            </w:r>
          </w:p>
          <w:p w14:paraId="59523A41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→ classe avec le plus de développement de résistances, doit rester en réserve si possible !</w:t>
            </w:r>
          </w:p>
          <w:p w14:paraId="4291B212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ES :</w:t>
            </w:r>
          </w:p>
          <w:p w14:paraId="6A6929F0" w14:textId="77777777" w:rsidR="00207C66" w:rsidRDefault="00000000">
            <w:pPr>
              <w:pStyle w:val="TableContents"/>
              <w:numPr>
                <w:ilvl w:val="0"/>
                <w:numId w:val="21"/>
              </w:num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Tendinite achiléenne</w:t>
            </w:r>
          </w:p>
          <w:p w14:paraId="5F7ACE60" w14:textId="77777777" w:rsidR="00207C66" w:rsidRDefault="00000000">
            <w:pPr>
              <w:pStyle w:val="TableContents"/>
              <w:numPr>
                <w:ilvl w:val="0"/>
                <w:numId w:val="21"/>
              </w:num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 xml:space="preserve">Toxicité sur le cartilage de croissance </w:t>
            </w:r>
            <w:r>
              <w:rPr>
                <w:b/>
                <w:bCs/>
                <w:color w:val="FF0000"/>
                <w:sz w:val="20"/>
                <w:szCs w:val="20"/>
              </w:rPr>
              <w:t>(CI femmes enceintes / enfants)</w:t>
            </w:r>
          </w:p>
          <w:p w14:paraId="054C3230" w14:textId="77777777" w:rsidR="00207C66" w:rsidRDefault="00000000">
            <w:pPr>
              <w:pStyle w:val="TableContents"/>
              <w:numPr>
                <w:ilvl w:val="0"/>
                <w:numId w:val="21"/>
              </w:num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Allongement QT</w:t>
            </w:r>
          </w:p>
          <w:p w14:paraId="572E11D6" w14:textId="77777777" w:rsidR="00207C66" w:rsidRDefault="00000000">
            <w:pPr>
              <w:pStyle w:val="TableContents"/>
              <w:numPr>
                <w:ilvl w:val="0"/>
                <w:numId w:val="21"/>
              </w:num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Altérations neuro-cognitives chez la personne âgée</w:t>
            </w:r>
          </w:p>
        </w:tc>
      </w:tr>
      <w:tr w:rsidR="00207C66" w14:paraId="19AF7121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512656" w14:textId="77777777" w:rsidR="00207C66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lastRenderedPageBreak/>
              <w:t>Clindamycine</w:t>
            </w:r>
          </w:p>
        </w:tc>
        <w:tc>
          <w:tcPr>
            <w:tcW w:w="81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388E14" w14:textId="77777777" w:rsidR="00207C66" w:rsidRDefault="00000000">
            <w:pPr>
              <w:pStyle w:val="TableContents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Diarrhées</w:t>
            </w:r>
            <w:r>
              <w:rPr>
                <w:sz w:val="20"/>
                <w:szCs w:val="20"/>
              </w:rPr>
              <w:t xml:space="preserve"> dans 20-30 %, y.c. sur C. difficile</w:t>
            </w:r>
          </w:p>
        </w:tc>
      </w:tr>
      <w:tr w:rsidR="00207C66" w14:paraId="15B4F49B" w14:textId="77777777">
        <w:tblPrEx>
          <w:tblCellMar>
            <w:top w:w="0" w:type="dxa"/>
            <w:bottom w:w="0" w:type="dxa"/>
          </w:tblCellMar>
        </w:tblPrEx>
        <w:trPr>
          <w:trHeight w:val="83"/>
        </w:trPr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93CCFC" w14:textId="77777777" w:rsidR="00207C66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Doxycycline</w:t>
            </w:r>
          </w:p>
        </w:tc>
        <w:tc>
          <w:tcPr>
            <w:tcW w:w="81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BE320" w14:textId="77777777" w:rsidR="00207C66" w:rsidRDefault="00000000">
            <w:pPr>
              <w:pStyle w:val="TableContents"/>
              <w:rPr>
                <w:rFonts w:hint="eastAsia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CI chez les femmes enceintes et enfants &lt; 8 ans </w:t>
            </w:r>
            <w:r>
              <w:rPr>
                <w:sz w:val="20"/>
                <w:szCs w:val="20"/>
              </w:rPr>
              <w:t>→ tox. bourgeons dentaires = discoloration dents</w:t>
            </w:r>
          </w:p>
        </w:tc>
      </w:tr>
      <w:tr w:rsidR="00207C66" w14:paraId="63C4DC8B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1897B4" w14:textId="77777777" w:rsidR="00207C66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Métronidazole</w:t>
            </w:r>
          </w:p>
        </w:tc>
        <w:tc>
          <w:tcPr>
            <w:tcW w:w="81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0B379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Très utile en association dans les infections intra-abdominales</w:t>
            </w:r>
          </w:p>
          <w:p w14:paraId="7072160D" w14:textId="77777777" w:rsidR="00207C66" w:rsidRDefault="00000000">
            <w:pPr>
              <w:pStyle w:val="TableContents"/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Activité anti-parasitaire → </w:t>
            </w:r>
            <w:r>
              <w:rPr>
                <w:b/>
                <w:bCs/>
                <w:sz w:val="20"/>
                <w:szCs w:val="20"/>
              </w:rPr>
              <w:t>Amibes, Giardia lamblia, Trichomonas</w:t>
            </w:r>
          </w:p>
        </w:tc>
      </w:tr>
      <w:tr w:rsidR="00207C66" w14:paraId="41C74AF8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4DA906" w14:textId="77777777" w:rsidR="00207C66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Co-trimoxazole</w:t>
            </w:r>
          </w:p>
        </w:tc>
        <w:tc>
          <w:tcPr>
            <w:tcW w:w="81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5A0D91" w14:textId="77777777" w:rsidR="00207C66" w:rsidRDefault="00000000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Activité supplémentaire contre Listeria, Nocardia et P. jirovecii (= ttt de choix)</w:t>
            </w:r>
          </w:p>
        </w:tc>
      </w:tr>
    </w:tbl>
    <w:p w14:paraId="1593D706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63ACCD3B" w14:textId="77777777" w:rsidR="00207C66" w:rsidRDefault="00000000">
      <w:pPr>
        <w:pStyle w:val="Standard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Gastro-entérites</w:t>
      </w:r>
    </w:p>
    <w:p w14:paraId="774A3848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Diarrhée : diminution consistance des selles avec ≥ 3 épisodes / jour et/ou ≥ 200 g / jour (aigu &lt; 7 j, chronique &gt; 30 j)</w:t>
      </w:r>
    </w:p>
    <w:p w14:paraId="755E18EA" w14:textId="77777777" w:rsidR="00207C66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La majorité des diarrhées sont </w:t>
      </w:r>
      <w:r>
        <w:rPr>
          <w:b/>
          <w:bCs/>
          <w:sz w:val="20"/>
          <w:szCs w:val="20"/>
        </w:rPr>
        <w:t>virales !</w:t>
      </w:r>
      <w:r>
        <w:rPr>
          <w:sz w:val="20"/>
          <w:szCs w:val="20"/>
        </w:rPr>
        <w:t xml:space="preserve"> Au niveau bactérien → Campylobacter &gt; Salmonella non-Typhi &gt; Shigella</w:t>
      </w:r>
    </w:p>
    <w:p w14:paraId="35EEC577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Cas particuliers :</w:t>
      </w:r>
    </w:p>
    <w:p w14:paraId="241A34D5" w14:textId="77777777" w:rsidR="00207C66" w:rsidRDefault="00000000">
      <w:pPr>
        <w:pStyle w:val="Standard"/>
        <w:numPr>
          <w:ilvl w:val="0"/>
          <w:numId w:val="22"/>
        </w:numPr>
        <w:rPr>
          <w:rFonts w:hint="eastAsia"/>
        </w:rPr>
      </w:pPr>
      <w:r>
        <w:rPr>
          <w:sz w:val="20"/>
          <w:szCs w:val="20"/>
        </w:rPr>
        <w:t xml:space="preserve">Diarrhées du voyageur (20-50%) → </w:t>
      </w:r>
      <w:r>
        <w:rPr>
          <w:b/>
          <w:bCs/>
          <w:sz w:val="20"/>
          <w:szCs w:val="20"/>
        </w:rPr>
        <w:t>bactéries &gt; 50 %</w:t>
      </w:r>
      <w:r>
        <w:rPr>
          <w:sz w:val="20"/>
          <w:szCs w:val="20"/>
        </w:rPr>
        <w:t>, virus 20 %, parasites 10 %</w:t>
      </w:r>
    </w:p>
    <w:p w14:paraId="1C69979D" w14:textId="77777777" w:rsidR="00207C66" w:rsidRDefault="00000000">
      <w:pPr>
        <w:pStyle w:val="Standard"/>
        <w:numPr>
          <w:ilvl w:val="0"/>
          <w:numId w:val="2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Diarrhées sur AB → C. difficile dans 20-30 % des diarrhées sur AB et dans 50-75 % des colites sur AB</w:t>
      </w:r>
    </w:p>
    <w:p w14:paraId="19EA1969" w14:textId="77777777" w:rsidR="00207C66" w:rsidRDefault="00000000">
      <w:pPr>
        <w:pStyle w:val="Standard"/>
        <w:numPr>
          <w:ilvl w:val="0"/>
          <w:numId w:val="2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Diarrhée de l’immunocompromis :</w:t>
      </w:r>
    </w:p>
    <w:p w14:paraId="44DD8D89" w14:textId="77777777" w:rsidR="00207C66" w:rsidRDefault="00000000">
      <w:pPr>
        <w:pStyle w:val="Standard"/>
        <w:numPr>
          <w:ilvl w:val="1"/>
          <w:numId w:val="2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Immunité cellulaire (SIDA) → cryptosporidium, cystoisospora belli, microsporidium, cyclospora</w:t>
      </w:r>
    </w:p>
    <w:p w14:paraId="028BAA0C" w14:textId="77777777" w:rsidR="00207C66" w:rsidRDefault="00000000">
      <w:pPr>
        <w:pStyle w:val="Standard"/>
        <w:numPr>
          <w:ilvl w:val="1"/>
          <w:numId w:val="22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Immunité humorale (hypogammaglobulinémie) → Giardia lamblia, Campylobacter</w:t>
      </w:r>
    </w:p>
    <w:p w14:paraId="430749B4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09A352D7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Pathogenèse :</w:t>
      </w:r>
    </w:p>
    <w:p w14:paraId="59ADC16B" w14:textId="77777777" w:rsidR="00207C66" w:rsidRDefault="00000000">
      <w:pPr>
        <w:pStyle w:val="Standard"/>
        <w:numPr>
          <w:ilvl w:val="0"/>
          <w:numId w:val="23"/>
        </w:numPr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Inoculum 10-100 bactéries ou kystes (contagion +++) → Shigella, EHEC, Giardia, Amibes</w:t>
      </w:r>
    </w:p>
    <w:p w14:paraId="79E2125D" w14:textId="77777777" w:rsidR="00207C66" w:rsidRDefault="00000000">
      <w:pPr>
        <w:pStyle w:val="Standard"/>
        <w:numPr>
          <w:ilvl w:val="0"/>
          <w:numId w:val="2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Toxines : entérotoxines → diarrhées aqueuses, cytotoxines → dysentéries, neurotoxines → vomissements</w:t>
      </w:r>
    </w:p>
    <w:p w14:paraId="70E77A96" w14:textId="77777777" w:rsidR="00207C66" w:rsidRDefault="00000000">
      <w:pPr>
        <w:pStyle w:val="Standard"/>
        <w:numPr>
          <w:ilvl w:val="0"/>
          <w:numId w:val="2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Invasivité :</w:t>
      </w:r>
    </w:p>
    <w:p w14:paraId="7B56AF9E" w14:textId="77777777" w:rsidR="00207C66" w:rsidRDefault="00000000">
      <w:pPr>
        <w:pStyle w:val="Standard"/>
        <w:numPr>
          <w:ilvl w:val="1"/>
          <w:numId w:val="23"/>
        </w:numPr>
        <w:rPr>
          <w:rFonts w:hint="eastAsia"/>
        </w:rPr>
      </w:pPr>
      <w:r>
        <w:rPr>
          <w:sz w:val="20"/>
          <w:szCs w:val="20"/>
        </w:rPr>
        <w:t xml:space="preserve">Shigella / EHEC → inflammation de la muqueuse, </w:t>
      </w:r>
      <w:r>
        <w:rPr>
          <w:b/>
          <w:bCs/>
          <w:sz w:val="20"/>
          <w:szCs w:val="20"/>
        </w:rPr>
        <w:t>sans dissémination</w:t>
      </w:r>
      <w:r>
        <w:rPr>
          <w:sz w:val="20"/>
          <w:szCs w:val="20"/>
        </w:rPr>
        <w:t xml:space="preserve"> sanguine</w:t>
      </w:r>
    </w:p>
    <w:p w14:paraId="479C4C97" w14:textId="77777777" w:rsidR="00207C66" w:rsidRDefault="00000000">
      <w:pPr>
        <w:pStyle w:val="Standard"/>
        <w:numPr>
          <w:ilvl w:val="1"/>
          <w:numId w:val="2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Salmonella Typhi → multiplication dans Peyer / ggl. lymphatiques intestinaux → circulation sanguine</w:t>
      </w:r>
    </w:p>
    <w:p w14:paraId="52331100" w14:textId="77777777" w:rsidR="00207C66" w:rsidRDefault="00000000">
      <w:pPr>
        <w:pStyle w:val="Standard"/>
        <w:numPr>
          <w:ilvl w:val="1"/>
          <w:numId w:val="2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Entamoeba histolytica → destruction calcium-dépendante → invasion → ulcères + dissémination</w:t>
      </w:r>
    </w:p>
    <w:p w14:paraId="0C20062B" w14:textId="77777777" w:rsidR="00207C66" w:rsidRDefault="00000000">
      <w:pPr>
        <w:pStyle w:val="Standard"/>
        <w:numPr>
          <w:ilvl w:val="0"/>
          <w:numId w:val="2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Défenses de l’hôte :</w:t>
      </w:r>
    </w:p>
    <w:p w14:paraId="439958F1" w14:textId="77777777" w:rsidR="00207C66" w:rsidRDefault="00000000">
      <w:pPr>
        <w:pStyle w:val="Standard"/>
        <w:numPr>
          <w:ilvl w:val="1"/>
          <w:numId w:val="2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&gt; 99 % de la flore est faite d’anaérobes ; troubles chez les enfants ou en cas d’antibiothérapie</w:t>
      </w:r>
    </w:p>
    <w:p w14:paraId="6CF5EDAA" w14:textId="77777777" w:rsidR="00207C66" w:rsidRDefault="00000000">
      <w:pPr>
        <w:pStyle w:val="Standard"/>
        <w:numPr>
          <w:ilvl w:val="1"/>
          <w:numId w:val="23"/>
        </w:numPr>
        <w:rPr>
          <w:rFonts w:hint="eastAsia"/>
        </w:rPr>
      </w:pPr>
      <w:r>
        <w:rPr>
          <w:sz w:val="20"/>
          <w:szCs w:val="20"/>
        </w:rPr>
        <w:t>Acidité gastrique →</w:t>
      </w:r>
      <w:r>
        <w:rPr>
          <w:b/>
          <w:bCs/>
          <w:sz w:val="20"/>
          <w:szCs w:val="20"/>
        </w:rPr>
        <w:t xml:space="preserve"> IPP, antacides et gastrectomie </w:t>
      </w:r>
      <w:r>
        <w:rPr>
          <w:sz w:val="20"/>
          <w:szCs w:val="20"/>
        </w:rPr>
        <w:t>augmentent Salmonella, Giardia et autres parasites</w:t>
      </w:r>
    </w:p>
    <w:p w14:paraId="31AB83FA" w14:textId="77777777" w:rsidR="00207C66" w:rsidRDefault="00000000">
      <w:pPr>
        <w:pStyle w:val="Standard"/>
        <w:numPr>
          <w:ilvl w:val="1"/>
          <w:numId w:val="23"/>
        </w:numPr>
        <w:rPr>
          <w:rFonts w:hint="eastAsia"/>
        </w:rPr>
      </w:pPr>
      <w:r>
        <w:rPr>
          <w:sz w:val="20"/>
          <w:szCs w:val="20"/>
        </w:rPr>
        <w:t xml:space="preserve">Motilité intestinale → </w:t>
      </w:r>
      <w:r>
        <w:rPr>
          <w:b/>
          <w:bCs/>
          <w:sz w:val="20"/>
          <w:szCs w:val="20"/>
        </w:rPr>
        <w:t>opiacés et médicaments anti-motilité</w:t>
      </w:r>
      <w:r>
        <w:rPr>
          <w:sz w:val="20"/>
          <w:szCs w:val="20"/>
        </w:rPr>
        <w:t xml:space="preserve"> augmentent le risque de gastro-entérite</w:t>
      </w:r>
    </w:p>
    <w:p w14:paraId="1BF2D2FB" w14:textId="77777777" w:rsidR="00207C66" w:rsidRDefault="00000000">
      <w:pPr>
        <w:pStyle w:val="Standard"/>
        <w:numPr>
          <w:ilvl w:val="1"/>
          <w:numId w:val="23"/>
        </w:numPr>
        <w:rPr>
          <w:rFonts w:hint="eastAsia"/>
        </w:rPr>
      </w:pPr>
      <w:r>
        <w:rPr>
          <w:sz w:val="20"/>
          <w:szCs w:val="20"/>
        </w:rPr>
        <w:t xml:space="preserve">Immunité → les lymphocytes peuplant les muqueuses sécrètent des </w:t>
      </w:r>
      <w:r>
        <w:rPr>
          <w:b/>
          <w:bCs/>
          <w:sz w:val="20"/>
          <w:szCs w:val="20"/>
        </w:rPr>
        <w:t>IgA</w:t>
      </w:r>
    </w:p>
    <w:p w14:paraId="4D94B3C3" w14:textId="77777777" w:rsidR="00207C66" w:rsidRDefault="00000000">
      <w:pPr>
        <w:pStyle w:val="Standard"/>
        <w:numPr>
          <w:ilvl w:val="1"/>
          <w:numId w:val="23"/>
        </w:numPr>
        <w:rPr>
          <w:rFonts w:hint="eastAsia"/>
        </w:rPr>
      </w:pPr>
      <w:r>
        <w:rPr>
          <w:sz w:val="20"/>
          <w:szCs w:val="20"/>
        </w:rPr>
        <w:t xml:space="preserve">Génétique → vulnérabilité du </w:t>
      </w:r>
      <w:r>
        <w:rPr>
          <w:b/>
          <w:bCs/>
          <w:sz w:val="20"/>
          <w:szCs w:val="20"/>
        </w:rPr>
        <w:t xml:space="preserve">groupe sanguin O </w:t>
      </w:r>
      <w:r>
        <w:rPr>
          <w:sz w:val="20"/>
          <w:szCs w:val="20"/>
        </w:rPr>
        <w:t xml:space="preserve">et de certains </w:t>
      </w:r>
      <w:r>
        <w:rPr>
          <w:b/>
          <w:bCs/>
          <w:sz w:val="20"/>
          <w:szCs w:val="20"/>
        </w:rPr>
        <w:t>polymorphismes</w:t>
      </w:r>
      <w:r>
        <w:rPr>
          <w:sz w:val="20"/>
          <w:szCs w:val="20"/>
        </w:rPr>
        <w:t xml:space="preserve"> inflammatoires</w:t>
      </w:r>
    </w:p>
    <w:p w14:paraId="5CC10BBE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74EC51EF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Intoxications alimentaires (présence d’entérotoxines, durée des symptômes &lt; 12h) :</w:t>
      </w:r>
    </w:p>
    <w:p w14:paraId="29103CD4" w14:textId="77777777" w:rsidR="00207C66" w:rsidRDefault="00000000">
      <w:pPr>
        <w:pStyle w:val="Standard"/>
        <w:numPr>
          <w:ilvl w:val="0"/>
          <w:numId w:val="24"/>
        </w:numPr>
        <w:rPr>
          <w:rFonts w:hint="eastAsia"/>
        </w:rPr>
      </w:pPr>
      <w:r>
        <w:rPr>
          <w:sz w:val="20"/>
          <w:szCs w:val="20"/>
        </w:rPr>
        <w:t xml:space="preserve">Entérotoxine pré-formée (S. aureus, B. cereus forme émétique) → </w:t>
      </w:r>
      <w:r>
        <w:rPr>
          <w:b/>
          <w:bCs/>
          <w:sz w:val="20"/>
          <w:szCs w:val="20"/>
        </w:rPr>
        <w:t>vomissements dans les 1-8h</w:t>
      </w:r>
    </w:p>
    <w:p w14:paraId="6EFA665B" w14:textId="77777777" w:rsidR="00207C66" w:rsidRDefault="00000000">
      <w:pPr>
        <w:pStyle w:val="Standard"/>
        <w:numPr>
          <w:ilvl w:val="0"/>
          <w:numId w:val="24"/>
        </w:numPr>
        <w:rPr>
          <w:rFonts w:hint="eastAsia"/>
        </w:rPr>
      </w:pPr>
      <w:r>
        <w:rPr>
          <w:sz w:val="20"/>
          <w:szCs w:val="20"/>
        </w:rPr>
        <w:t xml:space="preserve">Entérotoxine produite in vivo (C. perfringens, B. cereus forme diarrhéique) → </w:t>
      </w:r>
      <w:r>
        <w:rPr>
          <w:b/>
          <w:bCs/>
          <w:sz w:val="20"/>
          <w:szCs w:val="20"/>
        </w:rPr>
        <w:t>diarrhées dans les 8-16h</w:t>
      </w:r>
    </w:p>
    <w:p w14:paraId="1735ACFE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013A508A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Étiologies des gastro-entérites :</w:t>
      </w:r>
    </w:p>
    <w:p w14:paraId="35305D74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Campylobacter → infections donnant des diarrhées inflammatoires ± bactériémie chez l’immunocompromis</w:t>
      </w:r>
    </w:p>
    <w:p w14:paraId="1B7E0223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Salmonella → le sérovar non-Typhi dissémine dans l’espace extra-cellulaire et evtl. la circulation sanguine</w:t>
      </w:r>
    </w:p>
    <w:p w14:paraId="4C24B345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</w:rPr>
      </w:pPr>
      <w:r>
        <w:rPr>
          <w:sz w:val="20"/>
          <w:szCs w:val="20"/>
        </w:rPr>
        <w:t xml:space="preserve">Shigella → toxine de Shiga détruit les entérocytes → </w:t>
      </w:r>
      <w:r>
        <w:rPr>
          <w:b/>
          <w:bCs/>
          <w:sz w:val="20"/>
          <w:szCs w:val="20"/>
        </w:rPr>
        <w:t>micro-abcès + ulcères de la muqueuse (= dysentérie)</w:t>
      </w:r>
    </w:p>
    <w:p w14:paraId="36FE4941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(mais en général pas de dissémination à la circulation grâce à la réaction inflammatoire)</w:t>
      </w:r>
    </w:p>
    <w:p w14:paraId="544D030D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</w:rPr>
      </w:pPr>
      <w:r>
        <w:rPr>
          <w:sz w:val="20"/>
          <w:szCs w:val="20"/>
        </w:rPr>
        <w:t xml:space="preserve">ETEC → cause la plus fréquente de diarrhée du voyageur ; </w:t>
      </w:r>
      <w:r>
        <w:rPr>
          <w:b/>
          <w:bCs/>
          <w:color w:val="FF0000"/>
          <w:sz w:val="20"/>
          <w:szCs w:val="20"/>
        </w:rPr>
        <w:t>toxines Sta et LT-I (~ toxine cholérique)</w:t>
      </w:r>
    </w:p>
    <w:p w14:paraId="297AEBA8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</w:rPr>
      </w:pPr>
      <w:r>
        <w:rPr>
          <w:sz w:val="20"/>
          <w:szCs w:val="20"/>
        </w:rPr>
        <w:t xml:space="preserve">EHEC/STEC→ toxine ~ shiga = </w:t>
      </w:r>
      <w:r>
        <w:rPr>
          <w:b/>
          <w:bCs/>
          <w:sz w:val="20"/>
          <w:szCs w:val="20"/>
        </w:rPr>
        <w:t>colite hémorragique + douleurs abdominales à droite ± fièvre (35%)</w:t>
      </w:r>
    </w:p>
    <w:p w14:paraId="6BAF4F04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+ risque de SUH dans les 10 jours dans 5-10 % des cas sur O157:H7 ou O104:H4</w:t>
      </w:r>
    </w:p>
    <w:p w14:paraId="3F773521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Vibrio cholerae → toxine cholérique au niveau du grêle, sécrétion de chlore, diarrhées aqueuses massives</w:t>
      </w:r>
    </w:p>
    <w:p w14:paraId="5B3E0363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Vibria parahaemolyticus → halophilique (moules, huîtres, sushis), entérotoxine induisant inflam. modérée</w:t>
      </w:r>
    </w:p>
    <w:p w14:paraId="7514C2FB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</w:rPr>
      </w:pPr>
      <w:r>
        <w:rPr>
          <w:sz w:val="20"/>
          <w:szCs w:val="20"/>
        </w:rPr>
        <w:t>Yersinia → surtout en hiver chez l’enfant ;</w:t>
      </w:r>
      <w:r>
        <w:rPr>
          <w:b/>
          <w:bCs/>
          <w:sz w:val="20"/>
          <w:szCs w:val="20"/>
        </w:rPr>
        <w:t xml:space="preserve"> ADP mésentérique douloureuse mimant une appendicite</w:t>
      </w:r>
    </w:p>
    <w:p w14:paraId="3889051B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C. difficile → nosocomial ou communautaire, 2-3 % adultes, 20-30 % des hospitalisés, 5-70 % des enfants</w:t>
      </w:r>
    </w:p>
    <w:p w14:paraId="7B95A244" w14:textId="77777777" w:rsidR="00207C66" w:rsidRDefault="00000000">
      <w:pPr>
        <w:pStyle w:val="Standard"/>
        <w:numPr>
          <w:ilvl w:val="1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Infection symptomatique sur AB ou sur FR → âge, IPP, chimiothérapie, MICI et immunosuppression</w:t>
      </w:r>
    </w:p>
    <w:p w14:paraId="367EF327" w14:textId="77777777" w:rsidR="00207C66" w:rsidRDefault="00000000">
      <w:pPr>
        <w:pStyle w:val="Standard"/>
        <w:numPr>
          <w:ilvl w:val="1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PAS de récepteurs des toxines chez l’enfant → asymptomatiques</w:t>
      </w:r>
    </w:p>
    <w:p w14:paraId="3F43011A" w14:textId="77777777" w:rsidR="00207C66" w:rsidRDefault="00000000">
      <w:pPr>
        <w:pStyle w:val="Standard"/>
        <w:numPr>
          <w:ilvl w:val="1"/>
          <w:numId w:val="25"/>
        </w:numPr>
        <w:rPr>
          <w:rFonts w:hint="eastAsia"/>
        </w:rPr>
      </w:pPr>
      <w:r>
        <w:rPr>
          <w:sz w:val="20"/>
          <w:szCs w:val="20"/>
        </w:rPr>
        <w:t xml:space="preserve">Récidive 20-30 %, notamment chez la personne âgée // </w:t>
      </w:r>
      <w:r>
        <w:rPr>
          <w:b/>
          <w:bCs/>
          <w:sz w:val="20"/>
          <w:szCs w:val="20"/>
        </w:rPr>
        <w:t>souche hypervirulente 027 = mégacôlon toxique</w:t>
      </w:r>
    </w:p>
    <w:p w14:paraId="088E056F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4B7335A3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</w:rPr>
      </w:pPr>
      <w:r>
        <w:rPr>
          <w:sz w:val="20"/>
          <w:szCs w:val="20"/>
        </w:rPr>
        <w:t xml:space="preserve">Rotavirus → &gt; 30 % des diarrhées, seules </w:t>
      </w:r>
      <w:r>
        <w:rPr>
          <w:b/>
          <w:bCs/>
          <w:sz w:val="20"/>
          <w:szCs w:val="20"/>
        </w:rPr>
        <w:t>10 particule</w:t>
      </w:r>
      <w:r>
        <w:rPr>
          <w:sz w:val="20"/>
          <w:szCs w:val="20"/>
        </w:rPr>
        <w:t xml:space="preserve">s suffisent, +++ chez les </w:t>
      </w:r>
      <w:r>
        <w:rPr>
          <w:b/>
          <w:bCs/>
          <w:sz w:val="20"/>
          <w:szCs w:val="20"/>
        </w:rPr>
        <w:t>enfants de 4 à 24 mois</w:t>
      </w:r>
    </w:p>
    <w:p w14:paraId="1DDD7E8A" w14:textId="77777777" w:rsidR="00207C66" w:rsidRDefault="00000000">
      <w:pPr>
        <w:pStyle w:val="Standard"/>
        <w:numPr>
          <w:ilvl w:val="1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Donne des diarrhées aqueuses abondantes → déshydratation (mortalité infantile Asie/Afrique)</w:t>
      </w:r>
    </w:p>
    <w:p w14:paraId="554C432E" w14:textId="77777777" w:rsidR="00207C66" w:rsidRDefault="00000000">
      <w:pPr>
        <w:pStyle w:val="Standard"/>
        <w:numPr>
          <w:ilvl w:val="1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Souvent asymptomatique chez l’adulte</w:t>
      </w:r>
    </w:p>
    <w:p w14:paraId="69BA2DC0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Norovirus / Calcivirus → cause la plus fréquente de diarrhée non-bactérienne dans le monde, 100 particules</w:t>
      </w:r>
    </w:p>
    <w:p w14:paraId="267A0A20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</w:rPr>
      </w:pPr>
      <w:r>
        <w:rPr>
          <w:sz w:val="20"/>
          <w:szCs w:val="20"/>
        </w:rPr>
        <w:t>Adénovirus entérique → 2</w:t>
      </w:r>
      <w:r>
        <w:rPr>
          <w:sz w:val="20"/>
          <w:szCs w:val="20"/>
          <w:vertAlign w:val="superscript"/>
        </w:rPr>
        <w:t>e</w:t>
      </w:r>
      <w:r>
        <w:rPr>
          <w:sz w:val="20"/>
          <w:szCs w:val="20"/>
        </w:rPr>
        <w:t xml:space="preserve"> cause de gastro-entérite chez l’enfant</w:t>
      </w:r>
    </w:p>
    <w:p w14:paraId="32E32C44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Astrovirus → épidémies en EMS et en pédiatrie</w:t>
      </w:r>
    </w:p>
    <w:p w14:paraId="502600D9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5CFB5DFF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Entamoeba histolytica →infection par kyste quadri-nucléé, puis trophozoïtes mononucléés dans le grêle</w:t>
      </w:r>
    </w:p>
    <w:p w14:paraId="3251DF52" w14:textId="77777777" w:rsidR="00207C66" w:rsidRDefault="00000000">
      <w:pPr>
        <w:pStyle w:val="Standard"/>
        <w:numPr>
          <w:ilvl w:val="1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Cycle non-pathogène (90%) → excrétion asymptomatique dans les selles</w:t>
      </w:r>
    </w:p>
    <w:p w14:paraId="09F124E9" w14:textId="77777777" w:rsidR="00207C66" w:rsidRDefault="00000000">
      <w:pPr>
        <w:pStyle w:val="Standard"/>
        <w:numPr>
          <w:ilvl w:val="1"/>
          <w:numId w:val="25"/>
        </w:numPr>
        <w:rPr>
          <w:rFonts w:hint="eastAsia"/>
        </w:rPr>
      </w:pPr>
      <w:r>
        <w:rPr>
          <w:sz w:val="20"/>
          <w:szCs w:val="20"/>
        </w:rPr>
        <w:t xml:space="preserve">Cycle pathogène (10%) → infection invasive → </w:t>
      </w:r>
      <w:r>
        <w:rPr>
          <w:b/>
          <w:bCs/>
          <w:sz w:val="20"/>
          <w:szCs w:val="20"/>
        </w:rPr>
        <w:t>ulcères + diarrhées inflammatoires</w:t>
      </w:r>
    </w:p>
    <w:p w14:paraId="0321A323" w14:textId="77777777" w:rsidR="00207C66" w:rsidRDefault="00000000">
      <w:pPr>
        <w:pStyle w:val="Standard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± dissémination à la circulation sanguine → abcès hépatique, plus rarement pulmonaires / cérébraux</w:t>
      </w:r>
    </w:p>
    <w:p w14:paraId="3C7C3ACD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Giardia lamblia : provoque une infection non-invasive et donc des diarrhées aqueuses</w:t>
      </w:r>
    </w:p>
    <w:p w14:paraId="04E89016" w14:textId="77777777" w:rsidR="00207C66" w:rsidRDefault="00000000">
      <w:pPr>
        <w:pStyle w:val="Standard"/>
        <w:numPr>
          <w:ilvl w:val="1"/>
          <w:numId w:val="25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FR : déficit en IgA, agammaglobulinémie de Bruton</w:t>
      </w:r>
    </w:p>
    <w:p w14:paraId="68EC5CA7" w14:textId="77777777" w:rsidR="00207C66" w:rsidRDefault="00000000">
      <w:pPr>
        <w:pStyle w:val="Standard"/>
        <w:numPr>
          <w:ilvl w:val="1"/>
          <w:numId w:val="25"/>
        </w:numPr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CAVE infection chronique → atrophie des villi → malabsorption / perte de poids</w:t>
      </w:r>
    </w:p>
    <w:p w14:paraId="4EAB6981" w14:textId="77777777" w:rsidR="00207C66" w:rsidRDefault="00000000">
      <w:pPr>
        <w:pStyle w:val="Standard"/>
        <w:numPr>
          <w:ilvl w:val="0"/>
          <w:numId w:val="2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Cryptosporidium, Cystoisospora belli, Cyclopsora sur SIDA ; Microsporidium sur cholangite</w:t>
      </w:r>
    </w:p>
    <w:p w14:paraId="20FB56DA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653FACA1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Clinique :</w:t>
      </w:r>
    </w:p>
    <w:p w14:paraId="56CE889C" w14:textId="77777777" w:rsidR="00207C66" w:rsidRDefault="00000000">
      <w:pPr>
        <w:pStyle w:val="Standard"/>
        <w:numPr>
          <w:ilvl w:val="0"/>
          <w:numId w:val="2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Diarrhée sécrétoire aqueuse non-inflammatoire (grêle proximal) → virus, ETEC, EAEC, vibrio cholerae</w:t>
      </w:r>
    </w:p>
    <w:p w14:paraId="4C5BA6A2" w14:textId="77777777" w:rsidR="00207C66" w:rsidRDefault="00000000">
      <w:pPr>
        <w:pStyle w:val="Standard"/>
        <w:numPr>
          <w:ilvl w:val="0"/>
          <w:numId w:val="2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Diarrhée inflammatoire (invasion muqueuse + cytotoxines sur côlon) → SSYC, EHEC, C. difficile, aeromonas</w:t>
      </w:r>
    </w:p>
    <w:p w14:paraId="73146625" w14:textId="77777777" w:rsidR="00207C66" w:rsidRDefault="00000000">
      <w:pPr>
        <w:pStyle w:val="Standard"/>
        <w:numPr>
          <w:ilvl w:val="0"/>
          <w:numId w:val="26"/>
        </w:numPr>
        <w:rPr>
          <w:rFonts w:hint="eastAsia"/>
        </w:rPr>
      </w:pPr>
      <w:r>
        <w:rPr>
          <w:sz w:val="20"/>
          <w:szCs w:val="20"/>
        </w:rPr>
        <w:t xml:space="preserve">Fièvre entérique sur invasion tissu lymphoïde sous-jacent → </w:t>
      </w:r>
      <w:r>
        <w:rPr>
          <w:b/>
          <w:bCs/>
          <w:sz w:val="20"/>
          <w:szCs w:val="20"/>
        </w:rPr>
        <w:t>perforation, hémorragie, hépatite, cholécystite</w:t>
      </w:r>
    </w:p>
    <w:p w14:paraId="709F9CB7" w14:textId="77777777" w:rsidR="00207C66" w:rsidRDefault="00000000">
      <w:pPr>
        <w:pStyle w:val="Standard"/>
        <w:numPr>
          <w:ilvl w:val="1"/>
          <w:numId w:val="26"/>
        </w:numPr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Salmonella Typhi → fièvre, constipation, confusion, hépato-splénomégalie, éruption maculo-papulaire</w:t>
      </w:r>
    </w:p>
    <w:p w14:paraId="364BFB50" w14:textId="77777777" w:rsidR="00207C66" w:rsidRDefault="00000000">
      <w:pPr>
        <w:pStyle w:val="Standard"/>
        <w:numPr>
          <w:ilvl w:val="1"/>
          <w:numId w:val="26"/>
        </w:numPr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Yersinia enterocolitica → ADP mésentérique mimant une appendicite, risque de perforation</w:t>
      </w:r>
    </w:p>
    <w:p w14:paraId="1BF4F605" w14:textId="77777777" w:rsidR="00207C66" w:rsidRDefault="00000000">
      <w:pPr>
        <w:pStyle w:val="Standard"/>
        <w:numPr>
          <w:ilvl w:val="0"/>
          <w:numId w:val="2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Diarrhées amibiennes :</w:t>
      </w:r>
    </w:p>
    <w:p w14:paraId="1F8EDC02" w14:textId="77777777" w:rsidR="00207C66" w:rsidRDefault="00000000">
      <w:pPr>
        <w:pStyle w:val="Standard"/>
        <w:numPr>
          <w:ilvl w:val="1"/>
          <w:numId w:val="2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Diarrhées aqueuses en cas d’infection superficielle</w:t>
      </w:r>
    </w:p>
    <w:p w14:paraId="469B096D" w14:textId="77777777" w:rsidR="00207C66" w:rsidRDefault="00000000">
      <w:pPr>
        <w:pStyle w:val="Standard"/>
        <w:numPr>
          <w:ilvl w:val="1"/>
          <w:numId w:val="2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Diarrhées sanglantes, douleurs abdominales et abcès hépatiques en cas d’infection invasive</w:t>
      </w:r>
    </w:p>
    <w:p w14:paraId="44C56620" w14:textId="77777777" w:rsidR="00207C66" w:rsidRDefault="00000000">
      <w:pPr>
        <w:pStyle w:val="Standard"/>
        <w:numPr>
          <w:ilvl w:val="0"/>
          <w:numId w:val="26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Giardiase → résolution en 4-6 semaines, mais risque de malabsorption/perte de poids si chronique</w:t>
      </w:r>
    </w:p>
    <w:p w14:paraId="63EBB70F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64DAA7B1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Complications :</w:t>
      </w:r>
    </w:p>
    <w:p w14:paraId="33602B0F" w14:textId="77777777" w:rsidR="00207C66" w:rsidRDefault="00000000">
      <w:pPr>
        <w:pStyle w:val="Standard"/>
        <w:numPr>
          <w:ilvl w:val="0"/>
          <w:numId w:val="27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Salmonella non-Typhi → bactériémie 2-4 % avec foyers secondaires (os, articulations, valves, vaisseaux)</w:t>
      </w:r>
    </w:p>
    <w:p w14:paraId="0B60BEA9" w14:textId="77777777" w:rsidR="00207C66" w:rsidRDefault="00000000">
      <w:pPr>
        <w:pStyle w:val="Standard"/>
        <w:numPr>
          <w:ilvl w:val="0"/>
          <w:numId w:val="2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Salmonella Typhi → choc septique, perforation digestive</w:t>
      </w:r>
    </w:p>
    <w:p w14:paraId="197F1591" w14:textId="77777777" w:rsidR="00207C66" w:rsidRDefault="00000000">
      <w:pPr>
        <w:pStyle w:val="Standard"/>
        <w:numPr>
          <w:ilvl w:val="0"/>
          <w:numId w:val="2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Campylobacter jejuni → syndrome de Guillain-Barré</w:t>
      </w:r>
    </w:p>
    <w:p w14:paraId="3B6B09AF" w14:textId="77777777" w:rsidR="00207C66" w:rsidRDefault="00000000">
      <w:pPr>
        <w:pStyle w:val="Standard"/>
        <w:numPr>
          <w:ilvl w:val="0"/>
          <w:numId w:val="2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SSYC → arthrite réactive</w:t>
      </w:r>
    </w:p>
    <w:p w14:paraId="145F4649" w14:textId="77777777" w:rsidR="00207C66" w:rsidRDefault="00000000">
      <w:pPr>
        <w:pStyle w:val="Standard"/>
        <w:numPr>
          <w:ilvl w:val="0"/>
          <w:numId w:val="27"/>
        </w:numPr>
        <w:rPr>
          <w:rFonts w:hint="eastAsia"/>
        </w:rPr>
      </w:pPr>
      <w:r>
        <w:rPr>
          <w:sz w:val="20"/>
          <w:szCs w:val="20"/>
        </w:rPr>
        <w:t xml:space="preserve">Entamoeba histolytica → abcès hépatiques et </w:t>
      </w:r>
      <w:r>
        <w:rPr>
          <w:b/>
          <w:bCs/>
          <w:sz w:val="20"/>
          <w:szCs w:val="20"/>
        </w:rPr>
        <w:t>syndrome du côlon irritable post-infectieux</w:t>
      </w:r>
    </w:p>
    <w:p w14:paraId="26180B7A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037D2090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Diagnostic :</w:t>
      </w:r>
    </w:p>
    <w:p w14:paraId="7256F499" w14:textId="77777777" w:rsidR="00207C66" w:rsidRDefault="00000000">
      <w:pPr>
        <w:pStyle w:val="Standard"/>
        <w:numPr>
          <w:ilvl w:val="0"/>
          <w:numId w:val="2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Hémocultures → à faire en cas d’infection sévère avec hospitalisation</w:t>
      </w:r>
    </w:p>
    <w:p w14:paraId="0CF28BF2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Ex. Salmonella Typhi : positivité 90 % la première semaine, 50 % la deuxième (pic dans selles à 2 semaines)</w:t>
      </w:r>
    </w:p>
    <w:p w14:paraId="4FEF67DA" w14:textId="77777777" w:rsidR="00207C66" w:rsidRDefault="00000000">
      <w:pPr>
        <w:pStyle w:val="Standard"/>
        <w:numPr>
          <w:ilvl w:val="0"/>
          <w:numId w:val="2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Labo → rechercher des troubles électrolytiques (hypokaliémie), une IRA et une leucocytose</w:t>
      </w:r>
    </w:p>
    <w:p w14:paraId="2E700517" w14:textId="77777777" w:rsidR="00207C66" w:rsidRDefault="00000000">
      <w:pPr>
        <w:pStyle w:val="Standard"/>
        <w:numPr>
          <w:ilvl w:val="0"/>
          <w:numId w:val="28"/>
        </w:numPr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Indications à l’examen microbiologique de selles :</w:t>
      </w:r>
    </w:p>
    <w:p w14:paraId="1A80169A" w14:textId="77777777" w:rsidR="00207C66" w:rsidRDefault="00000000">
      <w:pPr>
        <w:pStyle w:val="Standard"/>
        <w:numPr>
          <w:ilvl w:val="1"/>
          <w:numId w:val="2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Diarrhées inflammatoires (dysentérie)</w:t>
      </w:r>
    </w:p>
    <w:p w14:paraId="3EEFE438" w14:textId="77777777" w:rsidR="00207C66" w:rsidRDefault="00000000">
      <w:pPr>
        <w:pStyle w:val="Standard"/>
        <w:numPr>
          <w:ilvl w:val="1"/>
          <w:numId w:val="2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Fièvre</w:t>
      </w:r>
    </w:p>
    <w:p w14:paraId="1412FCC2" w14:textId="77777777" w:rsidR="00207C66" w:rsidRDefault="00000000">
      <w:pPr>
        <w:pStyle w:val="Standard"/>
        <w:numPr>
          <w:ilvl w:val="1"/>
          <w:numId w:val="2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Nombre de diarrhées important avec déshydratation</w:t>
      </w:r>
    </w:p>
    <w:p w14:paraId="37774BBC" w14:textId="77777777" w:rsidR="00207C66" w:rsidRDefault="00000000">
      <w:pPr>
        <w:pStyle w:val="Standard"/>
        <w:numPr>
          <w:ilvl w:val="1"/>
          <w:numId w:val="2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Diarrhées ≥ 7 jours</w:t>
      </w:r>
    </w:p>
    <w:p w14:paraId="76A13A0B" w14:textId="77777777" w:rsidR="00207C66" w:rsidRDefault="00000000">
      <w:pPr>
        <w:pStyle w:val="Standard"/>
        <w:numPr>
          <w:ilvl w:val="1"/>
          <w:numId w:val="2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Exposition aux antibiotiques</w:t>
      </w:r>
    </w:p>
    <w:p w14:paraId="223CB487" w14:textId="77777777" w:rsidR="00207C66" w:rsidRDefault="00000000">
      <w:pPr>
        <w:pStyle w:val="Standard"/>
        <w:numPr>
          <w:ilvl w:val="1"/>
          <w:numId w:val="2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Contexte épidémique</w:t>
      </w:r>
    </w:p>
    <w:p w14:paraId="0DE674B0" w14:textId="77777777" w:rsidR="00207C66" w:rsidRDefault="00000000">
      <w:pPr>
        <w:pStyle w:val="Standard"/>
        <w:numPr>
          <w:ilvl w:val="0"/>
          <w:numId w:val="2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Cultures de selles → détection de Salmonella, Shigella, Campylobacter ± Yersinia et Vibrio cholerae</w:t>
      </w:r>
    </w:p>
    <w:p w14:paraId="5D174F04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! pas de distinction des E. coli pathogènes de la flore normale à la culture, donc rechercher les entérotoxines</w:t>
      </w:r>
    </w:p>
    <w:p w14:paraId="623F2671" w14:textId="77777777" w:rsidR="00207C66" w:rsidRDefault="00000000">
      <w:pPr>
        <w:pStyle w:val="Standard"/>
        <w:numPr>
          <w:ilvl w:val="0"/>
          <w:numId w:val="28"/>
        </w:numPr>
        <w:rPr>
          <w:rFonts w:hint="eastAsia"/>
        </w:rPr>
      </w:pPr>
      <w:r>
        <w:rPr>
          <w:sz w:val="20"/>
          <w:szCs w:val="20"/>
        </w:rPr>
        <w:t xml:space="preserve">PCR → remplace les cultures car longues/fastidieuse ; </w:t>
      </w:r>
      <w:r>
        <w:rPr>
          <w:color w:val="FF0000"/>
          <w:sz w:val="20"/>
          <w:szCs w:val="20"/>
        </w:rPr>
        <w:t>mais une culture est nécessaire pour antibiogramme !</w:t>
      </w:r>
    </w:p>
    <w:p w14:paraId="2BB29CA9" w14:textId="77777777" w:rsidR="00207C66" w:rsidRDefault="00000000">
      <w:pPr>
        <w:pStyle w:val="Standard"/>
        <w:numPr>
          <w:ilvl w:val="0"/>
          <w:numId w:val="2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Recherche de C. difficile : EIA pour toxines A et B, antigène GDH ou gène tcdB par PCR</w:t>
      </w:r>
    </w:p>
    <w:p w14:paraId="7E30D08A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! recherche de C. difficile uniquement sur selles diarrhéiques, car ne différencie pas infection et colonisation</w:t>
      </w:r>
    </w:p>
    <w:p w14:paraId="31BD3379" w14:textId="77777777" w:rsidR="00207C66" w:rsidRDefault="00000000">
      <w:pPr>
        <w:pStyle w:val="Standard"/>
        <w:numPr>
          <w:ilvl w:val="0"/>
          <w:numId w:val="2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Pour les diarrhées chroniques :</w:t>
      </w:r>
    </w:p>
    <w:p w14:paraId="426C6DD1" w14:textId="77777777" w:rsidR="00207C66" w:rsidRDefault="00000000">
      <w:pPr>
        <w:pStyle w:val="Standard"/>
        <w:numPr>
          <w:ilvl w:val="1"/>
          <w:numId w:val="28"/>
        </w:numPr>
        <w:rPr>
          <w:rFonts w:hint="eastAsia"/>
        </w:rPr>
      </w:pPr>
      <w:r>
        <w:rPr>
          <w:b/>
          <w:bCs/>
          <w:sz w:val="20"/>
          <w:szCs w:val="20"/>
        </w:rPr>
        <w:t>PCR et tests antigéniques</w:t>
      </w:r>
      <w:r>
        <w:rPr>
          <w:sz w:val="20"/>
          <w:szCs w:val="20"/>
        </w:rPr>
        <w:t xml:space="preserve"> préférés car plus sensibles que l’examen direct</w:t>
      </w:r>
    </w:p>
    <w:p w14:paraId="54BDC1FE" w14:textId="77777777" w:rsidR="00207C66" w:rsidRDefault="00000000">
      <w:pPr>
        <w:pStyle w:val="Standard"/>
        <w:numPr>
          <w:ilvl w:val="1"/>
          <w:numId w:val="2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L’examen direct avec coloration de Ziehl-Neelsen reste utile chez l’immunocompromis (cyclospora, etc.)</w:t>
      </w:r>
    </w:p>
    <w:p w14:paraId="0EC809AA" w14:textId="77777777" w:rsidR="00207C66" w:rsidRDefault="00000000">
      <w:pPr>
        <w:pStyle w:val="Standard"/>
        <w:numPr>
          <w:ilvl w:val="1"/>
          <w:numId w:val="28"/>
        </w:numPr>
        <w:rPr>
          <w:rFonts w:hint="eastAsia"/>
        </w:rPr>
      </w:pPr>
      <w:r>
        <w:rPr>
          <w:sz w:val="20"/>
          <w:szCs w:val="20"/>
        </w:rPr>
        <w:t xml:space="preserve">La </w:t>
      </w:r>
      <w:r>
        <w:rPr>
          <w:b/>
          <w:bCs/>
          <w:sz w:val="20"/>
          <w:szCs w:val="20"/>
        </w:rPr>
        <w:t>sérologie</w:t>
      </w:r>
      <w:r>
        <w:rPr>
          <w:sz w:val="20"/>
          <w:szCs w:val="20"/>
        </w:rPr>
        <w:t xml:space="preserve"> aide à la détection d’une amibiase dans un contexte d’abcès hépatique</w:t>
      </w:r>
    </w:p>
    <w:p w14:paraId="2B2770D0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231F9BEE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TTT :</w:t>
      </w:r>
    </w:p>
    <w:p w14:paraId="0EADAE10" w14:textId="77777777" w:rsidR="00207C66" w:rsidRDefault="00000000">
      <w:pPr>
        <w:pStyle w:val="Standard"/>
        <w:numPr>
          <w:ilvl w:val="0"/>
          <w:numId w:val="29"/>
        </w:numPr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Enfants et adultes immunocompétents → traitement empirique pas nécessaire dans les diarrhées sanglantes</w:t>
      </w:r>
    </w:p>
    <w:p w14:paraId="37FB62EC" w14:textId="77777777" w:rsidR="00207C66" w:rsidRDefault="00000000">
      <w:pPr>
        <w:pStyle w:val="Standard"/>
        <w:numPr>
          <w:ilvl w:val="0"/>
          <w:numId w:val="29"/>
        </w:numPr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Indications au traitement empirique :</w:t>
      </w:r>
    </w:p>
    <w:p w14:paraId="420EB9AC" w14:textId="77777777" w:rsidR="00207C66" w:rsidRDefault="00000000">
      <w:pPr>
        <w:pStyle w:val="Standard"/>
        <w:numPr>
          <w:ilvl w:val="1"/>
          <w:numId w:val="2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Enfant &lt; 3 mois à suspicion de diarrhée bactérienne</w:t>
      </w:r>
    </w:p>
    <w:p w14:paraId="49F5CF54" w14:textId="77777777" w:rsidR="00207C66" w:rsidRDefault="00000000">
      <w:pPr>
        <w:pStyle w:val="Standard"/>
        <w:numPr>
          <w:ilvl w:val="1"/>
          <w:numId w:val="2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Suspicion de Shigella chez l’immunocompétent (fièvre, douleurs abdominales, sang, dysentérie)</w:t>
      </w:r>
    </w:p>
    <w:p w14:paraId="761FAD2B" w14:textId="77777777" w:rsidR="00207C66" w:rsidRDefault="00000000">
      <w:pPr>
        <w:pStyle w:val="Standard"/>
        <w:numPr>
          <w:ilvl w:val="1"/>
          <w:numId w:val="2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Maladie sévère ou diarrhées sanglantes chez l’immunocompromis</w:t>
      </w:r>
    </w:p>
    <w:p w14:paraId="38433ACA" w14:textId="77777777" w:rsidR="00207C66" w:rsidRDefault="00000000">
      <w:pPr>
        <w:pStyle w:val="Standard"/>
        <w:numPr>
          <w:ilvl w:val="1"/>
          <w:numId w:val="2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Voyage avec fièvre ≥ 38.5°</w:t>
      </w:r>
    </w:p>
    <w:p w14:paraId="06332E14" w14:textId="77777777" w:rsidR="00207C66" w:rsidRDefault="00000000">
      <w:pPr>
        <w:pStyle w:val="Standard"/>
        <w:numPr>
          <w:ilvl w:val="1"/>
          <w:numId w:val="2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Sepsis / suspicion de fièvre entérique</w:t>
      </w:r>
    </w:p>
    <w:p w14:paraId="747B6ECF" w14:textId="77777777" w:rsidR="00207C66" w:rsidRDefault="00000000">
      <w:pPr>
        <w:pStyle w:val="Standard"/>
        <w:numPr>
          <w:ilvl w:val="0"/>
          <w:numId w:val="2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Le traitement de Shigella diminue la contagiosité et donc les cas secondaires</w:t>
      </w:r>
    </w:p>
    <w:p w14:paraId="3E56E838" w14:textId="77777777" w:rsidR="00207C66" w:rsidRDefault="00000000">
      <w:pPr>
        <w:pStyle w:val="Standard"/>
        <w:numPr>
          <w:ilvl w:val="0"/>
          <w:numId w:val="2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Le traitement de Salmonella non-Typhi prolonge le portage fécal</w:t>
      </w:r>
    </w:p>
    <w:p w14:paraId="27179146" w14:textId="77777777" w:rsidR="00207C66" w:rsidRDefault="00000000">
      <w:pPr>
        <w:pStyle w:val="Standard"/>
        <w:numPr>
          <w:ilvl w:val="0"/>
          <w:numId w:val="2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>Salmonella non-Tyhi doit être traité si &lt; 6 mois, &gt; 50 ans, immunosup. ou prothèse vasculaire/cardiaque</w:t>
      </w:r>
    </w:p>
    <w:p w14:paraId="4E2CF79B" w14:textId="77777777" w:rsidR="00207C66" w:rsidRDefault="00000000">
      <w:pPr>
        <w:pStyle w:val="Standard"/>
        <w:numPr>
          <w:ilvl w:val="0"/>
          <w:numId w:val="2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C. difficile :</w:t>
      </w:r>
    </w:p>
    <w:p w14:paraId="2E23D299" w14:textId="77777777" w:rsidR="00207C66" w:rsidRDefault="00000000">
      <w:pPr>
        <w:pStyle w:val="Standard"/>
        <w:numPr>
          <w:ilvl w:val="1"/>
          <w:numId w:val="2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FR de récidive : AB concomitants, &gt; 75 ans, immunosuppression, IR avec créatinine &gt; 130 μm/l</w:t>
      </w:r>
    </w:p>
    <w:p w14:paraId="2F52F087" w14:textId="77777777" w:rsidR="00207C66" w:rsidRDefault="00000000">
      <w:pPr>
        <w:pStyle w:val="Standard"/>
        <w:numPr>
          <w:ilvl w:val="1"/>
          <w:numId w:val="2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Infection sévère : leucocytes &gt; 15G/l, albumine &lt; 30 g/l, IRA</w:t>
      </w:r>
    </w:p>
    <w:p w14:paraId="1BE246AF" w14:textId="77777777" w:rsidR="00207C66" w:rsidRDefault="00000000">
      <w:pPr>
        <w:pStyle w:val="Standard"/>
        <w:numPr>
          <w:ilvl w:val="0"/>
          <w:numId w:val="29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Campylobacter est résistant aux fluoroquinolones dans &gt; 50 % des cas</w:t>
      </w:r>
    </w:p>
    <w:p w14:paraId="52BE60AB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6C8F69B1" w14:textId="77777777" w:rsidR="00207C66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Vaccination :</w:t>
      </w:r>
    </w:p>
    <w:p w14:paraId="54D6A8E1" w14:textId="77777777" w:rsidR="00207C66" w:rsidRDefault="00000000">
      <w:pPr>
        <w:pStyle w:val="Standard"/>
        <w:numPr>
          <w:ilvl w:val="0"/>
          <w:numId w:val="30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Vibrio cholerae → monovalent oral protège 6 mois les petits enfants et 2 ans les adultes, bivalent protège 5 ans</w:t>
      </w:r>
    </w:p>
    <w:p w14:paraId="4A19AA10" w14:textId="77777777" w:rsidR="00207C66" w:rsidRDefault="00000000">
      <w:pPr>
        <w:pStyle w:val="Standard"/>
        <w:numPr>
          <w:ilvl w:val="1"/>
          <w:numId w:val="30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Indications : choléra endémique, personnel humanitaire</w:t>
      </w:r>
    </w:p>
    <w:p w14:paraId="559DF7FC" w14:textId="77777777" w:rsidR="00207C66" w:rsidRDefault="00000000">
      <w:pPr>
        <w:pStyle w:val="Standard"/>
        <w:numPr>
          <w:ilvl w:val="1"/>
          <w:numId w:val="30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Pas de recommandations pour le simple voyageur</w:t>
      </w:r>
    </w:p>
    <w:p w14:paraId="283F6606" w14:textId="77777777" w:rsidR="00207C66" w:rsidRDefault="00000000">
      <w:pPr>
        <w:pStyle w:val="Standard"/>
        <w:numPr>
          <w:ilvl w:val="0"/>
          <w:numId w:val="30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Rotavirus → pas recommandé</w:t>
      </w:r>
    </w:p>
    <w:p w14:paraId="2339C81A" w14:textId="77777777" w:rsidR="00207C66" w:rsidRDefault="00000000">
      <w:pPr>
        <w:pStyle w:val="Standard"/>
        <w:numPr>
          <w:ilvl w:val="0"/>
          <w:numId w:val="30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Salmonella Typhi → vaccin vivant efficace à 50 %, vaccin polysaccharidique pour les immunocompromis</w:t>
      </w:r>
    </w:p>
    <w:p w14:paraId="7ABE51B4" w14:textId="77777777" w:rsidR="00207C66" w:rsidRDefault="00000000">
      <w:pPr>
        <w:pStyle w:val="Standard"/>
        <w:numPr>
          <w:ilvl w:val="1"/>
          <w:numId w:val="30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Indications : voyageurs en Asie du </w:t>
      </w:r>
      <w:proofErr w:type="gramStart"/>
      <w:r>
        <w:rPr>
          <w:sz w:val="20"/>
          <w:szCs w:val="20"/>
        </w:rPr>
        <w:t>sud-est</w:t>
      </w:r>
      <w:proofErr w:type="gramEnd"/>
      <w:r>
        <w:rPr>
          <w:sz w:val="20"/>
          <w:szCs w:val="20"/>
        </w:rPr>
        <w:t>, personnel de laboratoire</w:t>
      </w:r>
    </w:p>
    <w:p w14:paraId="7251526F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34D469D5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53ECCD72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3E9269AD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11ECF4D5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p w14:paraId="4A7940D5" w14:textId="77777777" w:rsidR="00207C66" w:rsidRDefault="00207C66">
      <w:pPr>
        <w:pStyle w:val="Standard"/>
        <w:rPr>
          <w:rFonts w:hint="eastAsia"/>
          <w:sz w:val="20"/>
          <w:szCs w:val="20"/>
        </w:rPr>
      </w:pPr>
    </w:p>
    <w:sectPr w:rsidR="00207C66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19E06" w14:textId="77777777" w:rsidR="000D09A0" w:rsidRDefault="000D09A0">
      <w:pPr>
        <w:rPr>
          <w:rFonts w:hint="eastAsia"/>
        </w:rPr>
      </w:pPr>
      <w:r>
        <w:separator/>
      </w:r>
    </w:p>
  </w:endnote>
  <w:endnote w:type="continuationSeparator" w:id="0">
    <w:p w14:paraId="600ABBBC" w14:textId="77777777" w:rsidR="000D09A0" w:rsidRDefault="000D09A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panose1 w:val="020B0604020202020204"/>
    <w:charset w:val="02"/>
    <w:family w:val="auto"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B0604020202020204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0E3E2" w14:textId="77777777" w:rsidR="000D09A0" w:rsidRDefault="000D09A0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7C5CFF2" w14:textId="77777777" w:rsidR="000D09A0" w:rsidRDefault="000D09A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453"/>
    <w:multiLevelType w:val="multilevel"/>
    <w:tmpl w:val="EAF69AB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020A5CDD"/>
    <w:multiLevelType w:val="multilevel"/>
    <w:tmpl w:val="86FE5F8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2CB6559"/>
    <w:multiLevelType w:val="multilevel"/>
    <w:tmpl w:val="9DD4450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084F69D8"/>
    <w:multiLevelType w:val="multilevel"/>
    <w:tmpl w:val="A4D4063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09ED05FB"/>
    <w:multiLevelType w:val="multilevel"/>
    <w:tmpl w:val="362C994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12AE4576"/>
    <w:multiLevelType w:val="multilevel"/>
    <w:tmpl w:val="1BA263B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12C67C02"/>
    <w:multiLevelType w:val="multilevel"/>
    <w:tmpl w:val="36FA79E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138E70ED"/>
    <w:multiLevelType w:val="multilevel"/>
    <w:tmpl w:val="1902AE3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140E0D40"/>
    <w:multiLevelType w:val="multilevel"/>
    <w:tmpl w:val="2B1C2F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154952D5"/>
    <w:multiLevelType w:val="multilevel"/>
    <w:tmpl w:val="10DAF21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171074B7"/>
    <w:multiLevelType w:val="multilevel"/>
    <w:tmpl w:val="BE28AE9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188A2680"/>
    <w:multiLevelType w:val="multilevel"/>
    <w:tmpl w:val="7B76D79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1FC4670A"/>
    <w:multiLevelType w:val="multilevel"/>
    <w:tmpl w:val="4FA6F7C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20466365"/>
    <w:multiLevelType w:val="multilevel"/>
    <w:tmpl w:val="E05E154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35ED14F7"/>
    <w:multiLevelType w:val="multilevel"/>
    <w:tmpl w:val="11A6841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38013E0D"/>
    <w:multiLevelType w:val="multilevel"/>
    <w:tmpl w:val="6644989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3CAC5D93"/>
    <w:multiLevelType w:val="multilevel"/>
    <w:tmpl w:val="4898433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3F5E44CB"/>
    <w:multiLevelType w:val="multilevel"/>
    <w:tmpl w:val="DE4459A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8" w15:restartNumberingAfterBreak="0">
    <w:nsid w:val="450F1CF6"/>
    <w:multiLevelType w:val="multilevel"/>
    <w:tmpl w:val="973A127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55381211"/>
    <w:multiLevelType w:val="multilevel"/>
    <w:tmpl w:val="AA2A992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563B5ADB"/>
    <w:multiLevelType w:val="multilevel"/>
    <w:tmpl w:val="9CFCE5E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1" w15:restartNumberingAfterBreak="0">
    <w:nsid w:val="5BB5045B"/>
    <w:multiLevelType w:val="multilevel"/>
    <w:tmpl w:val="7DC08C5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2" w15:restartNumberingAfterBreak="0">
    <w:nsid w:val="5BC4271C"/>
    <w:multiLevelType w:val="multilevel"/>
    <w:tmpl w:val="175CAD6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3" w15:restartNumberingAfterBreak="0">
    <w:nsid w:val="62215387"/>
    <w:multiLevelType w:val="multilevel"/>
    <w:tmpl w:val="2E84D69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4" w15:restartNumberingAfterBreak="0">
    <w:nsid w:val="63103330"/>
    <w:multiLevelType w:val="multilevel"/>
    <w:tmpl w:val="E744AFD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5" w15:restartNumberingAfterBreak="0">
    <w:nsid w:val="70EF519C"/>
    <w:multiLevelType w:val="multilevel"/>
    <w:tmpl w:val="3048AEA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6" w15:restartNumberingAfterBreak="0">
    <w:nsid w:val="711E5298"/>
    <w:multiLevelType w:val="multilevel"/>
    <w:tmpl w:val="B302EC3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7" w15:restartNumberingAfterBreak="0">
    <w:nsid w:val="72C6748A"/>
    <w:multiLevelType w:val="multilevel"/>
    <w:tmpl w:val="4900EDC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8" w15:restartNumberingAfterBreak="0">
    <w:nsid w:val="75C72998"/>
    <w:multiLevelType w:val="multilevel"/>
    <w:tmpl w:val="B856499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9" w15:restartNumberingAfterBreak="0">
    <w:nsid w:val="7D7D6C87"/>
    <w:multiLevelType w:val="multilevel"/>
    <w:tmpl w:val="9446BD4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340234732">
    <w:abstractNumId w:val="8"/>
  </w:num>
  <w:num w:numId="2" w16cid:durableId="1972324948">
    <w:abstractNumId w:val="1"/>
  </w:num>
  <w:num w:numId="3" w16cid:durableId="1122966814">
    <w:abstractNumId w:val="21"/>
  </w:num>
  <w:num w:numId="4" w16cid:durableId="901058071">
    <w:abstractNumId w:val="19"/>
  </w:num>
  <w:num w:numId="5" w16cid:durableId="1665234837">
    <w:abstractNumId w:val="26"/>
  </w:num>
  <w:num w:numId="6" w16cid:durableId="771432396">
    <w:abstractNumId w:val="3"/>
  </w:num>
  <w:num w:numId="7" w16cid:durableId="558902272">
    <w:abstractNumId w:val="12"/>
  </w:num>
  <w:num w:numId="8" w16cid:durableId="182859928">
    <w:abstractNumId w:val="6"/>
  </w:num>
  <w:num w:numId="9" w16cid:durableId="910190679">
    <w:abstractNumId w:val="28"/>
  </w:num>
  <w:num w:numId="10" w16cid:durableId="1358694618">
    <w:abstractNumId w:val="5"/>
  </w:num>
  <w:num w:numId="11" w16cid:durableId="1990744835">
    <w:abstractNumId w:val="13"/>
  </w:num>
  <w:num w:numId="12" w16cid:durableId="1924874350">
    <w:abstractNumId w:val="18"/>
  </w:num>
  <w:num w:numId="13" w16cid:durableId="576331607">
    <w:abstractNumId w:val="29"/>
  </w:num>
  <w:num w:numId="14" w16cid:durableId="100492958">
    <w:abstractNumId w:val="4"/>
  </w:num>
  <w:num w:numId="15" w16cid:durableId="271322397">
    <w:abstractNumId w:val="9"/>
  </w:num>
  <w:num w:numId="16" w16cid:durableId="1344164810">
    <w:abstractNumId w:val="27"/>
  </w:num>
  <w:num w:numId="17" w16cid:durableId="1278179133">
    <w:abstractNumId w:val="2"/>
  </w:num>
  <w:num w:numId="18" w16cid:durableId="1090351006">
    <w:abstractNumId w:val="20"/>
  </w:num>
  <w:num w:numId="19" w16cid:durableId="1921600243">
    <w:abstractNumId w:val="17"/>
  </w:num>
  <w:num w:numId="20" w16cid:durableId="2076587566">
    <w:abstractNumId w:val="0"/>
  </w:num>
  <w:num w:numId="21" w16cid:durableId="1982416361">
    <w:abstractNumId w:val="7"/>
  </w:num>
  <w:num w:numId="22" w16cid:durableId="3748782">
    <w:abstractNumId w:val="11"/>
  </w:num>
  <w:num w:numId="23" w16cid:durableId="621033129">
    <w:abstractNumId w:val="22"/>
  </w:num>
  <w:num w:numId="24" w16cid:durableId="1812555423">
    <w:abstractNumId w:val="16"/>
  </w:num>
  <w:num w:numId="25" w16cid:durableId="7175993">
    <w:abstractNumId w:val="25"/>
  </w:num>
  <w:num w:numId="26" w16cid:durableId="111175086">
    <w:abstractNumId w:val="24"/>
  </w:num>
  <w:num w:numId="27" w16cid:durableId="682821907">
    <w:abstractNumId w:val="23"/>
  </w:num>
  <w:num w:numId="28" w16cid:durableId="885025778">
    <w:abstractNumId w:val="15"/>
  </w:num>
  <w:num w:numId="29" w16cid:durableId="2021736316">
    <w:abstractNumId w:val="14"/>
  </w:num>
  <w:num w:numId="30" w16cid:durableId="416347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07C66"/>
    <w:rsid w:val="000D09A0"/>
    <w:rsid w:val="00207C66"/>
    <w:rsid w:val="006437BA"/>
    <w:rsid w:val="0094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4A2D69"/>
  <w15:docId w15:val="{D5C5F99B-71FB-D147-B455-287B5609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fr-CH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2792</Words>
  <Characters>15358</Characters>
  <Application>Microsoft Office Word</Application>
  <DocSecurity>0</DocSecurity>
  <Lines>127</Lines>
  <Paragraphs>36</Paragraphs>
  <ScaleCrop>false</ScaleCrop>
  <Company/>
  <LinksUpToDate>false</LinksUpToDate>
  <CharactersWithSpaces>18114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Dams</cp:lastModifiedBy>
  <cp:revision>2</cp:revision>
  <dcterms:created xsi:type="dcterms:W3CDTF">2025-01-28T11:38:00Z</dcterms:created>
  <dcterms:modified xsi:type="dcterms:W3CDTF">2025-01-28T11:38:00Z</dcterms:modified>
</cp:coreProperties>
</file>