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Comparaison des Types de Leucémie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4"/>
              </w:rPr>
              <w:t>Type de Leucémie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Leucémie Lymphoblastique Aiguë (LLA)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Leucémie Myéloïde Aiguë (LMA)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Leucémie Lymphoïde Chronique (LLC)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Leucémie Myéloïde Chronique (LMC)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Âge de Présentation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Enfants, jeunes adultes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Adultes (surtout &gt;60 ans)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Adultes plus âgés (&gt;60 ans)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Adultes (surtout 45-55 ans)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Progression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Rapide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Très rapide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Lente, indolente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Phase chronique, puis accélérée/blastique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Symptômes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Fatigue, fièvre, douleurs osseuses, hémorragies, infections fréquentes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Fatigue, fièvre, saignements, ecchymoses, infections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Souvent asymptomatique au début, fatigue, infections, adénopathies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Fatigue, perte de poids, douleurs osseuses, splénomégalie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Cellules Affectées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Lymphoblastes immatures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Myéloblastes immatures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Lymphocytes B matures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Cellules myéloïdes (précurseurs des globules blancs, rouges et plaquettes)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Diagnostic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Frottis sanguin, biopsie de moelle osseuse, immunophénotypage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Frottis sanguin, biopsie de moelle osseuse, immunophénotypage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Hémogramme, immunophénotypage, analyse génétique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Hémogramme, cytogénétique (présence du chromosome Philadelphie)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Anomalies à l'Origine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Translocations génétiques (ex : t(12;21), t(9;22))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Mutations génétiques (FLT3, NPM1), translocations (ex : t(15;17) dans la LMA promyélocytaire)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Anomalies génétiques (délétions 13q, trisomie 12)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Translocation t(9;22) (chromosome Philadelphie)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Traitement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Chimiothérapie intensive, thérapie ciblée, greffe de moelle osseuse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Chimiothérapie intensive, thérapie ciblée, greffe de moelle osseuse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Surveillance (watch and wait), immunothérapie, inhibiteurs de tyrosine kinase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Inhibiteurs de tyrosine kinase (ex : imatinib), greffe de moelle osseuse dans les phases avancées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0000"/>
                <w:sz w:val="20"/>
              </w:rPr>
              <w:t>Pronostic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Bon chez les enfants (85-90% de survie), moins favorable chez les adultes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Variable, dépend de l'âge et des comorbidités (30-40% de survie à 5 ans)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Généralement bon, mais dépend de l'âge et des comorbidités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Bon avec le traitement (90% de survie à 5 ans), moins favorable en phase avancée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