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9B5" w:rsidRPr="00DC1E02" w:rsidRDefault="00B9349C" w:rsidP="00BF7A31">
      <w:pPr>
        <w:spacing w:line="240" w:lineRule="auto"/>
        <w:jc w:val="center"/>
        <w:rPr>
          <w:b/>
        </w:rPr>
      </w:pPr>
      <w:r w:rsidRPr="00DC1E02">
        <w:rPr>
          <w:b/>
        </w:rPr>
        <w:t>Adénopathies chez l’enfant</w:t>
      </w:r>
    </w:p>
    <w:p w:rsidR="00DC1E02" w:rsidRPr="00DC1E02" w:rsidRDefault="00B9349C" w:rsidP="00BF7A31">
      <w:pPr>
        <w:spacing w:after="0" w:line="240" w:lineRule="auto"/>
        <w:rPr>
          <w:sz w:val="20"/>
        </w:rPr>
      </w:pPr>
      <w:r w:rsidRPr="00DC1E02">
        <w:rPr>
          <w:b/>
          <w:sz w:val="20"/>
          <w:u w:val="single"/>
        </w:rPr>
        <w:t>Rappels</w:t>
      </w:r>
      <w:r w:rsidRPr="00DC1E02">
        <w:rPr>
          <w:sz w:val="20"/>
        </w:rPr>
        <w:t> :</w:t>
      </w:r>
      <w:r w:rsidR="00DC1E02" w:rsidRPr="00DC1E02">
        <w:rPr>
          <w:sz w:val="20"/>
        </w:rPr>
        <w:t xml:space="preserve"> les ganglions lymphatiques ont pour fonction la production des acteurs du système immunitaire : plasmocytes (i.e. cellules B spécialisées)</w:t>
      </w:r>
      <w:r w:rsidR="00DC1E02">
        <w:rPr>
          <w:sz w:val="20"/>
        </w:rPr>
        <w:t xml:space="preserve">, cellules effectrices </w:t>
      </w:r>
      <w:r w:rsidR="00DC1E02" w:rsidRPr="00DC1E02">
        <w:rPr>
          <w:sz w:val="20"/>
        </w:rPr>
        <w:t>et cellules mémoires. On en dénombre chez l'Homme environ 800 pour une masse totale de 500 à 800 g. Ils sont situés le long du réseau lymphatique, regroupés en certains points « stratégiques » :</w:t>
      </w:r>
    </w:p>
    <w:p w:rsidR="00DC1E02" w:rsidRPr="00DC1E02" w:rsidRDefault="00DC1E02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 w:rsidRPr="00DC1E02">
        <w:rPr>
          <w:sz w:val="20"/>
        </w:rPr>
        <w:t>les réseaux profonds : au niveau de l’abdomen, du thorax, du cou, etc. ;</w:t>
      </w:r>
    </w:p>
    <w:p w:rsidR="00DC1E02" w:rsidRPr="00DC1E02" w:rsidRDefault="00DC1E02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DC1E02">
        <w:rPr>
          <w:sz w:val="20"/>
        </w:rPr>
        <w:t>les réseaux superficiels : aux niveaux inguinal, axillaire, occipital, cervical, etc.</w:t>
      </w:r>
    </w:p>
    <w:p w:rsidR="00B9349C" w:rsidRDefault="00B9349C" w:rsidP="00BF7A31">
      <w:pPr>
        <w:spacing w:after="0" w:line="240" w:lineRule="auto"/>
        <w:rPr>
          <w:sz w:val="20"/>
        </w:rPr>
      </w:pPr>
      <w:r w:rsidRPr="00DC1E02">
        <w:rPr>
          <w:b/>
          <w:sz w:val="20"/>
        </w:rPr>
        <w:t>Anatomie normale d’un ganglion lymphatique</w:t>
      </w:r>
      <w:r w:rsidRPr="00DC1E02">
        <w:rPr>
          <w:sz w:val="20"/>
        </w:rPr>
        <w:t> :</w:t>
      </w:r>
      <w:r w:rsidR="00DC1E02" w:rsidRPr="00DC1E02">
        <w:t xml:space="preserve"> </w:t>
      </w:r>
      <w:r w:rsidR="00DC1E02" w:rsidRPr="00135374">
        <w:rPr>
          <w:sz w:val="20"/>
        </w:rPr>
        <w:t>les ganglions lymphatiques sont réniformes, et leur taille varie en fonction de leur localisation</w:t>
      </w:r>
      <w:r w:rsidR="00135374">
        <w:rPr>
          <w:sz w:val="20"/>
        </w:rPr>
        <w:t>.</w:t>
      </w:r>
      <w:r w:rsidR="00DC6150">
        <w:rPr>
          <w:sz w:val="20"/>
        </w:rPr>
        <w:t xml:space="preserve"> Structures importantes :</w:t>
      </w:r>
    </w:p>
    <w:p w:rsidR="00DC6150" w:rsidRDefault="00DC6150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>
        <w:rPr>
          <w:sz w:val="20"/>
        </w:rPr>
        <w:t>Capsule</w:t>
      </w:r>
    </w:p>
    <w:p w:rsidR="00DC6150" w:rsidRDefault="00DC6150" w:rsidP="00DC6150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 xml:space="preserve">Vaisseaux lymphatiques afférents :  apportent lymphe non filtrée (contient CD portant antigène, pas lymphocytes). Se jettent dans les sinus marginaux (→ sinus </w:t>
      </w:r>
      <w:proofErr w:type="spellStart"/>
      <w:r>
        <w:rPr>
          <w:sz w:val="20"/>
        </w:rPr>
        <w:t>interfolliculaires</w:t>
      </w:r>
      <w:proofErr w:type="spellEnd"/>
      <w:r>
        <w:rPr>
          <w:sz w:val="20"/>
        </w:rPr>
        <w:t xml:space="preserve"> → sinus médullaires).</w:t>
      </w:r>
    </w:p>
    <w:p w:rsidR="00662EEC" w:rsidRDefault="00662EEC" w:rsidP="00662EEC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Vascularisation : le sang apporte l’oxygène et nutriments nécessaires au fonctionnement de la glande, ainsi que des lymphocytes pouvant provoquer une réaction immune.</w:t>
      </w:r>
    </w:p>
    <w:p w:rsidR="00135374" w:rsidRPr="00135374" w:rsidRDefault="00135374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 w:rsidRPr="00135374">
        <w:rPr>
          <w:sz w:val="20"/>
        </w:rPr>
        <w:t>Cortex :</w:t>
      </w:r>
      <w:r w:rsidR="00DC6150">
        <w:rPr>
          <w:sz w:val="20"/>
        </w:rPr>
        <w:t xml:space="preserve"> contient les follicules primaires (site de maturation pour les cellules B)</w:t>
      </w:r>
      <w:r w:rsidR="00440E75">
        <w:rPr>
          <w:sz w:val="20"/>
        </w:rPr>
        <w:t>. Lors d’une exposition à l’antigène, le follicule primaire devient follicule secondaire.</w:t>
      </w:r>
    </w:p>
    <w:p w:rsidR="00135374" w:rsidRPr="00135374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proofErr w:type="spellStart"/>
      <w:r w:rsidRPr="00135374">
        <w:rPr>
          <w:sz w:val="20"/>
        </w:rPr>
        <w:t>Paracortex</w:t>
      </w:r>
      <w:proofErr w:type="spellEnd"/>
      <w:r w:rsidRPr="00135374">
        <w:rPr>
          <w:sz w:val="20"/>
        </w:rPr>
        <w:t> :</w:t>
      </w:r>
      <w:r w:rsidR="00DC6150">
        <w:rPr>
          <w:sz w:val="20"/>
        </w:rPr>
        <w:t xml:space="preserve"> site d’interaction entre les CD et </w:t>
      </w:r>
      <w:proofErr w:type="spellStart"/>
      <w:r w:rsidR="00231DF9">
        <w:rPr>
          <w:sz w:val="20"/>
        </w:rPr>
        <w:t>cells</w:t>
      </w:r>
      <w:proofErr w:type="spellEnd"/>
      <w:r w:rsidR="00231DF9">
        <w:rPr>
          <w:sz w:val="20"/>
        </w:rPr>
        <w:t xml:space="preserve"> T naïves</w:t>
      </w:r>
      <w:r w:rsidR="00DC6150">
        <w:rPr>
          <w:sz w:val="20"/>
        </w:rPr>
        <w:t>.</w:t>
      </w:r>
      <w:r w:rsidR="00662EEC">
        <w:rPr>
          <w:sz w:val="20"/>
        </w:rPr>
        <w:t xml:space="preserve"> S’il y interaction entre deux cellules ayant reconnu le même antigène, </w:t>
      </w:r>
      <w:r w:rsidR="00231DF9">
        <w:rPr>
          <w:sz w:val="20"/>
        </w:rPr>
        <w:t>une partie des</w:t>
      </w:r>
      <w:r w:rsidR="00662EEC">
        <w:rPr>
          <w:sz w:val="20"/>
        </w:rPr>
        <w:t xml:space="preserve"> </w:t>
      </w:r>
      <w:proofErr w:type="spellStart"/>
      <w:r w:rsidR="00662EEC">
        <w:rPr>
          <w:sz w:val="20"/>
        </w:rPr>
        <w:t>cell</w:t>
      </w:r>
      <w:r w:rsidR="00231DF9">
        <w:rPr>
          <w:sz w:val="20"/>
        </w:rPr>
        <w:t>s</w:t>
      </w:r>
      <w:proofErr w:type="spellEnd"/>
      <w:r w:rsidR="00662EEC">
        <w:rPr>
          <w:sz w:val="20"/>
        </w:rPr>
        <w:t xml:space="preserve"> T </w:t>
      </w:r>
      <w:r w:rsidR="00231DF9">
        <w:rPr>
          <w:sz w:val="20"/>
        </w:rPr>
        <w:t xml:space="preserve">naïves deviennent effectrices et quittent le ganglion. Une autre partie des </w:t>
      </w:r>
      <w:proofErr w:type="spellStart"/>
      <w:r w:rsidR="00231DF9">
        <w:rPr>
          <w:sz w:val="20"/>
        </w:rPr>
        <w:t>cells</w:t>
      </w:r>
      <w:proofErr w:type="spellEnd"/>
      <w:r w:rsidR="00231DF9">
        <w:rPr>
          <w:sz w:val="20"/>
        </w:rPr>
        <w:t xml:space="preserve"> T naïves deviennent cellules auxiliaires folliculaires, et migrent au </w:t>
      </w:r>
      <w:r w:rsidR="00662EEC">
        <w:rPr>
          <w:sz w:val="20"/>
        </w:rPr>
        <w:t xml:space="preserve"> follicule primaire pour induire la maturation de </w:t>
      </w:r>
      <w:proofErr w:type="spellStart"/>
      <w:r w:rsidR="00662EEC">
        <w:rPr>
          <w:sz w:val="20"/>
        </w:rPr>
        <w:t>cells</w:t>
      </w:r>
      <w:proofErr w:type="spellEnd"/>
      <w:r w:rsidR="00662EEC">
        <w:rPr>
          <w:sz w:val="20"/>
        </w:rPr>
        <w:t xml:space="preserve"> B.</w:t>
      </w:r>
    </w:p>
    <w:p w:rsidR="00135374" w:rsidRPr="00135374" w:rsidRDefault="00DC6150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Vaisseau lymphatique efférent : contient lymphe filtrée avec lymphocytes.</w:t>
      </w:r>
    </w:p>
    <w:p w:rsidR="00B9349C" w:rsidRDefault="00DC1E02" w:rsidP="00BF7A31">
      <w:pPr>
        <w:spacing w:after="0" w:line="240" w:lineRule="auto"/>
        <w:rPr>
          <w:sz w:val="20"/>
        </w:rPr>
      </w:pPr>
      <w:r w:rsidRPr="00135374">
        <w:rPr>
          <w:b/>
          <w:sz w:val="20"/>
        </w:rPr>
        <w:t>Ganglion normal</w:t>
      </w:r>
      <w:r w:rsidRPr="00135374">
        <w:rPr>
          <w:sz w:val="20"/>
        </w:rPr>
        <w:t> :</w:t>
      </w:r>
      <w:r w:rsidR="00135374">
        <w:rPr>
          <w:sz w:val="20"/>
        </w:rPr>
        <w:t xml:space="preserve"> l’enfant avec un petit rhume (toux, nez qui coule aura </w:t>
      </w:r>
      <w:proofErr w:type="spellStart"/>
      <w:r w:rsidR="00135374">
        <w:rPr>
          <w:sz w:val="20"/>
        </w:rPr>
        <w:t>ggl</w:t>
      </w:r>
      <w:proofErr w:type="spellEnd"/>
      <w:r w:rsidR="00135374">
        <w:rPr>
          <w:sz w:val="20"/>
        </w:rPr>
        <w:t xml:space="preserve"> normaux)</w:t>
      </w:r>
    </w:p>
    <w:p w:rsidR="00135374" w:rsidRDefault="00135374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>
        <w:rPr>
          <w:sz w:val="20"/>
        </w:rPr>
        <w:t>Taille : &lt;2cm au niveau du cou, &lt;1.5cm ailleurs. Aspect ovoïde.</w:t>
      </w:r>
    </w:p>
    <w:p w:rsidR="00135374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Consistance : doit être souple, élastique</w:t>
      </w:r>
    </w:p>
    <w:p w:rsidR="00135374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Mobilité : ganglion doit être mobile (non fixé aux tissus environnants)</w:t>
      </w:r>
    </w:p>
    <w:p w:rsidR="00135374" w:rsidRPr="00135374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Pas de signes associés, locaux ou systémiques</w:t>
      </w:r>
    </w:p>
    <w:p w:rsidR="00DC1E02" w:rsidRDefault="00DC1E02" w:rsidP="00BF7A31">
      <w:pPr>
        <w:spacing w:after="0" w:line="240" w:lineRule="auto"/>
        <w:rPr>
          <w:sz w:val="20"/>
        </w:rPr>
      </w:pPr>
      <w:r w:rsidRPr="00135374">
        <w:rPr>
          <w:b/>
          <w:sz w:val="20"/>
          <w:u w:val="single"/>
        </w:rPr>
        <w:t>Ganglion anormal</w:t>
      </w:r>
      <w:r w:rsidRPr="00135374">
        <w:rPr>
          <w:b/>
          <w:sz w:val="20"/>
        </w:rPr>
        <w:t> </w:t>
      </w:r>
      <w:r w:rsidRPr="00135374">
        <w:rPr>
          <w:sz w:val="20"/>
        </w:rPr>
        <w:t>:</w:t>
      </w:r>
    </w:p>
    <w:p w:rsidR="00135374" w:rsidRDefault="00E05138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 w:rsidRPr="00E05138">
        <w:rPr>
          <w:b/>
          <w:noProof/>
          <w:sz w:val="20"/>
          <w:u w:val="single"/>
          <w:lang w:eastAsia="fr-CH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301.15pt;margin-top:6.05pt;width:202.5pt;height:31.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" fillcolor="white [3201]" strokeweight=".5pt">
            <v:textbox>
              <w:txbxContent>
                <w:p w:rsidR="00662EEC" w:rsidRDefault="00662EEC" w:rsidP="003D19CA">
                  <w:pPr>
                    <w:spacing w:after="0"/>
                    <w:rPr>
                      <w:sz w:val="18"/>
                    </w:rPr>
                  </w:pPr>
                  <w:r w:rsidRPr="00135374">
                    <w:rPr>
                      <w:sz w:val="18"/>
                    </w:rPr>
                    <w:t>* typiques de certains lymphomes</w:t>
                  </w:r>
                </w:p>
                <w:p w:rsidR="00662EEC" w:rsidRPr="00135374" w:rsidRDefault="00662EEC" w:rsidP="003D19CA">
                  <w:pPr>
                    <w:spacing w:after="0"/>
                    <w:rPr>
                      <w:sz w:val="18"/>
                    </w:rPr>
                  </w:pPr>
                  <w:r>
                    <w:rPr>
                      <w:sz w:val="18"/>
                    </w:rPr>
                    <w:t>** typique d’infection sévère (ex mononucléose)</w:t>
                  </w:r>
                </w:p>
              </w:txbxContent>
            </v:textbox>
          </v:shape>
        </w:pict>
      </w:r>
      <w:r w:rsidR="00135374" w:rsidRPr="00135374">
        <w:rPr>
          <w:sz w:val="20"/>
        </w:rPr>
        <w:t>Taille:</w:t>
      </w:r>
      <w:r w:rsidR="00135374">
        <w:rPr>
          <w:sz w:val="20"/>
        </w:rPr>
        <w:t xml:space="preserve"> &gt; 2cm au cou, &gt; 1.5cm ailleurs</w:t>
      </w:r>
    </w:p>
    <w:p w:rsidR="00135374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135374">
        <w:rPr>
          <w:sz w:val="20"/>
        </w:rPr>
        <w:t xml:space="preserve">Localisation: toujours anormal dans fosse supra-claviculaire </w:t>
      </w:r>
    </w:p>
    <w:p w:rsidR="003D19CA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C</w:t>
      </w:r>
      <w:r w:rsidR="003D19CA">
        <w:rPr>
          <w:sz w:val="20"/>
        </w:rPr>
        <w:t>onsistance:</w:t>
      </w:r>
    </w:p>
    <w:p w:rsidR="00135374" w:rsidRDefault="00135374" w:rsidP="00BF7A31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>
        <w:rPr>
          <w:sz w:val="20"/>
        </w:rPr>
        <w:t>ferme, indolore</w:t>
      </w:r>
      <w:r w:rsidR="003D19CA">
        <w:rPr>
          <w:sz w:val="20"/>
        </w:rPr>
        <w:t> : parle pour tumeur</w:t>
      </w:r>
    </w:p>
    <w:p w:rsidR="003D19CA" w:rsidRDefault="003D19CA" w:rsidP="00BF7A31">
      <w:pPr>
        <w:pStyle w:val="ListParagraph"/>
        <w:numPr>
          <w:ilvl w:val="0"/>
          <w:numId w:val="5"/>
        </w:numPr>
        <w:spacing w:line="240" w:lineRule="auto"/>
        <w:rPr>
          <w:sz w:val="20"/>
        </w:rPr>
      </w:pPr>
      <w:r>
        <w:rPr>
          <w:sz w:val="20"/>
        </w:rPr>
        <w:t>rouge, douloureux : parle pour maladie infectieuse</w:t>
      </w:r>
    </w:p>
    <w:p w:rsidR="00135374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135374">
        <w:rPr>
          <w:sz w:val="20"/>
        </w:rPr>
        <w:t>Mobilité</w:t>
      </w:r>
      <w:r>
        <w:rPr>
          <w:sz w:val="20"/>
        </w:rPr>
        <w:t>: réduite, fixé au plan profond</w:t>
      </w:r>
    </w:p>
    <w:p w:rsidR="00135374" w:rsidRPr="00135374" w:rsidRDefault="00135374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135374">
        <w:rPr>
          <w:sz w:val="20"/>
        </w:rPr>
        <w:t>Symptômes annexes tels que sudation nocturne</w:t>
      </w:r>
      <w:r>
        <w:rPr>
          <w:sz w:val="20"/>
        </w:rPr>
        <w:t>*</w:t>
      </w:r>
      <w:r w:rsidRPr="00135374">
        <w:rPr>
          <w:sz w:val="20"/>
        </w:rPr>
        <w:t>, perte de poids</w:t>
      </w:r>
      <w:r>
        <w:rPr>
          <w:sz w:val="20"/>
        </w:rPr>
        <w:t>*</w:t>
      </w:r>
      <w:r w:rsidRPr="00135374">
        <w:rPr>
          <w:sz w:val="20"/>
        </w:rPr>
        <w:t>, pru</w:t>
      </w:r>
      <w:r>
        <w:rPr>
          <w:sz w:val="20"/>
        </w:rPr>
        <w:t>rit*, hépato-splénomégalie**</w:t>
      </w:r>
    </w:p>
    <w:p w:rsidR="00DC1E02" w:rsidRDefault="00DC1E02" w:rsidP="00BF7A31">
      <w:pPr>
        <w:spacing w:after="0" w:line="240" w:lineRule="auto"/>
        <w:rPr>
          <w:sz w:val="20"/>
        </w:rPr>
      </w:pPr>
      <w:r w:rsidRPr="00135374">
        <w:rPr>
          <w:b/>
          <w:sz w:val="20"/>
        </w:rPr>
        <w:t>Anamnèse</w:t>
      </w:r>
      <w:r w:rsidRPr="00135374">
        <w:rPr>
          <w:sz w:val="20"/>
        </w:rPr>
        <w:t> :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 w:rsidRPr="003D19CA">
        <w:rPr>
          <w:sz w:val="20"/>
        </w:rPr>
        <w:t>D</w:t>
      </w:r>
      <w:r>
        <w:rPr>
          <w:sz w:val="20"/>
        </w:rPr>
        <w:t>urée, changement de volume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3D19CA">
        <w:rPr>
          <w:sz w:val="20"/>
        </w:rPr>
        <w:t xml:space="preserve">Voyage </w:t>
      </w:r>
      <w:r>
        <w:rPr>
          <w:sz w:val="20"/>
        </w:rPr>
        <w:t>(VIH, TB, Syphilis, Rickettsioses…)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3D19CA">
        <w:rPr>
          <w:sz w:val="20"/>
        </w:rPr>
        <w:t>A</w:t>
      </w:r>
      <w:r>
        <w:rPr>
          <w:sz w:val="20"/>
        </w:rPr>
        <w:t xml:space="preserve">nimaux (griffes de chat pour </w:t>
      </w:r>
      <w:proofErr w:type="spellStart"/>
      <w:r>
        <w:rPr>
          <w:sz w:val="20"/>
        </w:rPr>
        <w:t>Bartonella</w:t>
      </w:r>
      <w:proofErr w:type="spellEnd"/>
      <w:r w:rsidR="00B231DC">
        <w:rPr>
          <w:sz w:val="20"/>
        </w:rPr>
        <w:t>, toxoplasmose</w:t>
      </w:r>
      <w:r>
        <w:rPr>
          <w:sz w:val="20"/>
        </w:rPr>
        <w:t>)</w:t>
      </w:r>
      <w:r w:rsidRPr="003D19CA">
        <w:rPr>
          <w:sz w:val="20"/>
        </w:rPr>
        <w:t xml:space="preserve"> 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3D19CA">
        <w:rPr>
          <w:sz w:val="20"/>
        </w:rPr>
        <w:t>Contexte infectieux (</w:t>
      </w:r>
      <w:r>
        <w:rPr>
          <w:sz w:val="20"/>
        </w:rPr>
        <w:t>TB, ex grands-parents. Demander si cas familiaux  de « toux inexpliquée »</w:t>
      </w:r>
      <w:r w:rsidRPr="003D19CA">
        <w:rPr>
          <w:sz w:val="20"/>
        </w:rPr>
        <w:t>)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3D19CA">
        <w:rPr>
          <w:sz w:val="20"/>
        </w:rPr>
        <w:t>Fièvre, sudation, perte de poids, prurit, fatigue</w:t>
      </w:r>
    </w:p>
    <w:p w:rsidR="00DC1E02" w:rsidRDefault="00DC1E02" w:rsidP="00BF7A31">
      <w:pPr>
        <w:spacing w:after="0" w:line="240" w:lineRule="auto"/>
        <w:rPr>
          <w:sz w:val="20"/>
        </w:rPr>
      </w:pPr>
      <w:r w:rsidRPr="00DC1E02">
        <w:rPr>
          <w:b/>
          <w:sz w:val="20"/>
        </w:rPr>
        <w:t xml:space="preserve">Examen clinique </w:t>
      </w:r>
      <w:r w:rsidRPr="00DC1E02">
        <w:rPr>
          <w:sz w:val="20"/>
        </w:rPr>
        <w:t>: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>
        <w:rPr>
          <w:sz w:val="20"/>
        </w:rPr>
        <w:t>Local :</w:t>
      </w:r>
    </w:p>
    <w:p w:rsidR="003D19CA" w:rsidRDefault="003D19CA" w:rsidP="00BF7A31">
      <w:pPr>
        <w:pStyle w:val="ListParagraph"/>
        <w:numPr>
          <w:ilvl w:val="0"/>
          <w:numId w:val="4"/>
        </w:numPr>
        <w:spacing w:after="0" w:line="240" w:lineRule="auto"/>
        <w:rPr>
          <w:sz w:val="20"/>
        </w:rPr>
      </w:pPr>
      <w:r>
        <w:rPr>
          <w:sz w:val="20"/>
        </w:rPr>
        <w:t>Isolé, multiple</w:t>
      </w:r>
    </w:p>
    <w:p w:rsidR="003D19CA" w:rsidRDefault="003D19CA" w:rsidP="00BF7A31">
      <w:pPr>
        <w:pStyle w:val="ListParagraph"/>
        <w:numPr>
          <w:ilvl w:val="0"/>
          <w:numId w:val="4"/>
        </w:numPr>
        <w:spacing w:after="0" w:line="240" w:lineRule="auto"/>
        <w:rPr>
          <w:sz w:val="20"/>
        </w:rPr>
      </w:pPr>
      <w:r>
        <w:rPr>
          <w:sz w:val="20"/>
        </w:rPr>
        <w:t>Taille (à mesurer en cm)</w:t>
      </w:r>
    </w:p>
    <w:p w:rsidR="003D19CA" w:rsidRDefault="003D19CA" w:rsidP="00BF7A31">
      <w:pPr>
        <w:pStyle w:val="ListParagraph"/>
        <w:numPr>
          <w:ilvl w:val="0"/>
          <w:numId w:val="4"/>
        </w:numPr>
        <w:spacing w:after="0" w:line="240" w:lineRule="auto"/>
        <w:rPr>
          <w:sz w:val="20"/>
        </w:rPr>
      </w:pPr>
      <w:r>
        <w:rPr>
          <w:sz w:val="20"/>
        </w:rPr>
        <w:t>Douleur, rougeur, consistance, fixation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Général :</w:t>
      </w:r>
    </w:p>
    <w:p w:rsidR="003D19CA" w:rsidRDefault="003D19CA" w:rsidP="00BF7A31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>
        <w:rPr>
          <w:sz w:val="20"/>
        </w:rPr>
        <w:t>Fièvre</w:t>
      </w:r>
    </w:p>
    <w:p w:rsidR="003D19CA" w:rsidRDefault="003D19CA" w:rsidP="00BF7A31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proofErr w:type="spellStart"/>
      <w:r>
        <w:rPr>
          <w:sz w:val="20"/>
        </w:rPr>
        <w:t>Organomégalie</w:t>
      </w:r>
      <w:proofErr w:type="spellEnd"/>
    </w:p>
    <w:p w:rsidR="003D19CA" w:rsidRDefault="003D19CA" w:rsidP="00BF7A31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>
        <w:rPr>
          <w:sz w:val="20"/>
        </w:rPr>
        <w:t>Éruption cutanée, griffure (peut nous mettre sur la piste d’une maladie infectieuse)</w:t>
      </w:r>
    </w:p>
    <w:p w:rsidR="003D19CA" w:rsidRPr="003D19CA" w:rsidRDefault="003D19CA" w:rsidP="00BF7A31">
      <w:pPr>
        <w:pStyle w:val="ListParagraph"/>
        <w:numPr>
          <w:ilvl w:val="0"/>
          <w:numId w:val="6"/>
        </w:numPr>
        <w:spacing w:line="240" w:lineRule="auto"/>
        <w:rPr>
          <w:sz w:val="20"/>
        </w:rPr>
      </w:pPr>
      <w:r>
        <w:rPr>
          <w:sz w:val="20"/>
        </w:rPr>
        <w:t>Signes d’arthrite (les arthrites septiques et pathologies rhumatismales peuvent présenter des adénopathies).</w:t>
      </w:r>
    </w:p>
    <w:p w:rsidR="00DC1E02" w:rsidRDefault="00DC1E02" w:rsidP="00BF7A31">
      <w:pPr>
        <w:spacing w:after="0" w:line="240" w:lineRule="auto"/>
        <w:rPr>
          <w:sz w:val="20"/>
        </w:rPr>
      </w:pPr>
      <w:r w:rsidRPr="00DC1E02">
        <w:rPr>
          <w:b/>
          <w:sz w:val="20"/>
        </w:rPr>
        <w:t>Bilan initial</w:t>
      </w:r>
      <w:r w:rsidRPr="00DC1E02">
        <w:rPr>
          <w:sz w:val="20"/>
        </w:rPr>
        <w:t xml:space="preserve"> :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>
        <w:rPr>
          <w:sz w:val="20"/>
        </w:rPr>
        <w:t>Prise de sang :</w:t>
      </w:r>
      <w:r w:rsidR="00BF7A31">
        <w:rPr>
          <w:sz w:val="20"/>
        </w:rPr>
        <w:t xml:space="preserve"> </w:t>
      </w:r>
      <w:r w:rsidR="00BF7A31" w:rsidRPr="00BF7A31">
        <w:rPr>
          <w:color w:val="FF0000"/>
          <w:sz w:val="20"/>
        </w:rPr>
        <w:t>FSC</w:t>
      </w:r>
      <w:r w:rsidR="00BF7A31">
        <w:rPr>
          <w:sz w:val="20"/>
        </w:rPr>
        <w:t xml:space="preserve">, </w:t>
      </w:r>
      <w:r w:rsidR="00BF7A31" w:rsidRPr="00BF7A31">
        <w:rPr>
          <w:color w:val="0070C0"/>
          <w:sz w:val="20"/>
        </w:rPr>
        <w:t>VS</w:t>
      </w:r>
      <w:r w:rsidR="00BF7A31">
        <w:rPr>
          <w:sz w:val="20"/>
        </w:rPr>
        <w:t xml:space="preserve">, éventuellement </w:t>
      </w:r>
      <w:r w:rsidR="00BF7A31" w:rsidRPr="00BF7A31">
        <w:rPr>
          <w:color w:val="FF0000"/>
          <w:sz w:val="20"/>
        </w:rPr>
        <w:t>CRP</w:t>
      </w:r>
      <w:r w:rsidR="00BF7A31">
        <w:rPr>
          <w:sz w:val="20"/>
        </w:rPr>
        <w:tab/>
        <w:t>(</w:t>
      </w:r>
      <w:r w:rsidR="00BF7A31" w:rsidRPr="00BF7A31">
        <w:rPr>
          <w:color w:val="FF0000"/>
          <w:sz w:val="20"/>
        </w:rPr>
        <w:t>sang capillaire</w:t>
      </w:r>
      <w:r w:rsidR="00BF7A31">
        <w:rPr>
          <w:sz w:val="20"/>
        </w:rPr>
        <w:t xml:space="preserve">, </w:t>
      </w:r>
      <w:r w:rsidR="00BF7A31" w:rsidRPr="00BF7A31">
        <w:rPr>
          <w:color w:val="0070C0"/>
          <w:sz w:val="20"/>
        </w:rPr>
        <w:t>sang veineux</w:t>
      </w:r>
      <w:r w:rsidR="00BF7A31">
        <w:rPr>
          <w:sz w:val="20"/>
        </w:rPr>
        <w:t>)</w:t>
      </w:r>
    </w:p>
    <w:p w:rsidR="003D19CA" w:rsidRDefault="003D19CA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US :</w:t>
      </w:r>
      <w:r w:rsidR="00BF7A31">
        <w:rPr>
          <w:sz w:val="20"/>
        </w:rPr>
        <w:t xml:space="preserve"> peut informer sur le nombre/taille/aspect/contours des ganglions, si présence d’abcès…</w:t>
      </w:r>
    </w:p>
    <w:p w:rsidR="003D19CA" w:rsidRPr="003D19CA" w:rsidRDefault="003D19CA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lastRenderedPageBreak/>
        <w:t>Éventuellement RX du thorax :</w:t>
      </w:r>
      <w:r w:rsidR="00BF7A31">
        <w:rPr>
          <w:sz w:val="20"/>
        </w:rPr>
        <w:t xml:space="preserve"> surtout pour les ganglions du cou, on peut aussi parfois voir les ganglions du médiastin qui sont agrandis.</w:t>
      </w:r>
    </w:p>
    <w:p w:rsidR="00DC1E02" w:rsidRDefault="00DC1E02" w:rsidP="00BF7A31">
      <w:pPr>
        <w:spacing w:after="0" w:line="240" w:lineRule="auto"/>
        <w:rPr>
          <w:sz w:val="20"/>
        </w:rPr>
      </w:pPr>
      <w:r w:rsidRPr="00DC1E02">
        <w:rPr>
          <w:b/>
          <w:sz w:val="20"/>
        </w:rPr>
        <w:t>Prise en charge</w:t>
      </w:r>
      <w:r w:rsidRPr="00DC1E02">
        <w:rPr>
          <w:sz w:val="20"/>
        </w:rPr>
        <w:t xml:space="preserve"> :</w:t>
      </w:r>
    </w:p>
    <w:p w:rsidR="00BF7A31" w:rsidRDefault="00BF7A31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Traitement d’épreuve par AB : regarder évolution après 10j</w:t>
      </w:r>
    </w:p>
    <w:p w:rsidR="00BF7A31" w:rsidRDefault="00BF7A31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Bilan 2° :</w:t>
      </w:r>
    </w:p>
    <w:p w:rsidR="00BF7A31" w:rsidRDefault="00BF7A31" w:rsidP="00BF7A31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>
        <w:rPr>
          <w:sz w:val="20"/>
        </w:rPr>
        <w:t xml:space="preserve">Sérologie pour EBV (NB : mononucléose + AB = éruption cutanée), CMV, toxoplasmose, </w:t>
      </w:r>
      <w:proofErr w:type="spellStart"/>
      <w:r>
        <w:rPr>
          <w:sz w:val="20"/>
        </w:rPr>
        <w:t>Bartonella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henselae</w:t>
      </w:r>
      <w:proofErr w:type="spellEnd"/>
      <w:r>
        <w:rPr>
          <w:sz w:val="20"/>
        </w:rPr>
        <w:t>, Brucella, Tularémie</w:t>
      </w:r>
    </w:p>
    <w:p w:rsidR="00BF7A31" w:rsidRPr="00BF7A31" w:rsidRDefault="00BF7A31" w:rsidP="00BF7A31">
      <w:pPr>
        <w:pStyle w:val="ListParagraph"/>
        <w:numPr>
          <w:ilvl w:val="0"/>
          <w:numId w:val="7"/>
        </w:numPr>
        <w:spacing w:line="240" w:lineRule="auto"/>
        <w:rPr>
          <w:sz w:val="20"/>
        </w:rPr>
      </w:pPr>
      <w:r w:rsidRPr="00BF7A31">
        <w:rPr>
          <w:sz w:val="20"/>
        </w:rPr>
        <w:t xml:space="preserve">Test de </w:t>
      </w:r>
      <w:proofErr w:type="spellStart"/>
      <w:r w:rsidRPr="00BF7A31">
        <w:rPr>
          <w:sz w:val="20"/>
        </w:rPr>
        <w:t>Mantoux</w:t>
      </w:r>
      <w:proofErr w:type="spellEnd"/>
      <w:r>
        <w:rPr>
          <w:sz w:val="20"/>
        </w:rPr>
        <w:t xml:space="preserve"> (pour voir s’il y a eu un contact récent avec la TB)</w:t>
      </w:r>
    </w:p>
    <w:p w:rsidR="00DC1E02" w:rsidRDefault="00DC1E02" w:rsidP="00B231DC">
      <w:pPr>
        <w:spacing w:after="0" w:line="240" w:lineRule="auto"/>
        <w:rPr>
          <w:sz w:val="20"/>
        </w:rPr>
      </w:pPr>
      <w:r w:rsidRPr="00DC1E02">
        <w:rPr>
          <w:b/>
          <w:sz w:val="20"/>
        </w:rPr>
        <w:t>Indication à une consultation spécialisée</w:t>
      </w:r>
      <w:r w:rsidRPr="00DC1E02">
        <w:rPr>
          <w:sz w:val="20"/>
        </w:rPr>
        <w:t> :</w:t>
      </w:r>
    </w:p>
    <w:p w:rsidR="00BF7A31" w:rsidRDefault="00B231DC" w:rsidP="00B231DC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>
        <w:rPr>
          <w:sz w:val="20"/>
        </w:rPr>
        <w:t xml:space="preserve">Adénopathie </w:t>
      </w:r>
      <w:r w:rsidR="00BF7A31">
        <w:rPr>
          <w:sz w:val="20"/>
        </w:rPr>
        <w:t>qui persiste &gt;6 semaines malgré AB</w:t>
      </w:r>
    </w:p>
    <w:p w:rsidR="00BF7A31" w:rsidRDefault="00BF7A31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Augmentation du volume, croissance rapide</w:t>
      </w:r>
    </w:p>
    <w:p w:rsidR="00BF7A31" w:rsidRDefault="00BF7A31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Symptômes secondaires tels que BEG, fatigue, fièvre (souvent intermittente), perte de poids</w:t>
      </w:r>
    </w:p>
    <w:p w:rsidR="00B231DC" w:rsidRPr="00B231DC" w:rsidRDefault="00B231DC" w:rsidP="00B231DC">
      <w:pPr>
        <w:spacing w:after="0" w:line="240" w:lineRule="auto"/>
        <w:rPr>
          <w:sz w:val="20"/>
        </w:rPr>
      </w:pPr>
      <w:r>
        <w:rPr>
          <w:sz w:val="20"/>
        </w:rPr>
        <w:t>Le spécialiste fera imagerie et biopsie/exérèse si (en plus):</w:t>
      </w:r>
    </w:p>
    <w:p w:rsidR="00BF7A31" w:rsidRDefault="00BF7A31" w:rsidP="00B231DC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>
        <w:rPr>
          <w:sz w:val="20"/>
        </w:rPr>
        <w:t>Masse néonatale</w:t>
      </w:r>
    </w:p>
    <w:p w:rsidR="00BF7A31" w:rsidRDefault="00BF7A31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Ulcérations de la peau</w:t>
      </w:r>
    </w:p>
    <w:p w:rsidR="00BF7A31" w:rsidRDefault="00BF7A31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Fixation à la peau ou en profondeur</w:t>
      </w:r>
    </w:p>
    <w:p w:rsidR="00BF7A31" w:rsidRPr="00BF7A31" w:rsidRDefault="00B231DC" w:rsidP="00BF7A31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Masse de consistance ferme, de ≥ 3cm</w:t>
      </w:r>
    </w:p>
    <w:p w:rsidR="00DC1E02" w:rsidRDefault="00DC1E02" w:rsidP="00B231DC">
      <w:pPr>
        <w:spacing w:after="0" w:line="240" w:lineRule="auto"/>
        <w:rPr>
          <w:sz w:val="20"/>
        </w:rPr>
      </w:pPr>
      <w:r w:rsidRPr="00DC1E02">
        <w:rPr>
          <w:b/>
          <w:sz w:val="20"/>
        </w:rPr>
        <w:t>Étiologies des adénopathies</w:t>
      </w:r>
      <w:r w:rsidRPr="00DC1E02">
        <w:rPr>
          <w:sz w:val="20"/>
        </w:rPr>
        <w:t> :</w:t>
      </w:r>
    </w:p>
    <w:p w:rsidR="00B231DC" w:rsidRDefault="00B231DC" w:rsidP="00B231DC">
      <w:pPr>
        <w:pStyle w:val="ListParagraph"/>
        <w:numPr>
          <w:ilvl w:val="0"/>
          <w:numId w:val="2"/>
        </w:numPr>
        <w:spacing w:after="0" w:line="240" w:lineRule="auto"/>
        <w:rPr>
          <w:sz w:val="20"/>
        </w:rPr>
      </w:pPr>
      <w:r>
        <w:rPr>
          <w:sz w:val="20"/>
        </w:rPr>
        <w:t>Maladies infectieuses :</w:t>
      </w:r>
    </w:p>
    <w:p w:rsidR="00B231DC" w:rsidRDefault="00B231DC" w:rsidP="00B231DC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r>
        <w:rPr>
          <w:sz w:val="20"/>
        </w:rPr>
        <w:t>Virales</w:t>
      </w:r>
      <w:r w:rsidR="00D7052A">
        <w:rPr>
          <w:sz w:val="20"/>
        </w:rPr>
        <w:t> : HSV, HHV6, adénovirus, EBV, CMV, HIV, rubéole, oreillons, varicelle</w:t>
      </w:r>
    </w:p>
    <w:p w:rsidR="00D7052A" w:rsidRDefault="00B231DC" w:rsidP="00B231DC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r>
        <w:rPr>
          <w:sz w:val="20"/>
        </w:rPr>
        <w:t>Bactériennes</w:t>
      </w:r>
      <w:r w:rsidR="00D7052A">
        <w:rPr>
          <w:sz w:val="20"/>
        </w:rPr>
        <w:t xml:space="preserve"> : </w:t>
      </w:r>
      <w:proofErr w:type="spellStart"/>
      <w:r w:rsidR="00D7052A">
        <w:rPr>
          <w:sz w:val="20"/>
        </w:rPr>
        <w:t>lymphadénite</w:t>
      </w:r>
      <w:proofErr w:type="spellEnd"/>
      <w:r w:rsidR="00D7052A">
        <w:rPr>
          <w:sz w:val="20"/>
        </w:rPr>
        <w:t xml:space="preserve"> suppurée</w:t>
      </w:r>
    </w:p>
    <w:p w:rsidR="00B231DC" w:rsidRDefault="00D7052A" w:rsidP="00D7052A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>
        <w:rPr>
          <w:sz w:val="20"/>
        </w:rPr>
        <w:t>NN et nourrisson : S. aureus, Streptocoques B</w:t>
      </w:r>
    </w:p>
    <w:p w:rsidR="00D7052A" w:rsidRDefault="00D7052A" w:rsidP="00D7052A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>
        <w:rPr>
          <w:sz w:val="20"/>
        </w:rPr>
        <w:t>1-4 ans : S. aureus, Streptocoques A</w:t>
      </w:r>
    </w:p>
    <w:p w:rsidR="00D7052A" w:rsidRPr="00D7052A" w:rsidRDefault="00D7052A" w:rsidP="00D7052A">
      <w:pPr>
        <w:pStyle w:val="ListParagraph"/>
        <w:numPr>
          <w:ilvl w:val="0"/>
          <w:numId w:val="9"/>
        </w:numPr>
        <w:spacing w:after="0" w:line="240" w:lineRule="auto"/>
        <w:rPr>
          <w:sz w:val="20"/>
        </w:rPr>
      </w:pPr>
      <w:r>
        <w:rPr>
          <w:sz w:val="20"/>
        </w:rPr>
        <w:t xml:space="preserve">5-15 ans : </w:t>
      </w:r>
      <w:proofErr w:type="spellStart"/>
      <w:r>
        <w:rPr>
          <w:sz w:val="20"/>
        </w:rPr>
        <w:t>anaérobes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Bartonella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henselae</w:t>
      </w:r>
      <w:proofErr w:type="spellEnd"/>
      <w:r>
        <w:rPr>
          <w:sz w:val="20"/>
        </w:rPr>
        <w:t>, Brucella, TB, b</w:t>
      </w:r>
      <w:r w:rsidRPr="00D7052A">
        <w:rPr>
          <w:sz w:val="20"/>
        </w:rPr>
        <w:t>actéries atypiques </w:t>
      </w:r>
      <w:r>
        <w:rPr>
          <w:sz w:val="20"/>
        </w:rPr>
        <w:t>(</w:t>
      </w:r>
      <w:r w:rsidRPr="00D7052A">
        <w:rPr>
          <w:sz w:val="20"/>
        </w:rPr>
        <w:t xml:space="preserve">complexe </w:t>
      </w:r>
      <w:proofErr w:type="spellStart"/>
      <w:r w:rsidRPr="00D7052A">
        <w:rPr>
          <w:sz w:val="20"/>
        </w:rPr>
        <w:t>Mycobacterium</w:t>
      </w:r>
      <w:proofErr w:type="spellEnd"/>
      <w:r w:rsidRPr="00D7052A">
        <w:rPr>
          <w:sz w:val="20"/>
        </w:rPr>
        <w:t xml:space="preserve"> </w:t>
      </w:r>
      <w:proofErr w:type="spellStart"/>
      <w:r w:rsidRPr="00D7052A">
        <w:rPr>
          <w:sz w:val="20"/>
        </w:rPr>
        <w:t>Avium</w:t>
      </w:r>
      <w:proofErr w:type="spellEnd"/>
      <w:r w:rsidRPr="00D7052A">
        <w:rPr>
          <w:sz w:val="20"/>
        </w:rPr>
        <w:t xml:space="preserve"> </w:t>
      </w:r>
      <w:r>
        <w:rPr>
          <w:sz w:val="20"/>
        </w:rPr>
        <w:t>Intracellulaire)</w:t>
      </w:r>
    </w:p>
    <w:p w:rsidR="00B231DC" w:rsidRDefault="00B231DC" w:rsidP="00B231DC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proofErr w:type="spellStart"/>
      <w:r>
        <w:rPr>
          <w:sz w:val="20"/>
        </w:rPr>
        <w:t>Mycotiques</w:t>
      </w:r>
      <w:proofErr w:type="spellEnd"/>
      <w:r>
        <w:rPr>
          <w:sz w:val="20"/>
        </w:rPr>
        <w:t xml:space="preserve"> : rares (en dehors de l’immunodéficience congénitale ou acquise par </w:t>
      </w:r>
      <w:proofErr w:type="spellStart"/>
      <w:r>
        <w:rPr>
          <w:sz w:val="20"/>
        </w:rPr>
        <w:t>ttt</w:t>
      </w:r>
      <w:proofErr w:type="spellEnd"/>
      <w:r>
        <w:rPr>
          <w:sz w:val="20"/>
        </w:rPr>
        <w:t>)</w:t>
      </w:r>
    </w:p>
    <w:p w:rsidR="00B231DC" w:rsidRDefault="00B231DC" w:rsidP="00B231DC">
      <w:pPr>
        <w:pStyle w:val="ListParagraph"/>
        <w:numPr>
          <w:ilvl w:val="0"/>
          <w:numId w:val="8"/>
        </w:numPr>
        <w:spacing w:after="0" w:line="240" w:lineRule="auto"/>
        <w:rPr>
          <w:sz w:val="20"/>
        </w:rPr>
      </w:pPr>
      <w:r>
        <w:rPr>
          <w:sz w:val="20"/>
        </w:rPr>
        <w:t xml:space="preserve">Parasitaires : Toxoplasmose </w:t>
      </w:r>
      <w:proofErr w:type="spellStart"/>
      <w:r>
        <w:rPr>
          <w:sz w:val="20"/>
        </w:rPr>
        <w:t>gondii</w:t>
      </w:r>
      <w:proofErr w:type="spellEnd"/>
      <w:r>
        <w:rPr>
          <w:sz w:val="20"/>
        </w:rPr>
        <w:t>, leishmaniose</w:t>
      </w:r>
    </w:p>
    <w:p w:rsidR="00D7052A" w:rsidRDefault="00B231DC" w:rsidP="00D7052A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Maladies inflammatoires </w:t>
      </w:r>
      <w:r w:rsidR="00D7052A">
        <w:rPr>
          <w:sz w:val="20"/>
        </w:rPr>
        <w:t xml:space="preserve">(aiguës ou chroniques) </w:t>
      </w:r>
      <w:r>
        <w:rPr>
          <w:sz w:val="20"/>
        </w:rPr>
        <w:t>:</w:t>
      </w:r>
      <w:r w:rsidR="00D7052A">
        <w:rPr>
          <w:sz w:val="20"/>
        </w:rPr>
        <w:t xml:space="preserve"> Kawasaki, PFAPA, maladie de </w:t>
      </w:r>
      <w:proofErr w:type="spellStart"/>
      <w:r w:rsidR="00D7052A">
        <w:rPr>
          <w:sz w:val="20"/>
        </w:rPr>
        <w:t>Still</w:t>
      </w:r>
      <w:proofErr w:type="spellEnd"/>
      <w:r w:rsidR="00D7052A">
        <w:rPr>
          <w:sz w:val="20"/>
        </w:rPr>
        <w:t xml:space="preserve"> (arthrite juvénile idiopathique), lupus…</w:t>
      </w:r>
    </w:p>
    <w:p w:rsidR="00D7052A" w:rsidRDefault="00D7052A" w:rsidP="00D7052A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T</w:t>
      </w:r>
      <w:r w:rsidR="00B231DC" w:rsidRPr="00D7052A">
        <w:rPr>
          <w:sz w:val="20"/>
        </w:rPr>
        <w:t>umeurs :</w:t>
      </w:r>
      <w:r w:rsidRPr="00D7052A">
        <w:rPr>
          <w:sz w:val="20"/>
        </w:rPr>
        <w:t xml:space="preserve"> </w:t>
      </w:r>
    </w:p>
    <w:p w:rsidR="00D7052A" w:rsidRDefault="00D7052A" w:rsidP="00D7052A">
      <w:pPr>
        <w:pStyle w:val="ListParagraph"/>
        <w:numPr>
          <w:ilvl w:val="0"/>
          <w:numId w:val="12"/>
        </w:numPr>
        <w:spacing w:line="240" w:lineRule="auto"/>
        <w:rPr>
          <w:sz w:val="20"/>
        </w:rPr>
      </w:pPr>
      <w:r>
        <w:rPr>
          <w:sz w:val="20"/>
        </w:rPr>
        <w:t>lymphomes Hodgkiniens et non Hodgkiniens</w:t>
      </w:r>
    </w:p>
    <w:p w:rsidR="00D7052A" w:rsidRDefault="00D7052A" w:rsidP="00D7052A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proofErr w:type="spellStart"/>
      <w:r>
        <w:rPr>
          <w:sz w:val="20"/>
        </w:rPr>
        <w:t>Histiocytose</w:t>
      </w:r>
      <w:proofErr w:type="spellEnd"/>
      <w:r>
        <w:rPr>
          <w:sz w:val="20"/>
        </w:rPr>
        <w:t xml:space="preserve"> à cellules de Langerhans</w:t>
      </w:r>
    </w:p>
    <w:p w:rsidR="00D7052A" w:rsidRPr="00D7052A" w:rsidRDefault="00D7052A" w:rsidP="00D7052A">
      <w:pPr>
        <w:pStyle w:val="ListParagraph"/>
        <w:numPr>
          <w:ilvl w:val="0"/>
          <w:numId w:val="11"/>
        </w:numPr>
        <w:spacing w:line="240" w:lineRule="auto"/>
        <w:rPr>
          <w:sz w:val="20"/>
        </w:rPr>
      </w:pPr>
      <w:r>
        <w:rPr>
          <w:sz w:val="20"/>
        </w:rPr>
        <w:t>Métastases ganglionnaires (</w:t>
      </w:r>
      <w:proofErr w:type="spellStart"/>
      <w:r>
        <w:rPr>
          <w:sz w:val="20"/>
        </w:rPr>
        <w:t>neuroblastome</w:t>
      </w:r>
      <w:proofErr w:type="spellEnd"/>
      <w:r>
        <w:rPr>
          <w:sz w:val="20"/>
        </w:rPr>
        <w:t>, sarcomes, leucémies)</w:t>
      </w:r>
    </w:p>
    <w:p w:rsidR="00B231DC" w:rsidRDefault="00B231DC" w:rsidP="00B231DC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Maladies métaboliques :</w:t>
      </w:r>
      <w:r w:rsidR="00D7052A">
        <w:rPr>
          <w:sz w:val="20"/>
        </w:rPr>
        <w:t xml:space="preserve"> maladie de Gaucher, Niemann-</w:t>
      </w:r>
      <w:proofErr w:type="spellStart"/>
      <w:r w:rsidR="00D7052A">
        <w:rPr>
          <w:sz w:val="20"/>
        </w:rPr>
        <w:t>Pick</w:t>
      </w:r>
      <w:proofErr w:type="spellEnd"/>
      <w:r w:rsidR="003C0EF9">
        <w:rPr>
          <w:sz w:val="20"/>
        </w:rPr>
        <w:t xml:space="preserve"> (voir rappels ci-dessous)</w:t>
      </w:r>
    </w:p>
    <w:p w:rsidR="00B231DC" w:rsidRPr="00B231DC" w:rsidRDefault="00B231DC" w:rsidP="00B231DC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>
        <w:rPr>
          <w:sz w:val="20"/>
        </w:rPr>
        <w:t>Maladies rares :</w:t>
      </w:r>
      <w:r w:rsidR="00D7052A">
        <w:rPr>
          <w:sz w:val="20"/>
        </w:rPr>
        <w:t xml:space="preserve"> sarcoïdose…</w:t>
      </w:r>
    </w:p>
    <w:p w:rsidR="003C0EF9" w:rsidRDefault="00DC1E02" w:rsidP="003C0EF9">
      <w:pPr>
        <w:spacing w:after="0" w:line="240" w:lineRule="auto"/>
        <w:rPr>
          <w:sz w:val="20"/>
        </w:rPr>
      </w:pPr>
      <w:r w:rsidRPr="00DC1E02">
        <w:rPr>
          <w:b/>
          <w:sz w:val="20"/>
        </w:rPr>
        <w:t>L’adénopathie « maligne »</w:t>
      </w:r>
      <w:r w:rsidRPr="00DC1E02">
        <w:rPr>
          <w:sz w:val="20"/>
        </w:rPr>
        <w:t> :</w:t>
      </w:r>
    </w:p>
    <w:p w:rsidR="003C0EF9" w:rsidRDefault="003C0EF9" w:rsidP="003C0EF9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3C0EF9">
        <w:rPr>
          <w:sz w:val="20"/>
        </w:rPr>
        <w:t xml:space="preserve">Localisation supra-claviculaire, axillaire ou scalène </w:t>
      </w:r>
    </w:p>
    <w:p w:rsidR="003C0EF9" w:rsidRDefault="003C0EF9" w:rsidP="003C0EF9">
      <w:pPr>
        <w:pStyle w:val="ListParagraph"/>
        <w:numPr>
          <w:ilvl w:val="0"/>
          <w:numId w:val="2"/>
        </w:numPr>
        <w:rPr>
          <w:sz w:val="20"/>
        </w:rPr>
      </w:pPr>
      <w:r w:rsidRPr="003C0EF9">
        <w:rPr>
          <w:sz w:val="20"/>
        </w:rPr>
        <w:t xml:space="preserve">Unique ou multiple, en général INDOLORE </w:t>
      </w:r>
    </w:p>
    <w:p w:rsidR="003C0EF9" w:rsidRDefault="003C0EF9" w:rsidP="003C0EF9">
      <w:pPr>
        <w:pStyle w:val="ListParagraph"/>
        <w:numPr>
          <w:ilvl w:val="0"/>
          <w:numId w:val="2"/>
        </w:numPr>
        <w:rPr>
          <w:sz w:val="20"/>
        </w:rPr>
      </w:pPr>
      <w:r w:rsidRPr="003C0EF9">
        <w:rPr>
          <w:sz w:val="20"/>
        </w:rPr>
        <w:t xml:space="preserve">Lentement ou rapidement PROGRESSIVE </w:t>
      </w:r>
    </w:p>
    <w:p w:rsidR="003C0EF9" w:rsidRDefault="003C0EF9" w:rsidP="003C0EF9">
      <w:pPr>
        <w:pStyle w:val="ListParagraph"/>
        <w:numPr>
          <w:ilvl w:val="0"/>
          <w:numId w:val="2"/>
        </w:numPr>
        <w:rPr>
          <w:sz w:val="20"/>
        </w:rPr>
      </w:pPr>
      <w:r w:rsidRPr="003C0EF9">
        <w:rPr>
          <w:sz w:val="20"/>
        </w:rPr>
        <w:t xml:space="preserve">Taille &gt; 3 cm </w:t>
      </w:r>
    </w:p>
    <w:p w:rsidR="003C0EF9" w:rsidRDefault="003C0EF9" w:rsidP="003C0EF9">
      <w:pPr>
        <w:pStyle w:val="ListParagraph"/>
        <w:numPr>
          <w:ilvl w:val="0"/>
          <w:numId w:val="2"/>
        </w:numPr>
        <w:rPr>
          <w:sz w:val="20"/>
        </w:rPr>
      </w:pPr>
      <w:r w:rsidRPr="003C0EF9">
        <w:rPr>
          <w:sz w:val="20"/>
        </w:rPr>
        <w:t xml:space="preserve">DURE, FIXEE (peau et/ou plan profond) </w:t>
      </w:r>
    </w:p>
    <w:p w:rsidR="003C0EF9" w:rsidRDefault="003C0EF9" w:rsidP="003C0EF9">
      <w:pPr>
        <w:pStyle w:val="ListParagraph"/>
        <w:numPr>
          <w:ilvl w:val="0"/>
          <w:numId w:val="2"/>
        </w:numPr>
        <w:rPr>
          <w:sz w:val="20"/>
        </w:rPr>
      </w:pPr>
      <w:r w:rsidRPr="003C0EF9">
        <w:rPr>
          <w:sz w:val="20"/>
        </w:rPr>
        <w:t>Symptômes généraux associés (symptômes B</w:t>
      </w:r>
      <w:r w:rsidR="001603F2">
        <w:rPr>
          <w:sz w:val="20"/>
        </w:rPr>
        <w:t xml:space="preserve"> = symptômes évocateurs d’un lymphome</w:t>
      </w:r>
      <w:r w:rsidRPr="003C0EF9">
        <w:rPr>
          <w:sz w:val="20"/>
        </w:rPr>
        <w:t xml:space="preserve">) </w:t>
      </w:r>
    </w:p>
    <w:p w:rsidR="003C0EF9" w:rsidRDefault="003C0EF9" w:rsidP="003C0EF9">
      <w:pPr>
        <w:pStyle w:val="ListParagraph"/>
        <w:numPr>
          <w:ilvl w:val="0"/>
          <w:numId w:val="2"/>
        </w:numPr>
        <w:rPr>
          <w:sz w:val="20"/>
        </w:rPr>
      </w:pPr>
      <w:r w:rsidRPr="003C0EF9">
        <w:rPr>
          <w:sz w:val="20"/>
        </w:rPr>
        <w:t xml:space="preserve">Hépato-splénomégalie, baisse de l’EG </w:t>
      </w:r>
    </w:p>
    <w:p w:rsidR="00DC1E02" w:rsidRDefault="003C0EF9" w:rsidP="003C0EF9">
      <w:pPr>
        <w:pStyle w:val="ListParagraph"/>
        <w:numPr>
          <w:ilvl w:val="0"/>
          <w:numId w:val="2"/>
        </w:numPr>
        <w:spacing w:line="240" w:lineRule="auto"/>
        <w:rPr>
          <w:sz w:val="20"/>
        </w:rPr>
      </w:pPr>
      <w:r w:rsidRPr="003C0EF9">
        <w:rPr>
          <w:sz w:val="20"/>
        </w:rPr>
        <w:t>Purpura associé (pétéchies, ecchymoses)</w:t>
      </w:r>
      <w:r w:rsidR="00DC1E02" w:rsidRPr="003C0EF9">
        <w:rPr>
          <w:sz w:val="20"/>
        </w:rPr>
        <w:tab/>
      </w:r>
    </w:p>
    <w:p w:rsidR="003C0EF9" w:rsidRDefault="003C0EF9" w:rsidP="003C0EF9">
      <w:pPr>
        <w:spacing w:line="240" w:lineRule="auto"/>
        <w:rPr>
          <w:sz w:val="20"/>
        </w:rPr>
      </w:pPr>
      <w:r w:rsidRPr="003C0EF9">
        <w:rPr>
          <w:b/>
          <w:sz w:val="20"/>
          <w:u w:val="single"/>
        </w:rPr>
        <w:t>Rappels</w:t>
      </w:r>
      <w:r w:rsidRPr="003C0EF9">
        <w:rPr>
          <w:b/>
          <w:sz w:val="20"/>
        </w:rPr>
        <w:t> </w:t>
      </w:r>
      <w:r>
        <w:rPr>
          <w:sz w:val="20"/>
        </w:rPr>
        <w:t xml:space="preserve">: </w:t>
      </w:r>
    </w:p>
    <w:p w:rsidR="003C0EF9" w:rsidRPr="003C0EF9" w:rsidRDefault="003C0EF9" w:rsidP="003C0EF9">
      <w:pPr>
        <w:spacing w:line="240" w:lineRule="auto"/>
        <w:rPr>
          <w:sz w:val="20"/>
        </w:rPr>
      </w:pPr>
      <w:r w:rsidRPr="003C0EF9">
        <w:rPr>
          <w:b/>
          <w:sz w:val="20"/>
        </w:rPr>
        <w:t>Maladie de Gaucher</w:t>
      </w:r>
      <w:r>
        <w:rPr>
          <w:sz w:val="20"/>
        </w:rPr>
        <w:t> :</w:t>
      </w:r>
      <w:r w:rsidR="000800F5" w:rsidRPr="000800F5">
        <w:rPr>
          <w:rFonts w:ascii="Arial" w:hAnsi="Arial" w:cs="Arial"/>
          <w:color w:val="252525"/>
          <w:sz w:val="16"/>
          <w:szCs w:val="16"/>
          <w:shd w:val="clear" w:color="auto" w:fill="FFFFFF"/>
        </w:rPr>
        <w:t xml:space="preserve"> </w:t>
      </w:r>
      <w:r w:rsidR="000800F5" w:rsidRPr="000800F5">
        <w:rPr>
          <w:sz w:val="20"/>
        </w:rPr>
        <w:t>aussi appelée </w:t>
      </w:r>
      <w:proofErr w:type="spellStart"/>
      <w:r w:rsidR="000800F5" w:rsidRPr="000800F5">
        <w:rPr>
          <w:sz w:val="20"/>
        </w:rPr>
        <w:t>sphingolipidose</w:t>
      </w:r>
      <w:proofErr w:type="spellEnd"/>
      <w:r w:rsidR="000800F5" w:rsidRPr="000800F5">
        <w:rPr>
          <w:sz w:val="20"/>
        </w:rPr>
        <w:t xml:space="preserve">, est une maladie de surcharge </w:t>
      </w:r>
      <w:proofErr w:type="spellStart"/>
      <w:r w:rsidR="000800F5" w:rsidRPr="000800F5">
        <w:rPr>
          <w:sz w:val="20"/>
        </w:rPr>
        <w:t>lysosomale</w:t>
      </w:r>
      <w:proofErr w:type="spellEnd"/>
      <w:r w:rsidR="000800F5" w:rsidRPr="000800F5">
        <w:rPr>
          <w:sz w:val="20"/>
        </w:rPr>
        <w:t>. Elle est due à une mutation autosomique récessive du gène lié à l'enzyme β-</w:t>
      </w:r>
      <w:proofErr w:type="spellStart"/>
      <w:r w:rsidR="000800F5" w:rsidRPr="000800F5">
        <w:rPr>
          <w:sz w:val="20"/>
        </w:rPr>
        <w:t>glucosidase</w:t>
      </w:r>
      <w:proofErr w:type="spellEnd"/>
      <w:r w:rsidR="000800F5" w:rsidRPr="000800F5">
        <w:rPr>
          <w:sz w:val="20"/>
        </w:rPr>
        <w:t xml:space="preserve"> acide, et conduit à une accumulation de son substrat, le </w:t>
      </w:r>
      <w:proofErr w:type="spellStart"/>
      <w:r w:rsidR="000800F5" w:rsidRPr="000800F5">
        <w:rPr>
          <w:sz w:val="20"/>
        </w:rPr>
        <w:t>glucocérébroside</w:t>
      </w:r>
      <w:proofErr w:type="spellEnd"/>
      <w:r w:rsidR="000800F5" w:rsidRPr="000800F5">
        <w:rPr>
          <w:sz w:val="20"/>
        </w:rPr>
        <w:t xml:space="preserve"> (un </w:t>
      </w:r>
      <w:proofErr w:type="spellStart"/>
      <w:r w:rsidR="000800F5" w:rsidRPr="000800F5">
        <w:rPr>
          <w:sz w:val="20"/>
        </w:rPr>
        <w:t>sphingolipide</w:t>
      </w:r>
      <w:proofErr w:type="spellEnd"/>
      <w:r w:rsidR="000800F5" w:rsidRPr="000800F5">
        <w:rPr>
          <w:sz w:val="20"/>
        </w:rPr>
        <w:t>) en particulier dans le système nerveux mais aussi dans la rate, le foie, les poumons, la moelle osseuse.</w:t>
      </w:r>
    </w:p>
    <w:p w:rsidR="003C0EF9" w:rsidRPr="003C0EF9" w:rsidRDefault="003C0EF9" w:rsidP="003C0EF9">
      <w:pPr>
        <w:spacing w:line="240" w:lineRule="auto"/>
        <w:rPr>
          <w:sz w:val="20"/>
        </w:rPr>
      </w:pPr>
      <w:r w:rsidRPr="003C0EF9">
        <w:rPr>
          <w:b/>
          <w:sz w:val="20"/>
        </w:rPr>
        <w:t>Maladie de Niemann-</w:t>
      </w:r>
      <w:proofErr w:type="spellStart"/>
      <w:r w:rsidRPr="003C0EF9">
        <w:rPr>
          <w:b/>
          <w:sz w:val="20"/>
        </w:rPr>
        <w:t>Pick</w:t>
      </w:r>
      <w:proofErr w:type="spellEnd"/>
      <w:r w:rsidRPr="003C0EF9">
        <w:rPr>
          <w:sz w:val="20"/>
        </w:rPr>
        <w:t> :</w:t>
      </w:r>
      <w:bookmarkStart w:id="0" w:name="_GoBack"/>
      <w:bookmarkEnd w:id="0"/>
      <w:r w:rsidR="00231DF9" w:rsidRPr="00231DF9">
        <w:rPr>
          <w:sz w:val="20"/>
        </w:rPr>
        <w:t xml:space="preserve"> </w:t>
      </w:r>
      <w:r w:rsidR="00231DF9" w:rsidRPr="00740727">
        <w:rPr>
          <w:sz w:val="20"/>
        </w:rPr>
        <w:t xml:space="preserve">mutation </w:t>
      </w:r>
      <w:r w:rsidR="000800F5">
        <w:rPr>
          <w:sz w:val="20"/>
        </w:rPr>
        <w:t xml:space="preserve">de </w:t>
      </w:r>
      <w:proofErr w:type="spellStart"/>
      <w:r w:rsidR="000800F5" w:rsidRPr="000800F5">
        <w:rPr>
          <w:sz w:val="20"/>
        </w:rPr>
        <w:t>sphingomyélinase</w:t>
      </w:r>
      <w:proofErr w:type="spellEnd"/>
      <w:r w:rsidR="000800F5" w:rsidRPr="000800F5">
        <w:rPr>
          <w:sz w:val="20"/>
        </w:rPr>
        <w:t xml:space="preserve"> acide</w:t>
      </w:r>
      <w:r w:rsidR="000800F5">
        <w:rPr>
          <w:sz w:val="20"/>
        </w:rPr>
        <w:t xml:space="preserve">, enzyme </w:t>
      </w:r>
      <w:proofErr w:type="spellStart"/>
      <w:r w:rsidR="000800F5">
        <w:rPr>
          <w:sz w:val="20"/>
        </w:rPr>
        <w:t>lysosomiale</w:t>
      </w:r>
      <w:proofErr w:type="spellEnd"/>
      <w:r w:rsidR="000800F5">
        <w:rPr>
          <w:sz w:val="20"/>
        </w:rPr>
        <w:t xml:space="preserve"> </w:t>
      </w:r>
      <w:r w:rsidR="00231DF9" w:rsidRPr="00740727">
        <w:rPr>
          <w:sz w:val="20"/>
        </w:rPr>
        <w:t>responsabl</w:t>
      </w:r>
      <w:r w:rsidR="000800F5">
        <w:rPr>
          <w:sz w:val="20"/>
        </w:rPr>
        <w:t>e du transport de cholestérol. En résulte l’a</w:t>
      </w:r>
      <w:r w:rsidR="00231DF9" w:rsidRPr="00740727">
        <w:rPr>
          <w:sz w:val="20"/>
        </w:rPr>
        <w:t xml:space="preserve">ccumulation de </w:t>
      </w:r>
      <w:proofErr w:type="spellStart"/>
      <w:r w:rsidR="000800F5">
        <w:rPr>
          <w:sz w:val="20"/>
        </w:rPr>
        <w:t>sphingomyéline</w:t>
      </w:r>
      <w:proofErr w:type="spellEnd"/>
      <w:r w:rsidR="000800F5">
        <w:rPr>
          <w:sz w:val="20"/>
        </w:rPr>
        <w:t xml:space="preserve">, puis de </w:t>
      </w:r>
      <w:r w:rsidR="00231DF9" w:rsidRPr="00740727">
        <w:rPr>
          <w:sz w:val="20"/>
        </w:rPr>
        <w:t xml:space="preserve">cholestérol dans de multiples organes </w:t>
      </w:r>
      <w:r w:rsidR="000800F5">
        <w:rPr>
          <w:sz w:val="20"/>
        </w:rPr>
        <w:t>(notamment monocytes, voire le cerveau).</w:t>
      </w:r>
    </w:p>
    <w:sectPr w:rsidR="003C0EF9" w:rsidRPr="003C0EF9" w:rsidSect="00BF7A31">
      <w:footerReference w:type="default" r:id="rId7"/>
      <w:pgSz w:w="11906" w:h="16838"/>
      <w:pgMar w:top="851" w:right="1417" w:bottom="1134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2635" w:rsidRDefault="00162635" w:rsidP="00990C6B">
      <w:pPr>
        <w:spacing w:after="0" w:line="240" w:lineRule="auto"/>
      </w:pPr>
      <w:r>
        <w:separator/>
      </w:r>
    </w:p>
  </w:endnote>
  <w:endnote w:type="continuationSeparator" w:id="0">
    <w:p w:rsidR="00162635" w:rsidRDefault="00162635" w:rsidP="00990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-790668668"/>
      <w:docPartObj>
        <w:docPartGallery w:val="Page Numbers (Bottom of Page)"/>
        <w:docPartUnique/>
      </w:docPartObj>
    </w:sdtPr>
    <w:sdtContent>
      <w:p w:rsidR="00662EEC" w:rsidRPr="00990C6B" w:rsidRDefault="00E05138">
        <w:pPr>
          <w:pStyle w:val="Footer"/>
          <w:jc w:val="right"/>
          <w:rPr>
            <w:sz w:val="18"/>
          </w:rPr>
        </w:pPr>
        <w:r w:rsidRPr="00990C6B">
          <w:rPr>
            <w:sz w:val="18"/>
          </w:rPr>
          <w:fldChar w:fldCharType="begin"/>
        </w:r>
        <w:r w:rsidR="00662EEC" w:rsidRPr="00990C6B">
          <w:rPr>
            <w:sz w:val="18"/>
          </w:rPr>
          <w:instrText>PAGE   \* MERGEFORMAT</w:instrText>
        </w:r>
        <w:r w:rsidRPr="00990C6B">
          <w:rPr>
            <w:sz w:val="18"/>
          </w:rPr>
          <w:fldChar w:fldCharType="separate"/>
        </w:r>
        <w:r w:rsidR="001603F2" w:rsidRPr="001603F2">
          <w:rPr>
            <w:noProof/>
            <w:sz w:val="18"/>
            <w:lang w:val="fr-FR"/>
          </w:rPr>
          <w:t>2</w:t>
        </w:r>
        <w:r w:rsidRPr="00990C6B">
          <w:rPr>
            <w:sz w:val="18"/>
          </w:rPr>
          <w:fldChar w:fldCharType="end"/>
        </w:r>
      </w:p>
    </w:sdtContent>
  </w:sdt>
  <w:p w:rsidR="00662EEC" w:rsidRPr="00990C6B" w:rsidRDefault="00662EEC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2635" w:rsidRDefault="00162635" w:rsidP="00990C6B">
      <w:pPr>
        <w:spacing w:after="0" w:line="240" w:lineRule="auto"/>
      </w:pPr>
      <w:r>
        <w:separator/>
      </w:r>
    </w:p>
  </w:footnote>
  <w:footnote w:type="continuationSeparator" w:id="0">
    <w:p w:rsidR="00162635" w:rsidRDefault="00162635" w:rsidP="00990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41301"/>
    <w:multiLevelType w:val="hybridMultilevel"/>
    <w:tmpl w:val="8F30A3F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A50351"/>
    <w:multiLevelType w:val="hybridMultilevel"/>
    <w:tmpl w:val="D930A9D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A44110"/>
    <w:multiLevelType w:val="hybridMultilevel"/>
    <w:tmpl w:val="8F0AF9D4"/>
    <w:lvl w:ilvl="0" w:tplc="100C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3">
    <w:nsid w:val="1D3F2013"/>
    <w:multiLevelType w:val="hybridMultilevel"/>
    <w:tmpl w:val="40E0368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703F01"/>
    <w:multiLevelType w:val="hybridMultilevel"/>
    <w:tmpl w:val="78864520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70057ED"/>
    <w:multiLevelType w:val="hybridMultilevel"/>
    <w:tmpl w:val="2DD49094"/>
    <w:lvl w:ilvl="0" w:tplc="29F4CE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C1442E"/>
    <w:multiLevelType w:val="hybridMultilevel"/>
    <w:tmpl w:val="D124011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1494019"/>
    <w:multiLevelType w:val="multilevel"/>
    <w:tmpl w:val="876A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9C2563"/>
    <w:multiLevelType w:val="hybridMultilevel"/>
    <w:tmpl w:val="25F2175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9F84D42"/>
    <w:multiLevelType w:val="hybridMultilevel"/>
    <w:tmpl w:val="256E70C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41D089C"/>
    <w:multiLevelType w:val="hybridMultilevel"/>
    <w:tmpl w:val="4970A874"/>
    <w:lvl w:ilvl="0" w:tplc="003EAD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436F46"/>
    <w:multiLevelType w:val="hybridMultilevel"/>
    <w:tmpl w:val="1FD20638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3"/>
  </w:num>
  <w:num w:numId="5">
    <w:abstractNumId w:val="11"/>
  </w:num>
  <w:num w:numId="6">
    <w:abstractNumId w:val="6"/>
  </w:num>
  <w:num w:numId="7">
    <w:abstractNumId w:val="8"/>
  </w:num>
  <w:num w:numId="8">
    <w:abstractNumId w:val="0"/>
  </w:num>
  <w:num w:numId="9">
    <w:abstractNumId w:val="2"/>
  </w:num>
  <w:num w:numId="10">
    <w:abstractNumId w:val="4"/>
  </w:num>
  <w:num w:numId="11">
    <w:abstractNumId w:val="9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7CAF"/>
    <w:rsid w:val="000800F5"/>
    <w:rsid w:val="000B59B5"/>
    <w:rsid w:val="00135374"/>
    <w:rsid w:val="001603F2"/>
    <w:rsid w:val="00162635"/>
    <w:rsid w:val="00231DF9"/>
    <w:rsid w:val="00277CAF"/>
    <w:rsid w:val="003C0EF9"/>
    <w:rsid w:val="003D19CA"/>
    <w:rsid w:val="00440E75"/>
    <w:rsid w:val="00662EEC"/>
    <w:rsid w:val="00990C6B"/>
    <w:rsid w:val="00B231DC"/>
    <w:rsid w:val="00B9349C"/>
    <w:rsid w:val="00BF7A31"/>
    <w:rsid w:val="00D7052A"/>
    <w:rsid w:val="00DC1E02"/>
    <w:rsid w:val="00DC6150"/>
    <w:rsid w:val="00E05138"/>
    <w:rsid w:val="00E16424"/>
    <w:rsid w:val="00E533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3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6B"/>
  </w:style>
  <w:style w:type="paragraph" w:styleId="Footer">
    <w:name w:val="footer"/>
    <w:basedOn w:val="Normal"/>
    <w:link w:val="Foot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6B"/>
  </w:style>
  <w:style w:type="character" w:styleId="Hyperlink">
    <w:name w:val="Hyperlink"/>
    <w:basedOn w:val="DefaultParagraphFont"/>
    <w:uiPriority w:val="99"/>
    <w:unhideWhenUsed/>
    <w:rsid w:val="00DC1E02"/>
    <w:rPr>
      <w:color w:val="0000FF"/>
      <w:u w:val="single"/>
    </w:rPr>
  </w:style>
  <w:style w:type="character" w:customStyle="1" w:styleId="nowrap">
    <w:name w:val="nowrap"/>
    <w:basedOn w:val="DefaultParagraphFont"/>
    <w:rsid w:val="00DC1E02"/>
  </w:style>
  <w:style w:type="paragraph" w:styleId="NormalWeb">
    <w:name w:val="Normal (Web)"/>
    <w:basedOn w:val="Normal"/>
    <w:uiPriority w:val="99"/>
    <w:semiHidden/>
    <w:unhideWhenUsed/>
    <w:rsid w:val="00DC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ListParagraph">
    <w:name w:val="List Paragraph"/>
    <w:basedOn w:val="Normal"/>
    <w:uiPriority w:val="34"/>
    <w:qFormat/>
    <w:rsid w:val="00DC1E0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800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C6B"/>
  </w:style>
  <w:style w:type="paragraph" w:styleId="Pieddepage">
    <w:name w:val="footer"/>
    <w:basedOn w:val="Normal"/>
    <w:link w:val="Pieddepag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0C6B"/>
  </w:style>
  <w:style w:type="character" w:styleId="Lienhypertexte">
    <w:name w:val="Hyperlink"/>
    <w:basedOn w:val="Policepardfaut"/>
    <w:uiPriority w:val="99"/>
    <w:unhideWhenUsed/>
    <w:rsid w:val="00DC1E02"/>
    <w:rPr>
      <w:color w:val="0000FF"/>
      <w:u w:val="single"/>
    </w:rPr>
  </w:style>
  <w:style w:type="character" w:customStyle="1" w:styleId="nowrap">
    <w:name w:val="nowrap"/>
    <w:basedOn w:val="Policepardfaut"/>
    <w:rsid w:val="00DC1E02"/>
  </w:style>
  <w:style w:type="paragraph" w:styleId="NormalWeb">
    <w:name w:val="Normal (Web)"/>
    <w:basedOn w:val="Normal"/>
    <w:uiPriority w:val="99"/>
    <w:semiHidden/>
    <w:unhideWhenUsed/>
    <w:rsid w:val="00DC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paragraph" w:styleId="Paragraphedeliste">
    <w:name w:val="List Paragraph"/>
    <w:basedOn w:val="Normal"/>
    <w:uiPriority w:val="34"/>
    <w:qFormat/>
    <w:rsid w:val="00DC1E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6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03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909</Words>
  <Characters>5004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Speakers</dc:creator>
  <cp:keywords/>
  <dc:description/>
  <cp:lastModifiedBy>Ashley</cp:lastModifiedBy>
  <cp:revision>6</cp:revision>
  <dcterms:created xsi:type="dcterms:W3CDTF">2014-04-14T14:26:00Z</dcterms:created>
  <dcterms:modified xsi:type="dcterms:W3CDTF">2014-09-12T13:07:00Z</dcterms:modified>
</cp:coreProperties>
</file>