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0F13" w:rsidRPr="00380F13" w:rsidRDefault="00000210" w:rsidP="00380F13">
      <w:pPr>
        <w:jc w:val="center"/>
        <w:rPr>
          <w:b/>
        </w:rPr>
      </w:pPr>
      <w:r w:rsidRPr="00000210">
        <w:rPr>
          <w:b/>
          <w:noProof/>
          <w:sz w:val="20"/>
          <w:lang w:eastAsia="fr-CH"/>
        </w:rPr>
        <w:pict>
          <v:shapetype id="_x0000_t202" coordsize="21600,21600" o:spt="202" path="m,l,21600r21600,l21600,xe">
            <v:stroke joinstyle="miter"/>
            <v:path gradientshapeok="t" o:connecttype="rect"/>
          </v:shapetype>
          <v:shape id="_x0000_s1026" type="#_x0000_t202" style="position:absolute;left:0;text-align:left;margin-left:377.25pt;margin-top:-41.05pt;width:127.35pt;height:19.85pt;z-index:251658240" filled="f" stroked="f">
            <v:textbox>
              <w:txbxContent>
                <w:p w:rsidR="00107809" w:rsidRPr="00BE578D" w:rsidRDefault="00107809">
                  <w:pPr>
                    <w:rPr>
                      <w:sz w:val="18"/>
                    </w:rPr>
                  </w:pPr>
                  <w:r w:rsidRPr="00BE578D">
                    <w:rPr>
                      <w:sz w:val="18"/>
                    </w:rPr>
                    <w:t>(</w:t>
                  </w:r>
                  <w:r w:rsidRPr="00BE578D">
                    <w:rPr>
                      <w:color w:val="00B050"/>
                      <w:sz w:val="18"/>
                    </w:rPr>
                    <w:t>en vert : attention pour l’</w:t>
                  </w:r>
                  <w:proofErr w:type="spellStart"/>
                  <w:r w:rsidRPr="00BE578D">
                    <w:rPr>
                      <w:color w:val="00B050"/>
                      <w:sz w:val="18"/>
                    </w:rPr>
                    <w:t>exa</w:t>
                  </w:r>
                  <w:proofErr w:type="spellEnd"/>
                  <w:r w:rsidRPr="00BE578D">
                    <w:rPr>
                      <w:sz w:val="18"/>
                    </w:rPr>
                    <w:t>)</w:t>
                  </w:r>
                </w:p>
              </w:txbxContent>
            </v:textbox>
          </v:shape>
        </w:pict>
      </w:r>
      <w:r w:rsidR="00380F13" w:rsidRPr="00380F13">
        <w:rPr>
          <w:b/>
        </w:rPr>
        <w:t>Croissance staturo-pon</w:t>
      </w:r>
      <w:r w:rsidR="00BE578D">
        <w:rPr>
          <w:b/>
        </w:rPr>
        <w:t>dérale et sa sémiologie clinique</w:t>
      </w:r>
    </w:p>
    <w:p w:rsidR="00380F13" w:rsidRDefault="00380F13">
      <w:pPr>
        <w:rPr>
          <w:sz w:val="20"/>
        </w:rPr>
      </w:pPr>
      <w:r w:rsidRPr="00380F13">
        <w:rPr>
          <w:b/>
          <w:sz w:val="20"/>
          <w:u w:val="single"/>
        </w:rPr>
        <w:t>Introduction</w:t>
      </w:r>
      <w:r w:rsidRPr="00380F13">
        <w:rPr>
          <w:sz w:val="20"/>
        </w:rPr>
        <w:t> :</w:t>
      </w:r>
    </w:p>
    <w:p w:rsidR="00380F13" w:rsidRDefault="00380F13" w:rsidP="00380F13">
      <w:pPr>
        <w:rPr>
          <w:sz w:val="20"/>
        </w:rPr>
      </w:pPr>
      <w:r w:rsidRPr="00FC6C32">
        <w:rPr>
          <w:b/>
          <w:sz w:val="20"/>
        </w:rPr>
        <w:t>La petite taille est un des soucis plus fréquents des parents</w:t>
      </w:r>
      <w:r w:rsidR="00FC6C32">
        <w:rPr>
          <w:b/>
          <w:sz w:val="20"/>
        </w:rPr>
        <w:t> :</w:t>
      </w:r>
      <w:r>
        <w:rPr>
          <w:sz w:val="20"/>
        </w:rPr>
        <w:t xml:space="preserve"> </w:t>
      </w:r>
      <w:r w:rsidR="00FC6C32">
        <w:rPr>
          <w:sz w:val="20"/>
        </w:rPr>
        <w:t>u</w:t>
      </w:r>
      <w:r w:rsidRPr="00380F13">
        <w:rPr>
          <w:sz w:val="20"/>
        </w:rPr>
        <w:t>n</w:t>
      </w:r>
      <w:r>
        <w:rPr>
          <w:sz w:val="20"/>
        </w:rPr>
        <w:t>e</w:t>
      </w:r>
      <w:r w:rsidRPr="00380F13">
        <w:rPr>
          <w:sz w:val="20"/>
        </w:rPr>
        <w:t xml:space="preserve"> petite taille est perçue comme négative et </w:t>
      </w:r>
      <w:r>
        <w:rPr>
          <w:sz w:val="20"/>
        </w:rPr>
        <w:t>comme possible signe de maladie. L</w:t>
      </w:r>
      <w:r w:rsidRPr="00380F13">
        <w:rPr>
          <w:sz w:val="20"/>
        </w:rPr>
        <w:t>es parents sont souvent très déçu</w:t>
      </w:r>
      <w:r>
        <w:rPr>
          <w:sz w:val="20"/>
        </w:rPr>
        <w:t>s</w:t>
      </w:r>
      <w:r w:rsidRPr="00380F13">
        <w:rPr>
          <w:sz w:val="20"/>
        </w:rPr>
        <w:t xml:space="preserve"> de voir que leur enfant va être de petite taille, même si </w:t>
      </w:r>
      <w:r>
        <w:rPr>
          <w:sz w:val="20"/>
        </w:rPr>
        <w:t>encore normale! Ce soucis est d’autant plus marqué chez les parents (et notamment les pères) qui sont eux-mêmes petits, qui le vivent mal et se préoccupent du bien être de leur enfant.</w:t>
      </w:r>
    </w:p>
    <w:p w:rsidR="00380F13" w:rsidRDefault="00380F13" w:rsidP="00380F13">
      <w:pPr>
        <w:rPr>
          <w:sz w:val="20"/>
        </w:rPr>
      </w:pPr>
      <w:r w:rsidRPr="00FC6C32">
        <w:rPr>
          <w:b/>
          <w:sz w:val="20"/>
        </w:rPr>
        <w:t>La taille comme facteur de succès social et professionnel</w:t>
      </w:r>
      <w:r>
        <w:rPr>
          <w:sz w:val="20"/>
        </w:rPr>
        <w:t> : de</w:t>
      </w:r>
      <w:r w:rsidRPr="00380F13">
        <w:rPr>
          <w:sz w:val="20"/>
        </w:rPr>
        <w:t xml:space="preserve"> nombreuses études montrent une relation </w:t>
      </w:r>
      <w:r>
        <w:rPr>
          <w:sz w:val="20"/>
        </w:rPr>
        <w:t>positive entre la taille d’</w:t>
      </w:r>
      <w:r w:rsidRPr="00380F13">
        <w:rPr>
          <w:sz w:val="20"/>
        </w:rPr>
        <w:t xml:space="preserve">un adulte et son </w:t>
      </w:r>
      <w:r>
        <w:rPr>
          <w:sz w:val="20"/>
        </w:rPr>
        <w:t xml:space="preserve">succès social et économique. </w:t>
      </w:r>
      <w:r w:rsidR="00FC6C32">
        <w:rPr>
          <w:sz w:val="20"/>
        </w:rPr>
        <w:t>Exemple: l’é</w:t>
      </w:r>
      <w:r w:rsidRPr="00380F13">
        <w:rPr>
          <w:sz w:val="20"/>
        </w:rPr>
        <w:t xml:space="preserve">lection du </w:t>
      </w:r>
      <w:r w:rsidR="00FC6C32" w:rsidRPr="00380F13">
        <w:rPr>
          <w:sz w:val="20"/>
        </w:rPr>
        <w:t>président</w:t>
      </w:r>
      <w:r w:rsidRPr="00380F13">
        <w:rPr>
          <w:sz w:val="20"/>
        </w:rPr>
        <w:t xml:space="preserve"> des Etats Unis - le plus grand des deux candidats à été </w:t>
      </w:r>
      <w:r w:rsidR="00FC6C32">
        <w:rPr>
          <w:sz w:val="20"/>
        </w:rPr>
        <w:t>vainqueur en 67% des cas! De façons générale c’est vrai qu’on a un respect inné pour les personnes grandes (intimidantes ?).</w:t>
      </w:r>
    </w:p>
    <w:p w:rsidR="00FC6C32" w:rsidRDefault="00FC6C32" w:rsidP="00FC6C32">
      <w:pPr>
        <w:rPr>
          <w:sz w:val="20"/>
        </w:rPr>
      </w:pPr>
      <w:r w:rsidRPr="00FC6C32">
        <w:rPr>
          <w:b/>
          <w:sz w:val="20"/>
        </w:rPr>
        <w:t>La taille comme indicateur de santé</w:t>
      </w:r>
      <w:r>
        <w:rPr>
          <w:sz w:val="20"/>
        </w:rPr>
        <w:t> : déjà au 19</w:t>
      </w:r>
      <w:r w:rsidRPr="00FC6C32">
        <w:rPr>
          <w:sz w:val="20"/>
          <w:vertAlign w:val="superscript"/>
        </w:rPr>
        <w:t>e</w:t>
      </w:r>
      <w:r>
        <w:rPr>
          <w:sz w:val="20"/>
        </w:rPr>
        <w:t xml:space="preserve"> on associe la petite taille à la pauvreté et mauvaise santé. Chez les enfants : la taille est l’</w:t>
      </w:r>
      <w:r w:rsidRPr="00FC6C32">
        <w:rPr>
          <w:sz w:val="20"/>
        </w:rPr>
        <w:t xml:space="preserve">indicateur </w:t>
      </w:r>
      <w:r>
        <w:rPr>
          <w:sz w:val="20"/>
        </w:rPr>
        <w:t xml:space="preserve">le plus important de bonne santé. Cette santé </w:t>
      </w:r>
      <w:r w:rsidRPr="00FC6C32">
        <w:rPr>
          <w:sz w:val="20"/>
        </w:rPr>
        <w:t>int</w:t>
      </w:r>
      <w:r>
        <w:rPr>
          <w:sz w:val="20"/>
        </w:rPr>
        <w:t>è</w:t>
      </w:r>
      <w:r w:rsidRPr="00FC6C32">
        <w:rPr>
          <w:sz w:val="20"/>
        </w:rPr>
        <w:t>gr</w:t>
      </w:r>
      <w:r>
        <w:rPr>
          <w:sz w:val="20"/>
        </w:rPr>
        <w:t>e</w:t>
      </w:r>
      <w:r w:rsidRPr="00FC6C32">
        <w:rPr>
          <w:sz w:val="20"/>
        </w:rPr>
        <w:t xml:space="preserve"> </w:t>
      </w:r>
      <w:r>
        <w:rPr>
          <w:sz w:val="20"/>
        </w:rPr>
        <w:t>des é</w:t>
      </w:r>
      <w:r w:rsidRPr="00FC6C32">
        <w:rPr>
          <w:sz w:val="20"/>
        </w:rPr>
        <w:t xml:space="preserve">léments biomédicaux et </w:t>
      </w:r>
      <w:r>
        <w:rPr>
          <w:sz w:val="20"/>
        </w:rPr>
        <w:t>sociaux. Les maladies chroniques de l</w:t>
      </w:r>
      <w:r w:rsidR="00605F11">
        <w:rPr>
          <w:sz w:val="20"/>
        </w:rPr>
        <w:t>’</w:t>
      </w:r>
      <w:r w:rsidRPr="00FC6C32">
        <w:rPr>
          <w:sz w:val="20"/>
        </w:rPr>
        <w:t>enfant peuvent entr</w:t>
      </w:r>
      <w:r w:rsidR="00605F11">
        <w:rPr>
          <w:sz w:val="20"/>
        </w:rPr>
        <w:t>ainer un retard de croissance !</w:t>
      </w:r>
    </w:p>
    <w:p w:rsidR="006A180B" w:rsidRPr="006A180B" w:rsidRDefault="006A180B" w:rsidP="006A180B">
      <w:pPr>
        <w:rPr>
          <w:sz w:val="20"/>
        </w:rPr>
      </w:pPr>
      <w:r>
        <w:rPr>
          <w:sz w:val="20"/>
        </w:rPr>
        <w:t>la croissance comprend 3 phases : p</w:t>
      </w:r>
      <w:r w:rsidRPr="006A180B">
        <w:rPr>
          <w:sz w:val="20"/>
        </w:rPr>
        <w:t>rénatal et première enfance</w:t>
      </w:r>
      <w:r>
        <w:rPr>
          <w:sz w:val="20"/>
        </w:rPr>
        <w:t>, 2</w:t>
      </w:r>
      <w:r w:rsidRPr="006A180B">
        <w:rPr>
          <w:sz w:val="20"/>
          <w:vertAlign w:val="superscript"/>
        </w:rPr>
        <w:t>ème</w:t>
      </w:r>
      <w:r>
        <w:rPr>
          <w:sz w:val="20"/>
        </w:rPr>
        <w:t xml:space="preserve"> enfance (âge scolaire) et puberté</w:t>
      </w:r>
      <w:r w:rsidR="00BA5C20">
        <w:rPr>
          <w:sz w:val="20"/>
        </w:rPr>
        <w:t>. En cas de troubles de croissance, la clinique variera en fonction de la phase atteinte.</w:t>
      </w:r>
    </w:p>
    <w:p w:rsidR="00380F13" w:rsidRDefault="00380F13" w:rsidP="00605F11">
      <w:pPr>
        <w:spacing w:after="0"/>
        <w:rPr>
          <w:sz w:val="20"/>
        </w:rPr>
      </w:pPr>
      <w:r w:rsidRPr="00380F13">
        <w:rPr>
          <w:b/>
          <w:sz w:val="20"/>
          <w:u w:val="single"/>
        </w:rPr>
        <w:t>Physiologie de la croissance</w:t>
      </w:r>
      <w:r w:rsidRPr="00380F13">
        <w:rPr>
          <w:sz w:val="20"/>
        </w:rPr>
        <w:t> :</w:t>
      </w:r>
      <w:r w:rsidR="00605F11">
        <w:rPr>
          <w:sz w:val="20"/>
        </w:rPr>
        <w:t xml:space="preserve"> </w:t>
      </w:r>
      <w:r w:rsidR="00AA742E">
        <w:rPr>
          <w:sz w:val="20"/>
        </w:rPr>
        <w:t xml:space="preserve">la croissance et le développement </w:t>
      </w:r>
      <w:r w:rsidR="00AA742E" w:rsidRPr="00BA18E4">
        <w:rPr>
          <w:sz w:val="20"/>
        </w:rPr>
        <w:t>dépendent de plusieurs hormones. Les hormones thyroïdiennes sont surtout importantes pour les développement fœtal et une partie de la période post-natale. L’IGF-1 (dépend de GH) joue un rôle essentiel dans la</w:t>
      </w:r>
      <w:r w:rsidR="00BE578D">
        <w:rPr>
          <w:sz w:val="20"/>
        </w:rPr>
        <w:t xml:space="preserve"> croissance pendant l’enfance. </w:t>
      </w:r>
      <w:r w:rsidR="00AA742E">
        <w:rPr>
          <w:sz w:val="20"/>
        </w:rPr>
        <w:t>L</w:t>
      </w:r>
      <w:r w:rsidR="00605F11">
        <w:rPr>
          <w:sz w:val="20"/>
        </w:rPr>
        <w:t>es savants du 18</w:t>
      </w:r>
      <w:r w:rsidR="00605F11" w:rsidRPr="00605F11">
        <w:rPr>
          <w:sz w:val="20"/>
          <w:vertAlign w:val="superscript"/>
        </w:rPr>
        <w:t>e</w:t>
      </w:r>
      <w:r w:rsidR="00605F11">
        <w:rPr>
          <w:sz w:val="20"/>
        </w:rPr>
        <w:t xml:space="preserve"> croyaient à tort que la croissance était linéaire et que les différents membres gardaient les mêmes proportions au cours du développement. Ce n’est pas le cas.</w:t>
      </w:r>
    </w:p>
    <w:p w:rsidR="00605F11" w:rsidRDefault="00605F11" w:rsidP="00605F11">
      <w:pPr>
        <w:pStyle w:val="ListParagraph"/>
        <w:numPr>
          <w:ilvl w:val="0"/>
          <w:numId w:val="2"/>
        </w:numPr>
        <w:spacing w:after="0"/>
        <w:rPr>
          <w:sz w:val="20"/>
        </w:rPr>
      </w:pPr>
      <w:r>
        <w:rPr>
          <w:sz w:val="20"/>
        </w:rPr>
        <w:t xml:space="preserve">La tête croît au cours des 5-6 premières années de vie. </w:t>
      </w:r>
      <w:r w:rsidR="00AA742E">
        <w:rPr>
          <w:sz w:val="20"/>
        </w:rPr>
        <w:t>La tête</w:t>
      </w:r>
      <w:r>
        <w:rPr>
          <w:sz w:val="20"/>
        </w:rPr>
        <w:t xml:space="preserve"> est </w:t>
      </w:r>
      <w:r w:rsidR="00AA742E">
        <w:rPr>
          <w:sz w:val="20"/>
        </w:rPr>
        <w:t xml:space="preserve">proportionnellement </w:t>
      </w:r>
      <w:r>
        <w:rPr>
          <w:sz w:val="20"/>
        </w:rPr>
        <w:t>beaucoup plus grande chez le petit enfant que chez l’adolescent ou l’</w:t>
      </w:r>
      <w:r w:rsidR="00AA742E">
        <w:rPr>
          <w:sz w:val="20"/>
        </w:rPr>
        <w:t>adulte.</w:t>
      </w:r>
    </w:p>
    <w:p w:rsidR="00605F11" w:rsidRDefault="00605F11" w:rsidP="00AA742E">
      <w:pPr>
        <w:pStyle w:val="ListParagraph"/>
        <w:numPr>
          <w:ilvl w:val="0"/>
          <w:numId w:val="2"/>
        </w:numPr>
        <w:rPr>
          <w:sz w:val="20"/>
        </w:rPr>
      </w:pPr>
      <w:r>
        <w:rPr>
          <w:sz w:val="20"/>
        </w:rPr>
        <w:t xml:space="preserve">Bras et jambes : croissent surtout pendant l’adolescence. </w:t>
      </w:r>
      <w:r w:rsidR="00AA742E">
        <w:rPr>
          <w:sz w:val="20"/>
        </w:rPr>
        <w:t xml:space="preserve">Chez un enfant de 2 ans, la distance entre la tête et l’épine iliaque supérieure est environ la même que la longueur des MI. Chez un enfant de 8 ans en revanche les MI sont plus longs. </w:t>
      </w:r>
      <w:r w:rsidR="00AA742E" w:rsidRPr="00AA742E">
        <w:rPr>
          <w:sz w:val="20"/>
        </w:rPr>
        <w:t xml:space="preserve">Il faut savoir ceci pour distinguer différents types de nanisme. Un enfant de 8 ans avec une hypothyroïdie (i.e. manque d’hormones thyroïdiennes) aura la taille et la physionomie d’un enfant de 2 ans, ainsi qu’un retard dans le développement mental. Un enfant de 8 ans manquant de GH aura une physionomie et un développement mental normaux, mais la taille d’un enfant de 2 ans. Encore un autre type de nanisme existe, le nanisme </w:t>
      </w:r>
      <w:proofErr w:type="spellStart"/>
      <w:r w:rsidR="00AA742E" w:rsidRPr="00AA742E">
        <w:rPr>
          <w:sz w:val="20"/>
        </w:rPr>
        <w:t>achondroplastique</w:t>
      </w:r>
      <w:proofErr w:type="spellEnd"/>
      <w:r w:rsidR="00AA742E" w:rsidRPr="00AA742E">
        <w:rPr>
          <w:sz w:val="20"/>
        </w:rPr>
        <w:t xml:space="preserve"> (ex nain du cercle de </w:t>
      </w:r>
      <w:proofErr w:type="spellStart"/>
      <w:r w:rsidR="00AA742E" w:rsidRPr="00AA742E">
        <w:rPr>
          <w:sz w:val="20"/>
        </w:rPr>
        <w:t>knie</w:t>
      </w:r>
      <w:proofErr w:type="spellEnd"/>
      <w:r w:rsidR="00AA742E" w:rsidRPr="00AA742E">
        <w:rPr>
          <w:sz w:val="20"/>
        </w:rPr>
        <w:t>), mais il ne s’agit pas d’un problème endocrinien</w:t>
      </w:r>
      <w:r w:rsidR="00AA742E">
        <w:rPr>
          <w:sz w:val="20"/>
        </w:rPr>
        <w:t>.</w:t>
      </w:r>
    </w:p>
    <w:p w:rsidR="00AA742E" w:rsidRPr="00AA742E" w:rsidRDefault="00AA742E" w:rsidP="00AA742E">
      <w:pPr>
        <w:rPr>
          <w:sz w:val="20"/>
        </w:rPr>
      </w:pPr>
      <w:r>
        <w:rPr>
          <w:sz w:val="20"/>
        </w:rPr>
        <w:t>« L’organe de croissance » est le cartila</w:t>
      </w:r>
      <w:r w:rsidR="00A124E1">
        <w:rPr>
          <w:sz w:val="20"/>
        </w:rPr>
        <w:t>ge entre la métaphyse et épiphyse =</w:t>
      </w:r>
      <w:r>
        <w:rPr>
          <w:sz w:val="20"/>
        </w:rPr>
        <w:t xml:space="preserve"> cartilage de croissance ou de conjugaison. </w:t>
      </w:r>
      <w:r w:rsidR="00B80B1B">
        <w:rPr>
          <w:sz w:val="20"/>
        </w:rPr>
        <w:t xml:space="preserve">Les chondroblastes se multiplient sur une ligne </w:t>
      </w:r>
      <w:r w:rsidR="00A124E1">
        <w:rPr>
          <w:sz w:val="20"/>
        </w:rPr>
        <w:t>=</w:t>
      </w:r>
      <w:r w:rsidR="00B80B1B">
        <w:rPr>
          <w:sz w:val="20"/>
        </w:rPr>
        <w:t xml:space="preserve"> lame de cartilage (visible sur les radios).</w:t>
      </w:r>
    </w:p>
    <w:p w:rsidR="00380F13" w:rsidRDefault="00380F13" w:rsidP="00B80B1B">
      <w:pPr>
        <w:spacing w:after="0"/>
        <w:rPr>
          <w:sz w:val="20"/>
        </w:rPr>
      </w:pPr>
      <w:r w:rsidRPr="00380F13">
        <w:rPr>
          <w:b/>
          <w:sz w:val="20"/>
          <w:u w:val="single"/>
        </w:rPr>
        <w:t>Paramètres de la croissance</w:t>
      </w:r>
      <w:r w:rsidRPr="00380F13">
        <w:rPr>
          <w:sz w:val="20"/>
        </w:rPr>
        <w:t> :</w:t>
      </w:r>
      <w:r w:rsidR="00A124E1">
        <w:rPr>
          <w:sz w:val="20"/>
        </w:rPr>
        <w:t xml:space="preserve"> le suivi de la croissance se fait essentiellement par le biais de courbes percentiles. Ces courbes suivent une distribution de Gauss. </w:t>
      </w:r>
      <w:r w:rsidR="00E400E1">
        <w:rPr>
          <w:sz w:val="20"/>
        </w:rPr>
        <w:t>Les premières courbes de croissance datent du 18</w:t>
      </w:r>
      <w:r w:rsidR="00E400E1" w:rsidRPr="00E400E1">
        <w:rPr>
          <w:sz w:val="20"/>
          <w:vertAlign w:val="superscript"/>
        </w:rPr>
        <w:t>e</w:t>
      </w:r>
      <w:r w:rsidR="00E400E1">
        <w:rPr>
          <w:sz w:val="20"/>
        </w:rPr>
        <w:t xml:space="preserve">. </w:t>
      </w:r>
      <w:r w:rsidR="00A124E1">
        <w:rPr>
          <w:sz w:val="20"/>
        </w:rPr>
        <w:t>Retenir les 3</w:t>
      </w:r>
      <w:r w:rsidR="00A124E1" w:rsidRPr="00A124E1">
        <w:rPr>
          <w:sz w:val="20"/>
          <w:vertAlign w:val="superscript"/>
        </w:rPr>
        <w:t>ème</w:t>
      </w:r>
      <w:r w:rsidR="00A124E1">
        <w:rPr>
          <w:sz w:val="20"/>
        </w:rPr>
        <w:t xml:space="preserve"> et 97</w:t>
      </w:r>
      <w:r w:rsidR="00A124E1" w:rsidRPr="00A124E1">
        <w:rPr>
          <w:sz w:val="20"/>
          <w:vertAlign w:val="superscript"/>
        </w:rPr>
        <w:t>ème</w:t>
      </w:r>
      <w:r w:rsidR="00A124E1">
        <w:rPr>
          <w:sz w:val="20"/>
        </w:rPr>
        <w:t xml:space="preserve"> percentiles qui correspondent à µ -/+ 2DS respectivement. Les enfants au-dessus ou en-dessous ne sont pas forcément anormaux, mais il faut les surveiller de pr</w:t>
      </w:r>
      <w:r w:rsidR="007632E3">
        <w:rPr>
          <w:sz w:val="20"/>
        </w:rPr>
        <w:t>ès</w:t>
      </w:r>
      <w:r w:rsidR="00A124E1">
        <w:rPr>
          <w:sz w:val="20"/>
        </w:rPr>
        <w:t>.</w:t>
      </w:r>
    </w:p>
    <w:p w:rsidR="00380F13" w:rsidRDefault="00380F13" w:rsidP="00B80B1B">
      <w:pPr>
        <w:pStyle w:val="ListParagraph"/>
        <w:numPr>
          <w:ilvl w:val="0"/>
          <w:numId w:val="1"/>
        </w:numPr>
        <w:spacing w:after="0"/>
        <w:rPr>
          <w:sz w:val="20"/>
        </w:rPr>
      </w:pPr>
      <w:r>
        <w:rPr>
          <w:sz w:val="20"/>
        </w:rPr>
        <w:t>Taille</w:t>
      </w:r>
      <w:r w:rsidR="00E400E1">
        <w:rPr>
          <w:sz w:val="20"/>
        </w:rPr>
        <w:t xml:space="preserve"> (ou longueur pour 1</w:t>
      </w:r>
      <w:r w:rsidR="00E400E1" w:rsidRPr="00E400E1">
        <w:rPr>
          <w:sz w:val="20"/>
          <w:vertAlign w:val="superscript"/>
        </w:rPr>
        <w:t>ère</w:t>
      </w:r>
      <w:r w:rsidR="00E400E1">
        <w:rPr>
          <w:sz w:val="20"/>
        </w:rPr>
        <w:t xml:space="preserve"> année, enfant mesuré couché)</w:t>
      </w:r>
      <w:r>
        <w:rPr>
          <w:sz w:val="20"/>
        </w:rPr>
        <w:t>, poids, périmètre crânien</w:t>
      </w:r>
    </w:p>
    <w:p w:rsidR="00E400E1" w:rsidRPr="00BE578D" w:rsidRDefault="00380F13" w:rsidP="00380F13">
      <w:pPr>
        <w:pStyle w:val="ListParagraph"/>
        <w:numPr>
          <w:ilvl w:val="0"/>
          <w:numId w:val="1"/>
        </w:numPr>
        <w:rPr>
          <w:color w:val="00B050"/>
          <w:sz w:val="20"/>
        </w:rPr>
      </w:pPr>
      <w:r>
        <w:rPr>
          <w:sz w:val="20"/>
        </w:rPr>
        <w:t>Âge osseux et dentaire</w:t>
      </w:r>
      <w:r w:rsidR="00E400E1">
        <w:rPr>
          <w:sz w:val="20"/>
        </w:rPr>
        <w:t xml:space="preserve"> : la maturation osseuse offre une simple estimation de l’âge. Important cependant de souligner qu’il y a une différence entre l’âge d’un individu et son </w:t>
      </w:r>
      <w:r w:rsidR="00E400E1" w:rsidRPr="00E400E1">
        <w:rPr>
          <w:sz w:val="20"/>
          <w:highlight w:val="yellow"/>
        </w:rPr>
        <w:t>âge osseux</w:t>
      </w:r>
      <w:r w:rsidR="00E400E1">
        <w:rPr>
          <w:sz w:val="20"/>
        </w:rPr>
        <w:t xml:space="preserve"> (les deux ne correspondent pas forcément !). Si un enfant a un retard de croissance mais qu’il a un petit âge osseux, </w:t>
      </w:r>
      <w:r w:rsidR="00BE578D">
        <w:rPr>
          <w:sz w:val="20"/>
        </w:rPr>
        <w:t>il faut</w:t>
      </w:r>
      <w:r w:rsidR="00E400E1">
        <w:rPr>
          <w:sz w:val="20"/>
        </w:rPr>
        <w:t xml:space="preserve"> rassurer ses parents qu’il va encore grandir. </w:t>
      </w:r>
      <w:r w:rsidR="00E400E1" w:rsidRPr="00BE578D">
        <w:rPr>
          <w:color w:val="00B050"/>
          <w:sz w:val="20"/>
        </w:rPr>
        <w:t>Chaque âge osseux correspond à un pourcentage de la taille potentielle à l’âge adulte (concept développé au 20</w:t>
      </w:r>
      <w:r w:rsidR="00E400E1" w:rsidRPr="00BE578D">
        <w:rPr>
          <w:color w:val="00B050"/>
          <w:sz w:val="20"/>
          <w:vertAlign w:val="superscript"/>
        </w:rPr>
        <w:t>e</w:t>
      </w:r>
      <w:r w:rsidR="00E400E1" w:rsidRPr="00BE578D">
        <w:rPr>
          <w:color w:val="00B050"/>
          <w:sz w:val="20"/>
        </w:rPr>
        <w:t xml:space="preserve">) : </w:t>
      </w:r>
    </w:p>
    <w:p w:rsidR="00380F13" w:rsidRPr="00BE578D" w:rsidRDefault="00E400E1" w:rsidP="00E400E1">
      <w:pPr>
        <w:pStyle w:val="ListParagraph"/>
        <w:jc w:val="center"/>
        <w:rPr>
          <w:color w:val="00B050"/>
          <w:sz w:val="20"/>
        </w:rPr>
      </w:pPr>
      <w:r w:rsidRPr="00BE578D">
        <w:rPr>
          <w:color w:val="00B050"/>
          <w:sz w:val="20"/>
        </w:rPr>
        <w:t>taille actuelle x f(âge osseux) = pronostic de taille adulte</w:t>
      </w:r>
    </w:p>
    <w:p w:rsidR="00E400E1" w:rsidRDefault="00E400E1" w:rsidP="0059368B">
      <w:pPr>
        <w:pStyle w:val="ListParagraph"/>
        <w:jc w:val="center"/>
        <w:rPr>
          <w:sz w:val="20"/>
        </w:rPr>
      </w:pPr>
      <w:r>
        <w:rPr>
          <w:sz w:val="20"/>
        </w:rPr>
        <w:t>Plus on est âgé, plus cette formule est précise.</w:t>
      </w:r>
    </w:p>
    <w:p w:rsidR="00380F13" w:rsidRDefault="00BE578D" w:rsidP="00BE578D">
      <w:pPr>
        <w:pStyle w:val="ListParagraph"/>
        <w:numPr>
          <w:ilvl w:val="0"/>
          <w:numId w:val="1"/>
        </w:numPr>
        <w:rPr>
          <w:sz w:val="20"/>
        </w:rPr>
      </w:pPr>
      <w:r w:rsidRPr="00BE578D">
        <w:rPr>
          <w:sz w:val="20"/>
        </w:rPr>
        <w:br w:type="page"/>
      </w:r>
      <w:r w:rsidR="00380F13" w:rsidRPr="00BE578D">
        <w:rPr>
          <w:sz w:val="20"/>
        </w:rPr>
        <w:lastRenderedPageBreak/>
        <w:t>Stages pubertaires</w:t>
      </w:r>
      <w:r>
        <w:rPr>
          <w:sz w:val="20"/>
        </w:rPr>
        <w:t> : l</w:t>
      </w:r>
      <w:r w:rsidRPr="00BA18E4">
        <w:rPr>
          <w:sz w:val="20"/>
        </w:rPr>
        <w:t>es hormones sexuelles (androgènes et estrogènes) se manifestent à l’adolescence : elles provoquent une croissance très rapide mais brève et leur arrêt marque la fin de la croissance. On ne traitera jamais un nanisme avec des injections de testostérone, car l’enfant grandirait un moment mais sa croissance s’arrêterait vite de façon irréversible.</w:t>
      </w:r>
    </w:p>
    <w:p w:rsidR="00BE578D" w:rsidRDefault="00BE578D" w:rsidP="00BE578D">
      <w:pPr>
        <w:pStyle w:val="ListParagraph"/>
        <w:numPr>
          <w:ilvl w:val="0"/>
          <w:numId w:val="3"/>
        </w:numPr>
        <w:rPr>
          <w:sz w:val="20"/>
        </w:rPr>
      </w:pPr>
      <w:r>
        <w:rPr>
          <w:sz w:val="20"/>
        </w:rPr>
        <w:t>Filles : ont une puberté plus précoce que les garçons. Commencent par pic de croissance et début de développement des seins</w:t>
      </w:r>
      <w:r w:rsidR="006A180B">
        <w:rPr>
          <w:sz w:val="20"/>
        </w:rPr>
        <w:t xml:space="preserve"> vers 10-11 ans</w:t>
      </w:r>
      <w:r>
        <w:rPr>
          <w:sz w:val="20"/>
        </w:rPr>
        <w:t>. S’ensuit la pilosité pubienne, ensuite les premières règles</w:t>
      </w:r>
      <w:r w:rsidR="006A180B">
        <w:rPr>
          <w:sz w:val="20"/>
        </w:rPr>
        <w:t xml:space="preserve"> (12-13 ans)</w:t>
      </w:r>
      <w:r>
        <w:rPr>
          <w:sz w:val="20"/>
        </w:rPr>
        <w:t>. La poitrine</w:t>
      </w:r>
      <w:r w:rsidR="006A180B">
        <w:rPr>
          <w:sz w:val="20"/>
        </w:rPr>
        <w:t xml:space="preserve"> continue </w:t>
      </w:r>
      <w:r>
        <w:rPr>
          <w:sz w:val="20"/>
        </w:rPr>
        <w:t>de se développer jusqu’à 1</w:t>
      </w:r>
      <w:r w:rsidR="006A180B">
        <w:rPr>
          <w:sz w:val="20"/>
        </w:rPr>
        <w:t>5</w:t>
      </w:r>
      <w:r>
        <w:rPr>
          <w:sz w:val="20"/>
        </w:rPr>
        <w:t xml:space="preserve"> ans </w:t>
      </w:r>
      <w:r w:rsidR="006A180B">
        <w:rPr>
          <w:sz w:val="20"/>
        </w:rPr>
        <w:t>en moyenne</w:t>
      </w:r>
      <w:r>
        <w:rPr>
          <w:sz w:val="20"/>
        </w:rPr>
        <w:t>.</w:t>
      </w:r>
      <w:r w:rsidR="006A180B">
        <w:rPr>
          <w:sz w:val="20"/>
        </w:rPr>
        <w:t xml:space="preserve"> La croissan</w:t>
      </w:r>
      <w:r w:rsidR="00212EEB">
        <w:rPr>
          <w:sz w:val="20"/>
        </w:rPr>
        <w:t>ce aussi termine vers 14-15 ans (</w:t>
      </w:r>
      <w:proofErr w:type="spellStart"/>
      <w:r w:rsidR="00212EEB">
        <w:rPr>
          <w:sz w:val="20"/>
        </w:rPr>
        <w:t>env</w:t>
      </w:r>
      <w:proofErr w:type="spellEnd"/>
      <w:r w:rsidR="00212EEB">
        <w:rPr>
          <w:sz w:val="20"/>
        </w:rPr>
        <w:t xml:space="preserve"> 2 ans après </w:t>
      </w:r>
      <w:proofErr w:type="spellStart"/>
      <w:r w:rsidR="00212EEB">
        <w:rPr>
          <w:sz w:val="20"/>
        </w:rPr>
        <w:t>ménarches</w:t>
      </w:r>
      <w:proofErr w:type="spellEnd"/>
      <w:r w:rsidR="00212EEB">
        <w:rPr>
          <w:sz w:val="20"/>
        </w:rPr>
        <w:t>)</w:t>
      </w:r>
    </w:p>
    <w:p w:rsidR="00BE578D" w:rsidRPr="00BE578D" w:rsidRDefault="00BE578D" w:rsidP="00BE578D">
      <w:pPr>
        <w:pStyle w:val="ListParagraph"/>
        <w:numPr>
          <w:ilvl w:val="0"/>
          <w:numId w:val="3"/>
        </w:numPr>
        <w:rPr>
          <w:sz w:val="20"/>
        </w:rPr>
      </w:pPr>
      <w:r>
        <w:rPr>
          <w:sz w:val="20"/>
        </w:rPr>
        <w:t>Garçons :</w:t>
      </w:r>
      <w:r w:rsidR="006A180B">
        <w:rPr>
          <w:sz w:val="20"/>
        </w:rPr>
        <w:t xml:space="preserve"> puberté commence avec le développement testiculaire aux alentours de 11 ans. Mais les changements apparents commencent plus tard avec le développement du pénis et une poussée de croissance. La croissance se termine plus tard que les filles (≥16 ans).</w:t>
      </w:r>
    </w:p>
    <w:p w:rsidR="006A180B" w:rsidRDefault="00205141" w:rsidP="0059368B">
      <w:pPr>
        <w:spacing w:after="0"/>
        <w:rPr>
          <w:sz w:val="20"/>
        </w:rPr>
      </w:pPr>
      <w:r>
        <w:rPr>
          <w:b/>
          <w:sz w:val="20"/>
          <w:u w:val="single"/>
        </w:rPr>
        <w:t>I</w:t>
      </w:r>
      <w:r w:rsidR="00380F13" w:rsidRPr="00380F13">
        <w:rPr>
          <w:b/>
          <w:sz w:val="20"/>
          <w:u w:val="single"/>
        </w:rPr>
        <w:t>nfluences de la croissance</w:t>
      </w:r>
      <w:r w:rsidR="00380F13">
        <w:rPr>
          <w:sz w:val="20"/>
        </w:rPr>
        <w:t> :</w:t>
      </w:r>
      <w:r w:rsidR="006A180B">
        <w:rPr>
          <w:sz w:val="20"/>
        </w:rPr>
        <w:t xml:space="preserve"> </w:t>
      </w:r>
      <w:r w:rsidR="00BA5C20">
        <w:rPr>
          <w:sz w:val="20"/>
        </w:rPr>
        <w:t>la taille est influencée par plusieurs facteurs</w:t>
      </w:r>
    </w:p>
    <w:p w:rsidR="00420B8E" w:rsidRDefault="00C56082" w:rsidP="0059368B">
      <w:pPr>
        <w:pStyle w:val="ListParagraph"/>
        <w:numPr>
          <w:ilvl w:val="0"/>
          <w:numId w:val="1"/>
        </w:numPr>
        <w:spacing w:after="0"/>
        <w:rPr>
          <w:sz w:val="20"/>
        </w:rPr>
      </w:pPr>
      <w:r>
        <w:rPr>
          <w:sz w:val="20"/>
        </w:rPr>
        <w:t xml:space="preserve">Le milieu </w:t>
      </w:r>
      <w:r w:rsidR="00420B8E">
        <w:rPr>
          <w:sz w:val="20"/>
        </w:rPr>
        <w:t>avec composantes bio-sociales :</w:t>
      </w:r>
    </w:p>
    <w:p w:rsidR="00420B8E" w:rsidRDefault="00C56082" w:rsidP="00420B8E">
      <w:pPr>
        <w:pStyle w:val="ListParagraph"/>
        <w:numPr>
          <w:ilvl w:val="0"/>
          <w:numId w:val="5"/>
        </w:numPr>
        <w:rPr>
          <w:sz w:val="20"/>
        </w:rPr>
      </w:pPr>
      <w:r w:rsidRPr="00420B8E">
        <w:rPr>
          <w:sz w:val="20"/>
        </w:rPr>
        <w:t xml:space="preserve">l’histoire a </w:t>
      </w:r>
      <w:r w:rsidR="00420B8E">
        <w:rPr>
          <w:sz w:val="20"/>
        </w:rPr>
        <w:t>dé</w:t>
      </w:r>
      <w:r w:rsidRPr="00420B8E">
        <w:rPr>
          <w:sz w:val="20"/>
        </w:rPr>
        <w:t>montré que la croissance des enfants est diminuée en périodes de guerre (manque de nourriture ? angoi</w:t>
      </w:r>
      <w:r w:rsidR="00420B8E" w:rsidRPr="00420B8E">
        <w:rPr>
          <w:sz w:val="20"/>
        </w:rPr>
        <w:t xml:space="preserve">sse ?). </w:t>
      </w:r>
    </w:p>
    <w:p w:rsidR="00BA5C20" w:rsidRDefault="00420B8E" w:rsidP="00420B8E">
      <w:pPr>
        <w:pStyle w:val="ListParagraph"/>
        <w:numPr>
          <w:ilvl w:val="0"/>
          <w:numId w:val="5"/>
        </w:numPr>
        <w:rPr>
          <w:sz w:val="20"/>
        </w:rPr>
      </w:pPr>
      <w:r>
        <w:rPr>
          <w:sz w:val="20"/>
        </w:rPr>
        <w:t>l’évolution suggère que</w:t>
      </w:r>
      <w:r w:rsidRPr="00420B8E">
        <w:rPr>
          <w:sz w:val="20"/>
        </w:rPr>
        <w:t xml:space="preserve"> nous</w:t>
      </w:r>
      <w:r w:rsidR="00C56082" w:rsidRPr="00420B8E">
        <w:rPr>
          <w:sz w:val="20"/>
        </w:rPr>
        <w:t xml:space="preserve"> devenons</w:t>
      </w:r>
      <w:r w:rsidRPr="00420B8E">
        <w:rPr>
          <w:sz w:val="20"/>
        </w:rPr>
        <w:t xml:space="preserve"> </w:t>
      </w:r>
      <w:r w:rsidR="00C56082" w:rsidRPr="00420B8E">
        <w:rPr>
          <w:sz w:val="20"/>
        </w:rPr>
        <w:t xml:space="preserve">de plus en plus grands avec </w:t>
      </w:r>
      <w:r>
        <w:rPr>
          <w:sz w:val="20"/>
        </w:rPr>
        <w:t>le temps (</w:t>
      </w:r>
      <w:r w:rsidR="001F294F">
        <w:rPr>
          <w:sz w:val="20"/>
        </w:rPr>
        <w:t xml:space="preserve">le </w:t>
      </w:r>
      <w:r>
        <w:rPr>
          <w:sz w:val="20"/>
        </w:rPr>
        <w:t>lit standard faisait 1m70 au 19</w:t>
      </w:r>
      <w:r w:rsidRPr="00420B8E">
        <w:rPr>
          <w:sz w:val="20"/>
          <w:vertAlign w:val="superscript"/>
        </w:rPr>
        <w:t>e</w:t>
      </w:r>
      <w:r>
        <w:rPr>
          <w:sz w:val="20"/>
        </w:rPr>
        <w:t>, maintenant il fait 2m), probablement parce que nous jouissons d’une meilleure santé (meilleure alimentation, meilleure hygiène, meilleurs soins…).</w:t>
      </w:r>
    </w:p>
    <w:p w:rsidR="00420B8E" w:rsidRDefault="00420B8E" w:rsidP="00420B8E">
      <w:pPr>
        <w:pStyle w:val="ListParagraph"/>
        <w:numPr>
          <w:ilvl w:val="0"/>
          <w:numId w:val="5"/>
        </w:numPr>
        <w:rPr>
          <w:sz w:val="20"/>
        </w:rPr>
      </w:pPr>
      <w:r>
        <w:rPr>
          <w:sz w:val="20"/>
        </w:rPr>
        <w:t>Classe sociale : plus elle est élevée, plus les personnes ont tendance à devenir grands. Plus elle est basse, plus les gens sont globalement petits.</w:t>
      </w:r>
    </w:p>
    <w:p w:rsidR="00420B8E" w:rsidRPr="00420B8E" w:rsidRDefault="00420B8E" w:rsidP="00420B8E">
      <w:pPr>
        <w:pStyle w:val="ListParagraph"/>
        <w:numPr>
          <w:ilvl w:val="0"/>
          <w:numId w:val="5"/>
        </w:numPr>
        <w:rPr>
          <w:sz w:val="20"/>
        </w:rPr>
      </w:pPr>
      <w:r>
        <w:rPr>
          <w:sz w:val="20"/>
        </w:rPr>
        <w:t>Nombre de frères et sœurs : plus il y en a, plus ils ont tendance à être petits (compétition pour nourriture/attention ?).</w:t>
      </w:r>
    </w:p>
    <w:p w:rsidR="00C56082" w:rsidRDefault="00C56082" w:rsidP="00BA5C20">
      <w:pPr>
        <w:pStyle w:val="ListParagraph"/>
        <w:numPr>
          <w:ilvl w:val="0"/>
          <w:numId w:val="1"/>
        </w:numPr>
        <w:rPr>
          <w:sz w:val="20"/>
        </w:rPr>
      </w:pPr>
      <w:r>
        <w:rPr>
          <w:sz w:val="20"/>
        </w:rPr>
        <w:t>Facteurs génétiques</w:t>
      </w:r>
      <w:r w:rsidR="00420B8E">
        <w:rPr>
          <w:sz w:val="20"/>
        </w:rPr>
        <w:t> :</w:t>
      </w:r>
    </w:p>
    <w:p w:rsidR="00420B8E" w:rsidRDefault="00420B8E" w:rsidP="00420B8E">
      <w:pPr>
        <w:pStyle w:val="ListParagraph"/>
        <w:numPr>
          <w:ilvl w:val="0"/>
          <w:numId w:val="6"/>
        </w:numPr>
        <w:rPr>
          <w:sz w:val="20"/>
        </w:rPr>
      </w:pPr>
      <w:r>
        <w:rPr>
          <w:sz w:val="20"/>
        </w:rPr>
        <w:t>Les hommes sont en moyenne 10-15cm plus grands que les femmes (à l’âge adulte)</w:t>
      </w:r>
      <w:r w:rsidR="00CF5BA2">
        <w:rPr>
          <w:sz w:val="20"/>
        </w:rPr>
        <w:t>, probablement parce qu’ils ont un pic pubertaire plus fort avec deux ans de plus pour grandir.</w:t>
      </w:r>
    </w:p>
    <w:p w:rsidR="001A1F9C" w:rsidRDefault="001A1F9C" w:rsidP="00420B8E">
      <w:pPr>
        <w:pStyle w:val="ListParagraph"/>
        <w:numPr>
          <w:ilvl w:val="0"/>
          <w:numId w:val="6"/>
        </w:numPr>
        <w:rPr>
          <w:sz w:val="20"/>
        </w:rPr>
      </w:pPr>
      <w:r>
        <w:rPr>
          <w:sz w:val="20"/>
        </w:rPr>
        <w:t xml:space="preserve">Influence de la taille des parents : </w:t>
      </w:r>
      <w:r w:rsidR="0059368B">
        <w:rPr>
          <w:sz w:val="20"/>
        </w:rPr>
        <w:t>on peut estimer la taille qu’aura un enfant (90% d’intervalle de confiance)</w:t>
      </w:r>
    </w:p>
    <w:p w:rsidR="001A1F9C" w:rsidRPr="0059368B" w:rsidRDefault="00000210" w:rsidP="0059368B">
      <w:pPr>
        <w:pStyle w:val="ListParagraph"/>
        <w:ind w:left="1440" w:firstLine="684"/>
        <w:rPr>
          <w:rFonts w:eastAsiaTheme="minorEastAsia"/>
          <w:sz w:val="18"/>
        </w:rPr>
      </w:pPr>
      <w:r w:rsidRPr="00000210">
        <w:rPr>
          <w:noProof/>
          <w:sz w:val="20"/>
          <w:lang w:eastAsia="fr-CH"/>
        </w:rPr>
        <w:pict>
          <v:shape id="_x0000_s1027" type="#_x0000_t202" style="position:absolute;left:0;text-align:left;margin-left:271.45pt;margin-top:.5pt;width:202.05pt;height:29.55pt;z-index:251659264">
            <v:textbox>
              <w:txbxContent>
                <w:p w:rsidR="00107809" w:rsidRPr="001A1F9C" w:rsidRDefault="00107809" w:rsidP="001A1F9C">
                  <w:pPr>
                    <w:jc w:val="center"/>
                    <w:rPr>
                      <w:sz w:val="20"/>
                    </w:rPr>
                  </w:pPr>
                  <w:r w:rsidRPr="001A1F9C">
                    <w:rPr>
                      <w:sz w:val="18"/>
                    </w:rPr>
                    <w:t>(6.5 explique la différence entre garçons et filles, 8.5 = fenêtre de variabilité)</w:t>
                  </w:r>
                </w:p>
              </w:txbxContent>
            </v:textbox>
          </v:shape>
        </w:pict>
      </w:r>
      <w:r w:rsidR="001A1F9C" w:rsidRPr="0059368B">
        <w:rPr>
          <w:rFonts w:eastAsiaTheme="minorEastAsia"/>
          <w:sz w:val="18"/>
        </w:rPr>
        <w:t>Garçon :</w:t>
      </w:r>
      <w:r w:rsidR="001A1F9C" w:rsidRPr="0059368B">
        <w:rPr>
          <w:rFonts w:eastAsiaTheme="minorEastAsia"/>
          <w:sz w:val="18"/>
        </w:rPr>
        <w:tab/>
        <w:t xml:space="preserve"> </w:t>
      </w:r>
      <m:oMath>
        <m:f>
          <m:fPr>
            <m:ctrlPr>
              <w:rPr>
                <w:rFonts w:ascii="Cambria Math" w:hAnsi="Cambria Math"/>
                <w:sz w:val="18"/>
              </w:rPr>
            </m:ctrlPr>
          </m:fPr>
          <m:num>
            <m:r>
              <m:rPr>
                <m:sty m:val="p"/>
              </m:rPr>
              <w:rPr>
                <w:rFonts w:ascii="Cambria Math" w:hAnsi="Cambria Math"/>
                <w:sz w:val="18"/>
              </w:rPr>
              <m:t>taille</m:t>
            </m:r>
            <m:r>
              <m:rPr>
                <m:sty m:val="p"/>
              </m:rPr>
              <w:rPr>
                <w:rFonts w:ascii="Cambria Math"/>
                <w:sz w:val="18"/>
              </w:rPr>
              <m:t xml:space="preserve"> </m:t>
            </m:r>
            <m:r>
              <m:rPr>
                <m:sty m:val="p"/>
              </m:rPr>
              <w:rPr>
                <w:rFonts w:ascii="Cambria Math" w:hAnsi="Cambria Math"/>
                <w:sz w:val="18"/>
              </w:rPr>
              <m:t>m</m:t>
            </m:r>
            <m:r>
              <m:rPr>
                <m:sty m:val="p"/>
              </m:rPr>
              <w:rPr>
                <w:rFonts w:ascii="Cambria Math"/>
                <w:sz w:val="18"/>
              </w:rPr>
              <m:t>è</m:t>
            </m:r>
            <m:r>
              <m:rPr>
                <m:sty m:val="p"/>
              </m:rPr>
              <w:rPr>
                <w:rFonts w:ascii="Cambria Math" w:hAnsi="Cambria Math"/>
                <w:sz w:val="18"/>
              </w:rPr>
              <m:t>re</m:t>
            </m:r>
            <m:r>
              <m:rPr>
                <m:sty m:val="p"/>
              </m:rPr>
              <w:rPr>
                <w:rFonts w:ascii="Cambria Math"/>
                <w:sz w:val="18"/>
              </w:rPr>
              <m:t>+</m:t>
            </m:r>
            <m:r>
              <m:rPr>
                <m:sty m:val="p"/>
              </m:rPr>
              <w:rPr>
                <w:rFonts w:ascii="Cambria Math" w:hAnsi="Cambria Math"/>
                <w:sz w:val="18"/>
              </w:rPr>
              <m:t>taille</m:t>
            </m:r>
            <m:r>
              <m:rPr>
                <m:sty m:val="p"/>
              </m:rPr>
              <w:rPr>
                <w:rFonts w:ascii="Cambria Math"/>
                <w:sz w:val="18"/>
              </w:rPr>
              <m:t xml:space="preserve"> </m:t>
            </m:r>
            <m:r>
              <m:rPr>
                <m:sty m:val="p"/>
              </m:rPr>
              <w:rPr>
                <w:rFonts w:ascii="Cambria Math" w:hAnsi="Cambria Math"/>
                <w:sz w:val="18"/>
              </w:rPr>
              <m:t>p</m:t>
            </m:r>
            <m:r>
              <m:rPr>
                <m:sty m:val="p"/>
              </m:rPr>
              <w:rPr>
                <w:rFonts w:ascii="Cambria Math"/>
                <w:sz w:val="18"/>
              </w:rPr>
              <m:t>è</m:t>
            </m:r>
            <m:r>
              <m:rPr>
                <m:sty m:val="p"/>
              </m:rPr>
              <w:rPr>
                <w:rFonts w:ascii="Cambria Math" w:hAnsi="Cambria Math"/>
                <w:sz w:val="18"/>
              </w:rPr>
              <m:t>re</m:t>
            </m:r>
          </m:num>
          <m:den>
            <m:r>
              <m:rPr>
                <m:sty m:val="p"/>
              </m:rPr>
              <w:rPr>
                <w:rFonts w:ascii="Cambria Math"/>
                <w:sz w:val="18"/>
              </w:rPr>
              <m:t>2</m:t>
            </m:r>
          </m:den>
        </m:f>
      </m:oMath>
      <w:r w:rsidR="001A1F9C" w:rsidRPr="0059368B">
        <w:rPr>
          <w:rFonts w:eastAsiaTheme="minorEastAsia"/>
          <w:sz w:val="18"/>
        </w:rPr>
        <w:t xml:space="preserve"> + 6.5 +/- 8.5</w:t>
      </w:r>
    </w:p>
    <w:p w:rsidR="001A1F9C" w:rsidRPr="001A1F9C" w:rsidRDefault="001A1F9C" w:rsidP="0059368B">
      <w:pPr>
        <w:pStyle w:val="ListParagraph"/>
        <w:ind w:left="1440" w:firstLine="684"/>
        <w:rPr>
          <w:sz w:val="18"/>
        </w:rPr>
      </w:pPr>
      <w:r>
        <w:rPr>
          <w:rFonts w:eastAsiaTheme="minorEastAsia"/>
          <w:sz w:val="18"/>
        </w:rPr>
        <w:t>Fille :</w:t>
      </w:r>
      <w:r>
        <w:rPr>
          <w:rFonts w:eastAsiaTheme="minorEastAsia"/>
          <w:sz w:val="18"/>
        </w:rPr>
        <w:tab/>
        <w:t xml:space="preserve"> </w:t>
      </w:r>
      <m:oMath>
        <m:f>
          <m:fPr>
            <m:ctrlPr>
              <w:rPr>
                <w:rFonts w:ascii="Cambria Math" w:hAnsi="Cambria Math"/>
                <w:sz w:val="18"/>
              </w:rPr>
            </m:ctrlPr>
          </m:fPr>
          <m:num>
            <m:r>
              <m:rPr>
                <m:sty m:val="p"/>
              </m:rPr>
              <w:rPr>
                <w:rFonts w:ascii="Cambria Math" w:hAnsi="Cambria Math"/>
                <w:sz w:val="18"/>
              </w:rPr>
              <m:t>taille</m:t>
            </m:r>
            <m:r>
              <m:rPr>
                <m:sty m:val="p"/>
              </m:rPr>
              <w:rPr>
                <w:rFonts w:ascii="Cambria Math"/>
                <w:sz w:val="18"/>
              </w:rPr>
              <m:t xml:space="preserve"> </m:t>
            </m:r>
            <m:r>
              <m:rPr>
                <m:sty m:val="p"/>
              </m:rPr>
              <w:rPr>
                <w:rFonts w:ascii="Cambria Math" w:hAnsi="Cambria Math"/>
                <w:sz w:val="18"/>
              </w:rPr>
              <m:t>m</m:t>
            </m:r>
            <m:r>
              <m:rPr>
                <m:sty m:val="p"/>
              </m:rPr>
              <w:rPr>
                <w:rFonts w:ascii="Cambria Math"/>
                <w:sz w:val="18"/>
              </w:rPr>
              <m:t>è</m:t>
            </m:r>
            <m:r>
              <m:rPr>
                <m:sty m:val="p"/>
              </m:rPr>
              <w:rPr>
                <w:rFonts w:ascii="Cambria Math" w:hAnsi="Cambria Math"/>
                <w:sz w:val="18"/>
              </w:rPr>
              <m:t>re</m:t>
            </m:r>
            <m:r>
              <m:rPr>
                <m:sty m:val="p"/>
              </m:rPr>
              <w:rPr>
                <w:rFonts w:ascii="Cambria Math"/>
                <w:sz w:val="18"/>
              </w:rPr>
              <m:t>+</m:t>
            </m:r>
            <m:r>
              <m:rPr>
                <m:sty m:val="p"/>
              </m:rPr>
              <w:rPr>
                <w:rFonts w:ascii="Cambria Math" w:hAnsi="Cambria Math"/>
                <w:sz w:val="18"/>
              </w:rPr>
              <m:t>taille</m:t>
            </m:r>
            <m:r>
              <m:rPr>
                <m:sty m:val="p"/>
              </m:rPr>
              <w:rPr>
                <w:rFonts w:ascii="Cambria Math"/>
                <w:sz w:val="18"/>
              </w:rPr>
              <m:t xml:space="preserve"> </m:t>
            </m:r>
            <m:r>
              <m:rPr>
                <m:sty m:val="p"/>
              </m:rPr>
              <w:rPr>
                <w:rFonts w:ascii="Cambria Math" w:hAnsi="Cambria Math"/>
                <w:sz w:val="18"/>
              </w:rPr>
              <m:t>p</m:t>
            </m:r>
            <m:r>
              <m:rPr>
                <m:sty m:val="p"/>
              </m:rPr>
              <w:rPr>
                <w:rFonts w:ascii="Cambria Math"/>
                <w:sz w:val="18"/>
              </w:rPr>
              <m:t>è</m:t>
            </m:r>
            <m:r>
              <m:rPr>
                <m:sty m:val="p"/>
              </m:rPr>
              <w:rPr>
                <w:rFonts w:ascii="Cambria Math" w:hAnsi="Cambria Math"/>
                <w:sz w:val="18"/>
              </w:rPr>
              <m:t>re</m:t>
            </m:r>
          </m:num>
          <m:den>
            <m:r>
              <m:rPr>
                <m:sty m:val="p"/>
              </m:rPr>
              <w:rPr>
                <w:rFonts w:ascii="Cambria Math"/>
                <w:sz w:val="18"/>
              </w:rPr>
              <m:t>2</m:t>
            </m:r>
          </m:den>
        </m:f>
      </m:oMath>
      <w:r>
        <w:rPr>
          <w:rFonts w:eastAsiaTheme="minorEastAsia"/>
          <w:sz w:val="18"/>
        </w:rPr>
        <w:t xml:space="preserve"> - 6.5 +/- 8.5</w:t>
      </w:r>
    </w:p>
    <w:p w:rsidR="001A1F9C" w:rsidRDefault="001A1F9C" w:rsidP="00420B8E">
      <w:pPr>
        <w:pStyle w:val="ListParagraph"/>
        <w:numPr>
          <w:ilvl w:val="0"/>
          <w:numId w:val="6"/>
        </w:numPr>
        <w:rPr>
          <w:sz w:val="20"/>
        </w:rPr>
      </w:pPr>
      <w:r>
        <w:rPr>
          <w:sz w:val="20"/>
        </w:rPr>
        <w:t>Origine ethnique : en EU, personnes du nord ont tendance à être plus grand</w:t>
      </w:r>
      <w:r w:rsidR="00212EEB">
        <w:rPr>
          <w:sz w:val="20"/>
        </w:rPr>
        <w:t>e</w:t>
      </w:r>
      <w:r>
        <w:rPr>
          <w:sz w:val="20"/>
        </w:rPr>
        <w:t>s que dans pays méditerranéens. Variable en Afrique/Asie, Amérique du sud. Retenir que ça peut contribuer.</w:t>
      </w:r>
    </w:p>
    <w:p w:rsidR="00CF5BA2" w:rsidRDefault="00CF5BA2" w:rsidP="00420B8E">
      <w:pPr>
        <w:pStyle w:val="ListParagraph"/>
        <w:numPr>
          <w:ilvl w:val="0"/>
          <w:numId w:val="6"/>
        </w:numPr>
        <w:rPr>
          <w:sz w:val="20"/>
        </w:rPr>
      </w:pPr>
      <w:r>
        <w:rPr>
          <w:sz w:val="20"/>
        </w:rPr>
        <w:t>Aneuploïdies :</w:t>
      </w:r>
    </w:p>
    <w:p w:rsidR="00CF5BA2" w:rsidRDefault="00CF5BA2" w:rsidP="00CF5BA2">
      <w:pPr>
        <w:pStyle w:val="ListParagraph"/>
        <w:numPr>
          <w:ilvl w:val="0"/>
          <w:numId w:val="7"/>
        </w:numPr>
        <w:rPr>
          <w:sz w:val="20"/>
        </w:rPr>
      </w:pPr>
      <w:r>
        <w:rPr>
          <w:sz w:val="20"/>
        </w:rPr>
        <w:t xml:space="preserve">Syndrome de Turner (45 - XO) : femmes </w:t>
      </w:r>
      <w:r w:rsidRPr="00CF5BA2">
        <w:rPr>
          <w:sz w:val="20"/>
        </w:rPr>
        <w:t>infertiles</w:t>
      </w:r>
      <w:r>
        <w:rPr>
          <w:sz w:val="20"/>
        </w:rPr>
        <w:t xml:space="preserve"> (puberté +/- absente)</w:t>
      </w:r>
      <w:r w:rsidRPr="00CF5BA2">
        <w:rPr>
          <w:sz w:val="20"/>
        </w:rPr>
        <w:t xml:space="preserve"> et petites à cause du manque de GF</w:t>
      </w:r>
    </w:p>
    <w:p w:rsidR="0059368B" w:rsidRPr="00E12A0C" w:rsidRDefault="00CF5BA2" w:rsidP="0059368B">
      <w:pPr>
        <w:pStyle w:val="ListParagraph"/>
        <w:numPr>
          <w:ilvl w:val="0"/>
          <w:numId w:val="7"/>
        </w:numPr>
        <w:rPr>
          <w:sz w:val="20"/>
        </w:rPr>
      </w:pPr>
      <w:r w:rsidRPr="00CF5BA2">
        <w:rPr>
          <w:sz w:val="20"/>
        </w:rPr>
        <w:t>Syndrome de Klinefelter (47- XXY) </w:t>
      </w:r>
      <w:r w:rsidRPr="00CF5BA2">
        <w:rPr>
          <w:sz w:val="20"/>
          <w:szCs w:val="20"/>
        </w:rPr>
        <w:t>: hommes infertiles (puberté +/- absente) mais grands avec excès GF</w:t>
      </w:r>
    </w:p>
    <w:p w:rsidR="00E12A0C" w:rsidRPr="00E12A0C" w:rsidRDefault="00E12A0C" w:rsidP="00E12A0C">
      <w:pPr>
        <w:pStyle w:val="ListParagraph"/>
        <w:numPr>
          <w:ilvl w:val="0"/>
          <w:numId w:val="1"/>
        </w:numPr>
        <w:rPr>
          <w:sz w:val="20"/>
        </w:rPr>
      </w:pPr>
      <w:r>
        <w:rPr>
          <w:sz w:val="20"/>
        </w:rPr>
        <w:t>Variations individuelles :</w:t>
      </w:r>
      <w:r w:rsidR="00030719">
        <w:rPr>
          <w:sz w:val="20"/>
        </w:rPr>
        <w:t xml:space="preserve"> le « retard constitutionnel » de croissance ou de la survenue de puberté est une variante très fréquente, non pathologique</w:t>
      </w:r>
      <w:r w:rsidR="001E1737">
        <w:rPr>
          <w:sz w:val="20"/>
        </w:rPr>
        <w:t xml:space="preserve"> et probablement d’origine génétique</w:t>
      </w:r>
      <w:r w:rsidR="00030719">
        <w:rPr>
          <w:sz w:val="20"/>
        </w:rPr>
        <w:t>.</w:t>
      </w:r>
      <w:r w:rsidR="001E1737">
        <w:rPr>
          <w:sz w:val="20"/>
        </w:rPr>
        <w:t xml:space="preserve"> Il est constitué par une absence d’autres signes cliniques, un retard d’âge osseux et une anamnèse familiale positive pour la même chose. Ces enfants atteindront une taille normale.</w:t>
      </w:r>
    </w:p>
    <w:p w:rsidR="0059368B" w:rsidRDefault="0059368B" w:rsidP="00DA6990">
      <w:pPr>
        <w:spacing w:after="0"/>
        <w:rPr>
          <w:sz w:val="20"/>
        </w:rPr>
      </w:pPr>
      <w:r w:rsidRPr="00DA6990">
        <w:rPr>
          <w:b/>
          <w:sz w:val="20"/>
        </w:rPr>
        <w:t>À saisir : il y a encore beaucoup d’inconnus</w:t>
      </w:r>
      <w:r w:rsidR="00DA6990">
        <w:rPr>
          <w:b/>
          <w:sz w:val="20"/>
        </w:rPr>
        <w:t> </w:t>
      </w:r>
      <w:r w:rsidR="00DA6990">
        <w:rPr>
          <w:sz w:val="20"/>
        </w:rPr>
        <w:t>!</w:t>
      </w:r>
    </w:p>
    <w:p w:rsidR="0059368B" w:rsidRDefault="0059368B" w:rsidP="00DA6990">
      <w:pPr>
        <w:pStyle w:val="ListParagraph"/>
        <w:numPr>
          <w:ilvl w:val="0"/>
          <w:numId w:val="1"/>
        </w:numPr>
        <w:spacing w:after="0"/>
        <w:rPr>
          <w:sz w:val="20"/>
        </w:rPr>
      </w:pPr>
      <w:r>
        <w:rPr>
          <w:sz w:val="20"/>
        </w:rPr>
        <w:t>Quels sont les gènes qui déterminent l’information de la taille cible ?</w:t>
      </w:r>
      <w:r w:rsidR="00DA6990">
        <w:rPr>
          <w:sz w:val="20"/>
        </w:rPr>
        <w:t xml:space="preserve"> Est-ce qu’ils influencent le nombre ou la taille des cellules ?</w:t>
      </w:r>
    </w:p>
    <w:p w:rsidR="00DA6990" w:rsidRDefault="00DA6990" w:rsidP="0059368B">
      <w:pPr>
        <w:pStyle w:val="ListParagraph"/>
        <w:numPr>
          <w:ilvl w:val="0"/>
          <w:numId w:val="1"/>
        </w:numPr>
        <w:rPr>
          <w:sz w:val="20"/>
        </w:rPr>
      </w:pPr>
      <w:r>
        <w:rPr>
          <w:sz w:val="20"/>
        </w:rPr>
        <w:t>Quels sont les mécanismes du retard de la croissance intra-utérine ?</w:t>
      </w:r>
    </w:p>
    <w:p w:rsidR="00DA6990" w:rsidRDefault="00DA6990" w:rsidP="00DA6990">
      <w:pPr>
        <w:pStyle w:val="ListParagraph"/>
        <w:numPr>
          <w:ilvl w:val="0"/>
          <w:numId w:val="8"/>
        </w:numPr>
        <w:rPr>
          <w:sz w:val="20"/>
        </w:rPr>
      </w:pPr>
      <w:r>
        <w:rPr>
          <w:sz w:val="20"/>
        </w:rPr>
        <w:t>Maman fumeuse/HTA ou autre</w:t>
      </w:r>
    </w:p>
    <w:p w:rsidR="00DA6990" w:rsidRDefault="00DA6990" w:rsidP="00DA6990">
      <w:pPr>
        <w:pStyle w:val="ListParagraph"/>
        <w:numPr>
          <w:ilvl w:val="0"/>
          <w:numId w:val="8"/>
        </w:numPr>
        <w:rPr>
          <w:sz w:val="20"/>
        </w:rPr>
      </w:pPr>
      <w:r>
        <w:rPr>
          <w:sz w:val="20"/>
        </w:rPr>
        <w:t>Grossesse multiple</w:t>
      </w:r>
    </w:p>
    <w:p w:rsidR="00DA6990" w:rsidRPr="00DA6990" w:rsidRDefault="00DA6990" w:rsidP="00DA6990">
      <w:pPr>
        <w:pStyle w:val="ListParagraph"/>
        <w:numPr>
          <w:ilvl w:val="0"/>
          <w:numId w:val="8"/>
        </w:numPr>
        <w:rPr>
          <w:sz w:val="20"/>
        </w:rPr>
      </w:pPr>
      <w:r>
        <w:rPr>
          <w:sz w:val="20"/>
        </w:rPr>
        <w:t xml:space="preserve">Idiopathique </w:t>
      </w:r>
      <w:r w:rsidR="00E12A0C">
        <w:rPr>
          <w:sz w:val="20"/>
        </w:rPr>
        <w:t>(souvent)</w:t>
      </w:r>
    </w:p>
    <w:p w:rsidR="00E12A0C" w:rsidRPr="0059368B" w:rsidRDefault="00E12A0C" w:rsidP="0059368B">
      <w:pPr>
        <w:pStyle w:val="ListParagraph"/>
        <w:numPr>
          <w:ilvl w:val="0"/>
          <w:numId w:val="1"/>
        </w:numPr>
        <w:rPr>
          <w:sz w:val="20"/>
        </w:rPr>
      </w:pPr>
      <w:r>
        <w:rPr>
          <w:sz w:val="20"/>
        </w:rPr>
        <w:t>Y a-t-il des possibilités d’influencer ces mécanismes et d’améliorer le pronostic/traitement ?</w:t>
      </w:r>
    </w:p>
    <w:p w:rsidR="00380F13" w:rsidRDefault="00E12A0C">
      <w:pPr>
        <w:rPr>
          <w:sz w:val="20"/>
        </w:rPr>
      </w:pPr>
      <w:r>
        <w:rPr>
          <w:b/>
          <w:sz w:val="20"/>
          <w:u w:val="single"/>
        </w:rPr>
        <w:br w:type="page"/>
      </w:r>
      <w:r w:rsidR="00380F13" w:rsidRPr="00380F13">
        <w:rPr>
          <w:b/>
          <w:sz w:val="20"/>
          <w:u w:val="single"/>
        </w:rPr>
        <w:lastRenderedPageBreak/>
        <w:t>Ralentissement de croissance et croissance rattrapage</w:t>
      </w:r>
      <w:r w:rsidR="00380F13">
        <w:rPr>
          <w:sz w:val="20"/>
        </w:rPr>
        <w:t> :</w:t>
      </w:r>
      <w:r w:rsidR="00BA5C20">
        <w:rPr>
          <w:sz w:val="20"/>
        </w:rPr>
        <w:t xml:space="preserve"> prenons l’exemple d’un enfant chez qui on dépiste un ralentissement de croissance à l’âge de 12 mois. À 2 ans il est &lt;P3. Il présente un gros ventre et des selles abondantes. Des examens </w:t>
      </w:r>
      <w:proofErr w:type="spellStart"/>
      <w:r w:rsidR="00BA5C20">
        <w:rPr>
          <w:sz w:val="20"/>
        </w:rPr>
        <w:t>paracliniques</w:t>
      </w:r>
      <w:proofErr w:type="spellEnd"/>
      <w:r w:rsidR="00BA5C20">
        <w:rPr>
          <w:sz w:val="20"/>
        </w:rPr>
        <w:t xml:space="preserve"> mettent en évidence une maladie cœliaque. On prescrit à cet enfant un régime sans gluten. </w:t>
      </w:r>
      <w:r w:rsidR="00212EEB">
        <w:rPr>
          <w:sz w:val="20"/>
        </w:rPr>
        <w:t>S</w:t>
      </w:r>
      <w:r w:rsidR="00BA5C20">
        <w:rPr>
          <w:sz w:val="20"/>
        </w:rPr>
        <w:t xml:space="preserve">a courbe de croissance va très rapidement se corriger et se normaliser. L’organisme peut atteindre des vitesses de croissance incroyables. Au fur et à mesure que l’enfant rattrape les autres enfants de son âge, il les rattrape aussi en âge osseux ! Nous ne savons pas très bien quels mécanismes sont responsables pour le retard de croissance et pour le rattrapage. Quelles structures portent l’information sur la taille cible ? Où est le </w:t>
      </w:r>
      <w:proofErr w:type="spellStart"/>
      <w:r w:rsidR="00BA5C20">
        <w:rPr>
          <w:sz w:val="20"/>
        </w:rPr>
        <w:t>staturosat</w:t>
      </w:r>
      <w:proofErr w:type="spellEnd"/>
      <w:r w:rsidR="00BA5C20">
        <w:rPr>
          <w:sz w:val="20"/>
        </w:rPr>
        <w:t> ? Peut-être dans les gènes, peut-être dans le cerveau…</w:t>
      </w:r>
    </w:p>
    <w:p w:rsidR="001F294F" w:rsidRDefault="00380F13" w:rsidP="0089247F">
      <w:pPr>
        <w:spacing w:after="0"/>
        <w:rPr>
          <w:sz w:val="20"/>
        </w:rPr>
      </w:pPr>
      <w:r w:rsidRPr="001F294F">
        <w:rPr>
          <w:b/>
          <w:sz w:val="20"/>
          <w:u w:val="single"/>
        </w:rPr>
        <w:t>Troubles de croissance secondaires à des maladies chroniques</w:t>
      </w:r>
      <w:r w:rsidRPr="001F294F">
        <w:rPr>
          <w:sz w:val="20"/>
        </w:rPr>
        <w:t> :</w:t>
      </w:r>
      <w:r w:rsidR="001F294F">
        <w:rPr>
          <w:sz w:val="20"/>
        </w:rPr>
        <w:t xml:space="preserve"> le retard staturo-pondéral au cours de maladies chroniques est fréquent et bien connu. Les mécanismes cependant sont mal compris (peut-être par génération d’IGF ?). Le potentiel de rattrapage diminue avec l’âge, raison pour laquelle il est impératif de les dépister et soigner au plus vite. Exemples :</w:t>
      </w:r>
    </w:p>
    <w:p w:rsidR="001F294F" w:rsidRDefault="001F294F" w:rsidP="0089247F">
      <w:pPr>
        <w:pStyle w:val="ListParagraph"/>
        <w:numPr>
          <w:ilvl w:val="0"/>
          <w:numId w:val="1"/>
        </w:numPr>
        <w:spacing w:after="0"/>
        <w:rPr>
          <w:sz w:val="20"/>
        </w:rPr>
      </w:pPr>
      <w:r>
        <w:rPr>
          <w:sz w:val="20"/>
        </w:rPr>
        <w:t xml:space="preserve">Maladie de </w:t>
      </w:r>
      <w:proofErr w:type="spellStart"/>
      <w:r>
        <w:rPr>
          <w:sz w:val="20"/>
        </w:rPr>
        <w:t>Crohn</w:t>
      </w:r>
      <w:proofErr w:type="spellEnd"/>
      <w:r>
        <w:rPr>
          <w:sz w:val="20"/>
        </w:rPr>
        <w:t>/sprue</w:t>
      </w:r>
    </w:p>
    <w:p w:rsidR="001F294F" w:rsidRDefault="001F294F" w:rsidP="001F294F">
      <w:pPr>
        <w:pStyle w:val="ListParagraph"/>
        <w:numPr>
          <w:ilvl w:val="0"/>
          <w:numId w:val="1"/>
        </w:numPr>
        <w:rPr>
          <w:sz w:val="20"/>
        </w:rPr>
      </w:pPr>
      <w:r>
        <w:rPr>
          <w:sz w:val="20"/>
        </w:rPr>
        <w:t>Maladies cardiaques, rénales, auto-immunes/inflammatoires : croissance prénatale et petite enfance normales. Les problèmes surgissent vers l’âge scolaire. La puberté arrive tardivement mais est autrement peu touchée.</w:t>
      </w:r>
    </w:p>
    <w:p w:rsidR="001F294F" w:rsidRDefault="001F294F" w:rsidP="001F294F">
      <w:pPr>
        <w:pStyle w:val="ListParagraph"/>
        <w:numPr>
          <w:ilvl w:val="0"/>
          <w:numId w:val="1"/>
        </w:numPr>
        <w:rPr>
          <w:sz w:val="20"/>
        </w:rPr>
      </w:pPr>
      <w:r w:rsidRPr="001F294F">
        <w:rPr>
          <w:sz w:val="20"/>
          <w:highlight w:val="yellow"/>
        </w:rPr>
        <w:t xml:space="preserve">Syndrome </w:t>
      </w:r>
      <w:r w:rsidR="00DA079D">
        <w:rPr>
          <w:sz w:val="20"/>
          <w:highlight w:val="yellow"/>
        </w:rPr>
        <w:t xml:space="preserve">ou nanisme </w:t>
      </w:r>
      <w:r w:rsidRPr="001F294F">
        <w:rPr>
          <w:sz w:val="20"/>
          <w:highlight w:val="yellow"/>
        </w:rPr>
        <w:t>3-M</w:t>
      </w:r>
      <w:r>
        <w:rPr>
          <w:sz w:val="20"/>
        </w:rPr>
        <w:t> :</w:t>
      </w:r>
      <w:r w:rsidR="00DA079D">
        <w:rPr>
          <w:sz w:val="20"/>
        </w:rPr>
        <w:t xml:space="preserve"> maladie génétique très rare, à transmission autosomique récessive. On parle parfois aussi de nanisme primordial. Les bébés présentent petite taille prénatale (nanisme primordial),</w:t>
      </w:r>
      <w:r w:rsidR="00DA079D" w:rsidRPr="00DA079D">
        <w:rPr>
          <w:sz w:val="20"/>
        </w:rPr>
        <w:t xml:space="preserve"> dysmorphie faciale caractéristique et des anomalies radiologiques particulières</w:t>
      </w:r>
      <w:r w:rsidR="00DA079D">
        <w:rPr>
          <w:sz w:val="20"/>
        </w:rPr>
        <w:t>, mais sont autrement en bonne santé</w:t>
      </w:r>
      <w:r w:rsidR="00DA079D" w:rsidRPr="00DA079D">
        <w:rPr>
          <w:sz w:val="20"/>
        </w:rPr>
        <w:t>.</w:t>
      </w:r>
      <w:r w:rsidR="00DA079D">
        <w:rPr>
          <w:sz w:val="20"/>
        </w:rPr>
        <w:t xml:space="preserve"> La puberté est normale, quoiqu’il puisse y avoir des problèmes d’infertilité. </w:t>
      </w:r>
      <w:r w:rsidR="0040008D">
        <w:rPr>
          <w:sz w:val="20"/>
        </w:rPr>
        <w:t>Ce syndrome résulte de la mutation de deux gènes</w:t>
      </w:r>
      <w:r w:rsidR="00DA079D">
        <w:rPr>
          <w:sz w:val="20"/>
        </w:rPr>
        <w:t xml:space="preserve"> : </w:t>
      </w:r>
      <w:r w:rsidR="00DA079D" w:rsidRPr="00DA079D">
        <w:rPr>
          <w:sz w:val="20"/>
          <w:highlight w:val="yellow"/>
        </w:rPr>
        <w:t>Cullin7</w:t>
      </w:r>
      <w:r w:rsidR="00DA079D">
        <w:rPr>
          <w:sz w:val="20"/>
        </w:rPr>
        <w:t xml:space="preserve"> et </w:t>
      </w:r>
      <w:r w:rsidR="00DA079D" w:rsidRPr="00DA079D">
        <w:rPr>
          <w:sz w:val="20"/>
          <w:highlight w:val="yellow"/>
        </w:rPr>
        <w:t>OBSL1</w:t>
      </w:r>
      <w:r w:rsidR="00DA079D">
        <w:rPr>
          <w:sz w:val="20"/>
        </w:rPr>
        <w:t xml:space="preserve">. Ceux-ci </w:t>
      </w:r>
      <w:r w:rsidR="0040008D">
        <w:rPr>
          <w:sz w:val="20"/>
        </w:rPr>
        <w:t>sont impliqués</w:t>
      </w:r>
      <w:r w:rsidR="00DA079D">
        <w:rPr>
          <w:sz w:val="20"/>
        </w:rPr>
        <w:t xml:space="preserve"> dans la croissance et l’</w:t>
      </w:r>
      <w:proofErr w:type="spellStart"/>
      <w:r w:rsidR="00DA079D">
        <w:rPr>
          <w:sz w:val="20"/>
        </w:rPr>
        <w:t>ubiquitination</w:t>
      </w:r>
      <w:proofErr w:type="spellEnd"/>
      <w:r w:rsidR="00DA079D">
        <w:rPr>
          <w:sz w:val="20"/>
        </w:rPr>
        <w:t>.</w:t>
      </w:r>
    </w:p>
    <w:p w:rsidR="00DA079D" w:rsidRDefault="0089247F" w:rsidP="001F294F">
      <w:pPr>
        <w:pStyle w:val="ListParagraph"/>
        <w:numPr>
          <w:ilvl w:val="0"/>
          <w:numId w:val="1"/>
        </w:numPr>
        <w:rPr>
          <w:sz w:val="20"/>
        </w:rPr>
      </w:pPr>
      <w:r>
        <w:rPr>
          <w:sz w:val="20"/>
        </w:rPr>
        <w:t xml:space="preserve">Maladies métaboliques récessives : on en dénombre des centaines, avec divers défauts enzymatiques dans les voies de dégradation de certains acides aminés. Exemple : </w:t>
      </w:r>
      <w:r w:rsidRPr="00FC0FAF">
        <w:rPr>
          <w:sz w:val="20"/>
          <w:highlight w:val="yellow"/>
        </w:rPr>
        <w:t xml:space="preserve">acidose </w:t>
      </w:r>
      <w:proofErr w:type="spellStart"/>
      <w:r w:rsidRPr="00FC0FAF">
        <w:rPr>
          <w:sz w:val="20"/>
          <w:highlight w:val="yellow"/>
        </w:rPr>
        <w:t>méthylmalonique</w:t>
      </w:r>
      <w:proofErr w:type="spellEnd"/>
      <w:r>
        <w:rPr>
          <w:sz w:val="20"/>
        </w:rPr>
        <w:t xml:space="preserve"> due à un défaut de </w:t>
      </w:r>
      <w:proofErr w:type="spellStart"/>
      <w:r w:rsidRPr="0089247F">
        <w:rPr>
          <w:sz w:val="20"/>
        </w:rPr>
        <w:t>méthylmalonyl</w:t>
      </w:r>
      <w:proofErr w:type="spellEnd"/>
      <w:r w:rsidRPr="0089247F">
        <w:rPr>
          <w:sz w:val="20"/>
        </w:rPr>
        <w:t xml:space="preserve"> </w:t>
      </w:r>
      <w:proofErr w:type="spellStart"/>
      <w:r w:rsidRPr="0089247F">
        <w:rPr>
          <w:sz w:val="20"/>
        </w:rPr>
        <w:t>CoA</w:t>
      </w:r>
      <w:proofErr w:type="spellEnd"/>
      <w:r w:rsidRPr="0089247F">
        <w:rPr>
          <w:sz w:val="20"/>
        </w:rPr>
        <w:t xml:space="preserve"> </w:t>
      </w:r>
      <w:proofErr w:type="spellStart"/>
      <w:r w:rsidRPr="0089247F">
        <w:rPr>
          <w:sz w:val="20"/>
        </w:rPr>
        <w:t>mutase</w:t>
      </w:r>
      <w:proofErr w:type="spellEnd"/>
      <w:r w:rsidRPr="0089247F">
        <w:rPr>
          <w:sz w:val="20"/>
        </w:rPr>
        <w:t xml:space="preserve">. Peut se rencontrer dans la période néonatale précoce avec une acidose progressive et </w:t>
      </w:r>
      <w:proofErr w:type="spellStart"/>
      <w:r w:rsidRPr="0089247F">
        <w:rPr>
          <w:sz w:val="20"/>
        </w:rPr>
        <w:t>hyperammoniémie</w:t>
      </w:r>
      <w:proofErr w:type="spellEnd"/>
      <w:r w:rsidRPr="0089247F">
        <w:rPr>
          <w:sz w:val="20"/>
        </w:rPr>
        <w:t xml:space="preserve"> pouvant entrainer le décès ou des séquelles neurologiques. La dialyse en urgence est nécessaire. L'enfant peut vivre et se développer normalement grâce à un régime </w:t>
      </w:r>
      <w:proofErr w:type="spellStart"/>
      <w:r w:rsidRPr="0089247F">
        <w:rPr>
          <w:sz w:val="20"/>
        </w:rPr>
        <w:t>hypoprotidique</w:t>
      </w:r>
      <w:proofErr w:type="spellEnd"/>
      <w:r w:rsidRPr="0089247F">
        <w:rPr>
          <w:sz w:val="20"/>
        </w:rPr>
        <w:t xml:space="preserve"> et hypercalorique (riche en </w:t>
      </w:r>
      <w:proofErr w:type="spellStart"/>
      <w:r w:rsidRPr="0089247F">
        <w:rPr>
          <w:sz w:val="20"/>
        </w:rPr>
        <w:t>carbohydrates</w:t>
      </w:r>
      <w:proofErr w:type="spellEnd"/>
      <w:r w:rsidRPr="0089247F">
        <w:rPr>
          <w:sz w:val="20"/>
        </w:rPr>
        <w:t>).</w:t>
      </w:r>
    </w:p>
    <w:p w:rsidR="00DA079D" w:rsidRDefault="00DA079D" w:rsidP="001F294F">
      <w:pPr>
        <w:pStyle w:val="ListParagraph"/>
        <w:numPr>
          <w:ilvl w:val="0"/>
          <w:numId w:val="1"/>
        </w:numPr>
        <w:rPr>
          <w:sz w:val="20"/>
        </w:rPr>
      </w:pPr>
      <w:proofErr w:type="spellStart"/>
      <w:r w:rsidRPr="00FC0FAF">
        <w:rPr>
          <w:sz w:val="20"/>
          <w:highlight w:val="yellow"/>
        </w:rPr>
        <w:t>Cystinose</w:t>
      </w:r>
      <w:proofErr w:type="spellEnd"/>
      <w:r>
        <w:rPr>
          <w:sz w:val="20"/>
        </w:rPr>
        <w:t> :</w:t>
      </w:r>
      <w:r w:rsidR="001F4EEE">
        <w:rPr>
          <w:sz w:val="20"/>
        </w:rPr>
        <w:t xml:space="preserve"> </w:t>
      </w:r>
      <w:r w:rsidR="005D1066">
        <w:rPr>
          <w:sz w:val="20"/>
        </w:rPr>
        <w:t xml:space="preserve">maladie </w:t>
      </w:r>
      <w:proofErr w:type="spellStart"/>
      <w:r w:rsidR="005D1066">
        <w:rPr>
          <w:sz w:val="20"/>
        </w:rPr>
        <w:t>autosomale</w:t>
      </w:r>
      <w:proofErr w:type="spellEnd"/>
      <w:r w:rsidR="005D1066">
        <w:rPr>
          <w:sz w:val="20"/>
        </w:rPr>
        <w:t xml:space="preserve"> récessive avec défaut de sécrétion de </w:t>
      </w:r>
      <w:r w:rsidR="00DA5873">
        <w:rPr>
          <w:sz w:val="20"/>
        </w:rPr>
        <w:t>cystine par les lysosomes.</w:t>
      </w:r>
      <w:r w:rsidR="00DA5873" w:rsidRPr="00DA5873">
        <w:rPr>
          <w:sz w:val="20"/>
        </w:rPr>
        <w:t xml:space="preserve"> L'accumulation de la cystine </w:t>
      </w:r>
      <w:r w:rsidR="00DA5873">
        <w:rPr>
          <w:sz w:val="20"/>
        </w:rPr>
        <w:t xml:space="preserve">dans le cytoplasme </w:t>
      </w:r>
      <w:r w:rsidR="00DA5873" w:rsidRPr="00DA5873">
        <w:rPr>
          <w:sz w:val="20"/>
        </w:rPr>
        <w:t xml:space="preserve">induit la formation de cristaux qui vont léser les cellules. Touche à la fois les tubules </w:t>
      </w:r>
      <w:r w:rsidR="00DA5873">
        <w:rPr>
          <w:sz w:val="20"/>
        </w:rPr>
        <w:t xml:space="preserve">proximaux </w:t>
      </w:r>
      <w:r w:rsidR="00DA5873" w:rsidRPr="00DA5873">
        <w:rPr>
          <w:sz w:val="20"/>
        </w:rPr>
        <w:t>et les glomérules</w:t>
      </w:r>
      <w:r w:rsidR="00DA5873">
        <w:rPr>
          <w:sz w:val="20"/>
        </w:rPr>
        <w:t xml:space="preserve"> ; un screening urinaire révélera une </w:t>
      </w:r>
      <w:proofErr w:type="spellStart"/>
      <w:r w:rsidR="00DA5873">
        <w:rPr>
          <w:sz w:val="20"/>
        </w:rPr>
        <w:t>aminoacidurie</w:t>
      </w:r>
      <w:proofErr w:type="spellEnd"/>
      <w:r w:rsidR="00DA5873">
        <w:rPr>
          <w:sz w:val="20"/>
        </w:rPr>
        <w:t xml:space="preserve"> et glycosurie importantes. La </w:t>
      </w:r>
      <w:proofErr w:type="spellStart"/>
      <w:r w:rsidR="00DA5873">
        <w:rPr>
          <w:sz w:val="20"/>
        </w:rPr>
        <w:t>cystinose</w:t>
      </w:r>
      <w:proofErr w:type="spellEnd"/>
      <w:r w:rsidR="00DA5873">
        <w:rPr>
          <w:sz w:val="20"/>
        </w:rPr>
        <w:t xml:space="preserve"> est la cause la plus fréquente du syndrome de </w:t>
      </w:r>
      <w:proofErr w:type="spellStart"/>
      <w:r w:rsidR="00DA5873">
        <w:rPr>
          <w:sz w:val="20"/>
        </w:rPr>
        <w:t>Fanconi</w:t>
      </w:r>
      <w:proofErr w:type="spellEnd"/>
      <w:r w:rsidR="00DA5873">
        <w:rPr>
          <w:sz w:val="20"/>
        </w:rPr>
        <w:t xml:space="preserve"> en pédiatrie.</w:t>
      </w:r>
    </w:p>
    <w:p w:rsidR="001F4EEE" w:rsidRPr="001F294F" w:rsidRDefault="001F4EEE" w:rsidP="001F4EEE">
      <w:pPr>
        <w:pStyle w:val="ListParagraph"/>
        <w:numPr>
          <w:ilvl w:val="0"/>
          <w:numId w:val="1"/>
        </w:numPr>
        <w:rPr>
          <w:sz w:val="20"/>
        </w:rPr>
      </w:pPr>
      <w:r>
        <w:rPr>
          <w:sz w:val="20"/>
        </w:rPr>
        <w:t>Achondroplasie :</w:t>
      </w:r>
      <w:r w:rsidRPr="001F4EEE">
        <w:rPr>
          <w:sz w:val="20"/>
        </w:rPr>
        <w:t xml:space="preserve"> </w:t>
      </w:r>
      <w:r w:rsidR="00491C69" w:rsidRPr="00107809">
        <w:rPr>
          <w:sz w:val="20"/>
        </w:rPr>
        <w:t>forme la plus commune de nanisme. Elle est caractérisée par une atteinte rhizoïde (i.e. de la racine) des membres</w:t>
      </w:r>
      <w:r w:rsidR="00107809">
        <w:rPr>
          <w:sz w:val="20"/>
        </w:rPr>
        <w:t xml:space="preserve">. En gros, </w:t>
      </w:r>
      <w:r w:rsidR="00491C69" w:rsidRPr="00107809">
        <w:rPr>
          <w:sz w:val="20"/>
        </w:rPr>
        <w:t>l’humérus et fémur sont plus courts relativement que l'extrémité du membre (avant bras, jambe). La croissance des os de la face est également perturbée.</w:t>
      </w:r>
      <w:r w:rsidR="00491C69" w:rsidRPr="00107809">
        <w:rPr>
          <w:sz w:val="18"/>
        </w:rPr>
        <w:t xml:space="preserve"> </w:t>
      </w:r>
      <w:r w:rsidR="00107809">
        <w:rPr>
          <w:sz w:val="20"/>
        </w:rPr>
        <w:t>Cette dysplasie osseuse résulte d’une mutation</w:t>
      </w:r>
      <w:r>
        <w:rPr>
          <w:sz w:val="20"/>
        </w:rPr>
        <w:t xml:space="preserve"> à </w:t>
      </w:r>
      <w:r w:rsidR="00107809">
        <w:rPr>
          <w:sz w:val="20"/>
        </w:rPr>
        <w:t xml:space="preserve">hétérozygote du gène </w:t>
      </w:r>
      <w:r>
        <w:rPr>
          <w:sz w:val="20"/>
        </w:rPr>
        <w:t>FGFR3</w:t>
      </w:r>
      <w:r w:rsidR="00107809">
        <w:rPr>
          <w:sz w:val="20"/>
        </w:rPr>
        <w:t xml:space="preserve"> (</w:t>
      </w:r>
      <w:proofErr w:type="spellStart"/>
      <w:r w:rsidR="00107809">
        <w:rPr>
          <w:sz w:val="20"/>
        </w:rPr>
        <w:t>fibroblast</w:t>
      </w:r>
      <w:proofErr w:type="spellEnd"/>
      <w:r w:rsidR="00107809">
        <w:rPr>
          <w:sz w:val="20"/>
        </w:rPr>
        <w:t xml:space="preserve"> </w:t>
      </w:r>
      <w:proofErr w:type="spellStart"/>
      <w:r w:rsidR="00107809">
        <w:rPr>
          <w:sz w:val="20"/>
        </w:rPr>
        <w:t>growth</w:t>
      </w:r>
      <w:proofErr w:type="spellEnd"/>
      <w:r w:rsidR="00107809">
        <w:rPr>
          <w:sz w:val="20"/>
        </w:rPr>
        <w:t xml:space="preserve"> factor </w:t>
      </w:r>
      <w:proofErr w:type="spellStart"/>
      <w:r w:rsidR="00107809">
        <w:rPr>
          <w:sz w:val="20"/>
        </w:rPr>
        <w:t>receptor</w:t>
      </w:r>
      <w:proofErr w:type="spellEnd"/>
      <w:r w:rsidR="00107809">
        <w:rPr>
          <w:sz w:val="20"/>
        </w:rPr>
        <w:t xml:space="preserve"> 3), ce qui cause des anomalies dans le développement du cartilage. 80% des cas sont des mutations de novo, mais transmission aussi possible (autosomique dominante).</w:t>
      </w:r>
    </w:p>
    <w:p w:rsidR="00380F13" w:rsidRDefault="001F4EEE" w:rsidP="001F4EEE">
      <w:pPr>
        <w:pStyle w:val="ListParagraph"/>
        <w:numPr>
          <w:ilvl w:val="0"/>
          <w:numId w:val="1"/>
        </w:numPr>
        <w:rPr>
          <w:sz w:val="20"/>
        </w:rPr>
      </w:pPr>
      <w:r>
        <w:rPr>
          <w:sz w:val="20"/>
        </w:rPr>
        <w:t xml:space="preserve">Syndrome de </w:t>
      </w:r>
      <w:proofErr w:type="spellStart"/>
      <w:r>
        <w:rPr>
          <w:sz w:val="20"/>
        </w:rPr>
        <w:t>Marfan</w:t>
      </w:r>
      <w:proofErr w:type="spellEnd"/>
      <w:r>
        <w:rPr>
          <w:sz w:val="20"/>
        </w:rPr>
        <w:t> :</w:t>
      </w:r>
      <w:r w:rsidR="00107809" w:rsidRPr="00107809">
        <w:t xml:space="preserve"> </w:t>
      </w:r>
      <w:r w:rsidR="00107809" w:rsidRPr="00C95C3E">
        <w:rPr>
          <w:sz w:val="20"/>
        </w:rPr>
        <w:t>maladie génétique, à transmission autosomique dominante, du tissu conjonctif. Elle atteint l'ensemble des organes du corps humain, avec des degrés très variables dans ses manifestations cliniques. Les organes les plus touchés sont : l'œil</w:t>
      </w:r>
      <w:r w:rsidR="00C95C3E">
        <w:rPr>
          <w:sz w:val="20"/>
        </w:rPr>
        <w:t xml:space="preserve"> (déplacement du cristallin) </w:t>
      </w:r>
      <w:r w:rsidR="00107809" w:rsidRPr="00C95C3E">
        <w:rPr>
          <w:sz w:val="20"/>
        </w:rPr>
        <w:t>, le</w:t>
      </w:r>
      <w:r w:rsidR="00C95C3E" w:rsidRPr="00C95C3E">
        <w:rPr>
          <w:sz w:val="20"/>
        </w:rPr>
        <w:t xml:space="preserve"> </w:t>
      </w:r>
      <w:r w:rsidR="00107809" w:rsidRPr="00C95C3E">
        <w:rPr>
          <w:sz w:val="20"/>
        </w:rPr>
        <w:t>squelette et le système cardio-vasculaire</w:t>
      </w:r>
      <w:r w:rsidR="00C95C3E">
        <w:rPr>
          <w:sz w:val="20"/>
        </w:rPr>
        <w:t xml:space="preserve"> (anévrismes)</w:t>
      </w:r>
      <w:r w:rsidR="00107809" w:rsidRPr="00C95C3E">
        <w:rPr>
          <w:sz w:val="20"/>
        </w:rPr>
        <w:t xml:space="preserve">. </w:t>
      </w:r>
      <w:r w:rsidR="00C95C3E">
        <w:rPr>
          <w:sz w:val="20"/>
        </w:rPr>
        <w:t xml:space="preserve">Les enfants sont souvent trop grands pour leur âge. </w:t>
      </w:r>
      <w:r w:rsidR="00107809" w:rsidRPr="00C95C3E">
        <w:rPr>
          <w:sz w:val="20"/>
        </w:rPr>
        <w:t xml:space="preserve">Le syndrome de </w:t>
      </w:r>
      <w:proofErr w:type="spellStart"/>
      <w:r w:rsidR="00107809" w:rsidRPr="00C95C3E">
        <w:rPr>
          <w:sz w:val="20"/>
        </w:rPr>
        <w:t>Marfan</w:t>
      </w:r>
      <w:proofErr w:type="spellEnd"/>
      <w:r w:rsidR="00107809" w:rsidRPr="00C95C3E">
        <w:rPr>
          <w:sz w:val="20"/>
        </w:rPr>
        <w:t xml:space="preserve"> est en rapport avec une mutation du gène </w:t>
      </w:r>
      <w:proofErr w:type="spellStart"/>
      <w:r w:rsidR="00107809" w:rsidRPr="00C95C3E">
        <w:rPr>
          <w:sz w:val="20"/>
        </w:rPr>
        <w:t>fibrilline</w:t>
      </w:r>
      <w:proofErr w:type="spellEnd"/>
      <w:r w:rsidR="00107809" w:rsidRPr="00C95C3E">
        <w:rPr>
          <w:sz w:val="20"/>
        </w:rPr>
        <w:t>-1 (FBN1</w:t>
      </w:r>
      <w:r w:rsidR="00C95C3E">
        <w:rPr>
          <w:sz w:val="20"/>
        </w:rPr>
        <w:t xml:space="preserve">), qui code pour </w:t>
      </w:r>
      <w:r w:rsidR="00C95C3E" w:rsidRPr="00C95C3E">
        <w:rPr>
          <w:sz w:val="20"/>
        </w:rPr>
        <w:t>un des composants des micro-fibrilles</w:t>
      </w:r>
      <w:r w:rsidR="00C95C3E">
        <w:rPr>
          <w:sz w:val="20"/>
        </w:rPr>
        <w:t>. Les micro-fibrilles</w:t>
      </w:r>
      <w:r w:rsidR="00C95C3E" w:rsidRPr="00C95C3E">
        <w:rPr>
          <w:sz w:val="20"/>
        </w:rPr>
        <w:t xml:space="preserve"> interv</w:t>
      </w:r>
      <w:r w:rsidR="00C95C3E">
        <w:rPr>
          <w:sz w:val="20"/>
        </w:rPr>
        <w:t>iennent</w:t>
      </w:r>
      <w:r w:rsidR="00C95C3E" w:rsidRPr="00C95C3E">
        <w:rPr>
          <w:sz w:val="20"/>
        </w:rPr>
        <w:t xml:space="preserve"> avec les </w:t>
      </w:r>
      <w:proofErr w:type="spellStart"/>
      <w:r w:rsidR="00C95C3E" w:rsidRPr="00C95C3E">
        <w:rPr>
          <w:sz w:val="20"/>
        </w:rPr>
        <w:t>intégrines</w:t>
      </w:r>
      <w:proofErr w:type="spellEnd"/>
      <w:r w:rsidR="00C95C3E" w:rsidRPr="00C95C3E">
        <w:rPr>
          <w:sz w:val="20"/>
        </w:rPr>
        <w:t> dans l'adhésion à la matrice extracellulaire. On trouve notamment une expression anormalement élevé de</w:t>
      </w:r>
      <w:r w:rsidR="00C95C3E">
        <w:rPr>
          <w:sz w:val="20"/>
        </w:rPr>
        <w:t xml:space="preserve"> TGF-β </w:t>
      </w:r>
      <w:r w:rsidR="00C95C3E" w:rsidRPr="00C95C3E">
        <w:rPr>
          <w:sz w:val="20"/>
        </w:rPr>
        <w:t>qui pourrait être responsable des signes de la maladie.</w:t>
      </w:r>
    </w:p>
    <w:p w:rsidR="00C95C3E" w:rsidRDefault="00C95C3E">
      <w:pPr>
        <w:rPr>
          <w:b/>
          <w:sz w:val="20"/>
          <w:u w:val="single"/>
        </w:rPr>
      </w:pPr>
      <w:r>
        <w:rPr>
          <w:b/>
          <w:sz w:val="20"/>
          <w:u w:val="single"/>
        </w:rPr>
        <w:br w:type="page"/>
      </w:r>
    </w:p>
    <w:p w:rsidR="001F4EEE" w:rsidRPr="001F4EEE" w:rsidRDefault="001F4EEE" w:rsidP="001F4EEE">
      <w:pPr>
        <w:rPr>
          <w:sz w:val="20"/>
        </w:rPr>
      </w:pPr>
      <w:r w:rsidRPr="00125538">
        <w:rPr>
          <w:b/>
          <w:sz w:val="20"/>
          <w:u w:val="single"/>
        </w:rPr>
        <w:lastRenderedPageBreak/>
        <w:t>Conclusions</w:t>
      </w:r>
      <w:r>
        <w:rPr>
          <w:sz w:val="20"/>
        </w:rPr>
        <w:t> :</w:t>
      </w:r>
    </w:p>
    <w:p w:rsidR="00380F13" w:rsidRDefault="00C95C3E" w:rsidP="005C34B3">
      <w:pPr>
        <w:spacing w:after="0"/>
        <w:rPr>
          <w:sz w:val="20"/>
        </w:rPr>
      </w:pPr>
      <w:r w:rsidRPr="00C95C3E">
        <w:rPr>
          <w:b/>
          <w:sz w:val="20"/>
        </w:rPr>
        <w:t>Généralités</w:t>
      </w:r>
      <w:r>
        <w:rPr>
          <w:sz w:val="20"/>
        </w:rPr>
        <w:t> :</w:t>
      </w:r>
    </w:p>
    <w:p w:rsidR="00C95C3E" w:rsidRDefault="00C95C3E" w:rsidP="005C34B3">
      <w:pPr>
        <w:pStyle w:val="ListParagraph"/>
        <w:numPr>
          <w:ilvl w:val="0"/>
          <w:numId w:val="1"/>
        </w:numPr>
        <w:spacing w:after="0"/>
        <w:rPr>
          <w:sz w:val="20"/>
        </w:rPr>
      </w:pPr>
      <w:r w:rsidRPr="00C95C3E">
        <w:rPr>
          <w:sz w:val="20"/>
        </w:rPr>
        <w:t>la croissance est réglée par les gènes</w:t>
      </w:r>
      <w:r>
        <w:rPr>
          <w:sz w:val="20"/>
        </w:rPr>
        <w:t>,</w:t>
      </w:r>
      <w:r w:rsidRPr="00C95C3E">
        <w:rPr>
          <w:sz w:val="20"/>
        </w:rPr>
        <w:t xml:space="preserve"> mais aussi soumise à beaucoup d’</w:t>
      </w:r>
      <w:proofErr w:type="spellStart"/>
      <w:r w:rsidRPr="00C95C3E">
        <w:rPr>
          <w:sz w:val="20"/>
        </w:rPr>
        <w:t>inﬂuences</w:t>
      </w:r>
      <w:proofErr w:type="spellEnd"/>
      <w:r w:rsidRPr="00C95C3E">
        <w:rPr>
          <w:sz w:val="20"/>
        </w:rPr>
        <w:t xml:space="preserve"> extérieures</w:t>
      </w:r>
    </w:p>
    <w:p w:rsidR="00C95C3E" w:rsidRPr="00C95C3E" w:rsidRDefault="00C95C3E" w:rsidP="00C95C3E">
      <w:pPr>
        <w:pStyle w:val="ListParagraph"/>
        <w:numPr>
          <w:ilvl w:val="0"/>
          <w:numId w:val="1"/>
        </w:numPr>
        <w:rPr>
          <w:sz w:val="20"/>
        </w:rPr>
      </w:pPr>
      <w:r w:rsidRPr="00C95C3E">
        <w:rPr>
          <w:sz w:val="20"/>
        </w:rPr>
        <w:t>l</w:t>
      </w:r>
      <w:r>
        <w:rPr>
          <w:sz w:val="20"/>
        </w:rPr>
        <w:t>a surveillance de la croissance</w:t>
      </w:r>
      <w:r w:rsidRPr="00C95C3E">
        <w:rPr>
          <w:sz w:val="20"/>
        </w:rPr>
        <w:t xml:space="preserve"> et le dépistage d’un retard de croissance, </w:t>
      </w:r>
      <w:r>
        <w:rPr>
          <w:sz w:val="20"/>
        </w:rPr>
        <w:t>comptent parmi</w:t>
      </w:r>
      <w:r w:rsidRPr="00C95C3E">
        <w:rPr>
          <w:sz w:val="20"/>
        </w:rPr>
        <w:t xml:space="preserve"> </w:t>
      </w:r>
      <w:r>
        <w:rPr>
          <w:sz w:val="20"/>
        </w:rPr>
        <w:t>l</w:t>
      </w:r>
      <w:r w:rsidRPr="00C95C3E">
        <w:rPr>
          <w:sz w:val="20"/>
        </w:rPr>
        <w:t>es tâch</w:t>
      </w:r>
      <w:r>
        <w:rPr>
          <w:sz w:val="20"/>
        </w:rPr>
        <w:t>es les plus importantes du pédiatre</w:t>
      </w:r>
    </w:p>
    <w:p w:rsidR="00C95C3E" w:rsidRPr="00C95C3E" w:rsidRDefault="00C95C3E" w:rsidP="00C95C3E">
      <w:pPr>
        <w:pStyle w:val="ListParagraph"/>
        <w:numPr>
          <w:ilvl w:val="0"/>
          <w:numId w:val="1"/>
        </w:numPr>
        <w:rPr>
          <w:sz w:val="20"/>
        </w:rPr>
      </w:pPr>
      <w:r w:rsidRPr="00C95C3E">
        <w:rPr>
          <w:sz w:val="20"/>
        </w:rPr>
        <w:t>un retard de croissance est souvent associé à des maladies chroniques et peu</w:t>
      </w:r>
      <w:r w:rsidR="005C34B3">
        <w:rPr>
          <w:sz w:val="20"/>
        </w:rPr>
        <w:t>t</w:t>
      </w:r>
      <w:r w:rsidRPr="00C95C3E">
        <w:rPr>
          <w:sz w:val="20"/>
        </w:rPr>
        <w:t xml:space="preserve"> même être le </w:t>
      </w:r>
      <w:r>
        <w:rPr>
          <w:sz w:val="20"/>
        </w:rPr>
        <w:t>1</w:t>
      </w:r>
      <w:r w:rsidRPr="00C95C3E">
        <w:rPr>
          <w:sz w:val="20"/>
          <w:vertAlign w:val="superscript"/>
        </w:rPr>
        <w:t>er</w:t>
      </w:r>
      <w:r w:rsidRPr="00C95C3E">
        <w:rPr>
          <w:sz w:val="20"/>
        </w:rPr>
        <w:t xml:space="preserve"> signe</w:t>
      </w:r>
    </w:p>
    <w:p w:rsidR="00C95C3E" w:rsidRDefault="00C95C3E" w:rsidP="005C34B3">
      <w:pPr>
        <w:spacing w:after="0"/>
        <w:rPr>
          <w:sz w:val="20"/>
        </w:rPr>
      </w:pPr>
      <w:r w:rsidRPr="00C95C3E">
        <w:rPr>
          <w:b/>
          <w:sz w:val="20"/>
        </w:rPr>
        <w:t>Troubles de la croissance</w:t>
      </w:r>
      <w:r>
        <w:rPr>
          <w:sz w:val="20"/>
        </w:rPr>
        <w:t> :</w:t>
      </w:r>
    </w:p>
    <w:p w:rsidR="00C95C3E" w:rsidRDefault="00C95C3E" w:rsidP="005C34B3">
      <w:pPr>
        <w:pStyle w:val="ListParagraph"/>
        <w:numPr>
          <w:ilvl w:val="0"/>
          <w:numId w:val="1"/>
        </w:numPr>
        <w:spacing w:after="0"/>
        <w:rPr>
          <w:sz w:val="20"/>
        </w:rPr>
      </w:pPr>
      <w:r w:rsidRPr="00C95C3E">
        <w:rPr>
          <w:sz w:val="20"/>
        </w:rPr>
        <w:t>Petite taille fami</w:t>
      </w:r>
      <w:r>
        <w:rPr>
          <w:sz w:val="20"/>
        </w:rPr>
        <w:t>liale (parents, grands-parents!)</w:t>
      </w:r>
    </w:p>
    <w:p w:rsidR="00C95C3E" w:rsidRPr="00C95C3E" w:rsidRDefault="00C95C3E" w:rsidP="00C95C3E">
      <w:pPr>
        <w:pStyle w:val="ListParagraph"/>
        <w:numPr>
          <w:ilvl w:val="0"/>
          <w:numId w:val="1"/>
        </w:numPr>
        <w:rPr>
          <w:sz w:val="20"/>
        </w:rPr>
      </w:pPr>
      <w:r w:rsidRPr="00C95C3E">
        <w:rPr>
          <w:sz w:val="20"/>
        </w:rPr>
        <w:t>Retard constitutionnel/familial de croissance et développement (très</w:t>
      </w:r>
      <w:r>
        <w:rPr>
          <w:sz w:val="20"/>
        </w:rPr>
        <w:t xml:space="preserve"> fréquent!)</w:t>
      </w:r>
    </w:p>
    <w:p w:rsidR="004D6CF6" w:rsidRDefault="00C95C3E" w:rsidP="00C95C3E">
      <w:pPr>
        <w:pStyle w:val="ListParagraph"/>
        <w:numPr>
          <w:ilvl w:val="0"/>
          <w:numId w:val="1"/>
        </w:numPr>
        <w:rPr>
          <w:sz w:val="20"/>
        </w:rPr>
      </w:pPr>
      <w:r w:rsidRPr="004D6CF6">
        <w:rPr>
          <w:sz w:val="20"/>
        </w:rPr>
        <w:t xml:space="preserve">Maladies systémiques (gastro-intestinales, </w:t>
      </w:r>
      <w:proofErr w:type="spellStart"/>
      <w:r w:rsidR="004D6CF6">
        <w:rPr>
          <w:sz w:val="20"/>
        </w:rPr>
        <w:t>inﬂam</w:t>
      </w:r>
      <w:r w:rsidRPr="004D6CF6">
        <w:rPr>
          <w:sz w:val="20"/>
        </w:rPr>
        <w:t>matoires</w:t>
      </w:r>
      <w:proofErr w:type="spellEnd"/>
      <w:r w:rsidRPr="004D6CF6">
        <w:rPr>
          <w:sz w:val="20"/>
        </w:rPr>
        <w:t xml:space="preserve">, cardiaques, rénales, </w:t>
      </w:r>
      <w:r w:rsidR="004D6CF6">
        <w:rPr>
          <w:sz w:val="20"/>
        </w:rPr>
        <w:t>métaboliques,….)</w:t>
      </w:r>
    </w:p>
    <w:p w:rsidR="00C95C3E" w:rsidRDefault="00C95C3E" w:rsidP="00C95C3E">
      <w:pPr>
        <w:pStyle w:val="ListParagraph"/>
        <w:numPr>
          <w:ilvl w:val="0"/>
          <w:numId w:val="1"/>
        </w:numPr>
        <w:rPr>
          <w:sz w:val="20"/>
        </w:rPr>
      </w:pPr>
      <w:r w:rsidRPr="004D6CF6">
        <w:rPr>
          <w:sz w:val="20"/>
        </w:rPr>
        <w:t>Fac</w:t>
      </w:r>
      <w:r w:rsidR="004D6CF6">
        <w:rPr>
          <w:sz w:val="20"/>
        </w:rPr>
        <w:t xml:space="preserve">teurs externes (alimentation, </w:t>
      </w:r>
      <w:r w:rsidRPr="004D6CF6">
        <w:rPr>
          <w:sz w:val="20"/>
        </w:rPr>
        <w:t>privation)!</w:t>
      </w:r>
    </w:p>
    <w:p w:rsidR="004D6CF6" w:rsidRDefault="004D6CF6" w:rsidP="004D6CF6">
      <w:pPr>
        <w:pStyle w:val="ListParagraph"/>
        <w:numPr>
          <w:ilvl w:val="0"/>
          <w:numId w:val="1"/>
        </w:numPr>
        <w:rPr>
          <w:sz w:val="20"/>
        </w:rPr>
      </w:pPr>
      <w:r w:rsidRPr="004D6CF6">
        <w:rPr>
          <w:sz w:val="20"/>
        </w:rPr>
        <w:t xml:space="preserve">Erreurs du système GH-IGF (défaut de hormone de </w:t>
      </w:r>
      <w:r>
        <w:rPr>
          <w:sz w:val="20"/>
        </w:rPr>
        <w:t xml:space="preserve">croissance, </w:t>
      </w:r>
      <w:proofErr w:type="spellStart"/>
      <w:r>
        <w:rPr>
          <w:sz w:val="20"/>
        </w:rPr>
        <w:t>etc</w:t>
      </w:r>
      <w:proofErr w:type="spellEnd"/>
      <w:r>
        <w:rPr>
          <w:sz w:val="20"/>
        </w:rPr>
        <w:t xml:space="preserve">) (assez rares) </w:t>
      </w:r>
    </w:p>
    <w:p w:rsidR="004D6CF6" w:rsidRDefault="004D6CF6" w:rsidP="004D6CF6">
      <w:pPr>
        <w:pStyle w:val="ListParagraph"/>
        <w:numPr>
          <w:ilvl w:val="0"/>
          <w:numId w:val="1"/>
        </w:numPr>
        <w:rPr>
          <w:sz w:val="20"/>
        </w:rPr>
      </w:pPr>
      <w:r w:rsidRPr="004D6CF6">
        <w:rPr>
          <w:sz w:val="20"/>
        </w:rPr>
        <w:t>Étiologie génétique (conditions rares mais il y en a beauc</w:t>
      </w:r>
      <w:r>
        <w:rPr>
          <w:sz w:val="20"/>
        </w:rPr>
        <w:t>oup…):</w:t>
      </w:r>
    </w:p>
    <w:p w:rsidR="004D6CF6" w:rsidRDefault="004D6CF6" w:rsidP="004D6CF6">
      <w:pPr>
        <w:pStyle w:val="ListParagraph"/>
        <w:numPr>
          <w:ilvl w:val="0"/>
          <w:numId w:val="9"/>
        </w:numPr>
        <w:rPr>
          <w:sz w:val="20"/>
        </w:rPr>
      </w:pPr>
      <w:r w:rsidRPr="004D6CF6">
        <w:rPr>
          <w:sz w:val="20"/>
        </w:rPr>
        <w:t>prénatal, postnatal</w:t>
      </w:r>
    </w:p>
    <w:p w:rsidR="004D6CF6" w:rsidRDefault="004D6CF6" w:rsidP="004D6CF6">
      <w:pPr>
        <w:pStyle w:val="ListParagraph"/>
        <w:numPr>
          <w:ilvl w:val="0"/>
          <w:numId w:val="9"/>
        </w:numPr>
        <w:rPr>
          <w:sz w:val="20"/>
        </w:rPr>
      </w:pPr>
      <w:r>
        <w:rPr>
          <w:sz w:val="20"/>
        </w:rPr>
        <w:t>syndrome « osseux » (</w:t>
      </w:r>
      <w:r w:rsidRPr="004D6CF6">
        <w:rPr>
          <w:sz w:val="20"/>
        </w:rPr>
        <w:t>achondroplasie)</w:t>
      </w:r>
    </w:p>
    <w:p w:rsidR="004D6CF6" w:rsidRPr="004D6CF6" w:rsidRDefault="004D6CF6" w:rsidP="004D6CF6">
      <w:pPr>
        <w:pStyle w:val="ListParagraph"/>
        <w:numPr>
          <w:ilvl w:val="0"/>
          <w:numId w:val="9"/>
        </w:numPr>
        <w:rPr>
          <w:sz w:val="20"/>
        </w:rPr>
      </w:pPr>
      <w:proofErr w:type="spellStart"/>
      <w:r w:rsidRPr="004D6CF6">
        <w:rPr>
          <w:sz w:val="20"/>
        </w:rPr>
        <w:t>ﬁlles</w:t>
      </w:r>
      <w:proofErr w:type="spellEnd"/>
      <w:r w:rsidRPr="004D6CF6">
        <w:rPr>
          <w:sz w:val="20"/>
        </w:rPr>
        <w:t xml:space="preserve">: S. Turner (45, XO) (env.1:2000 </w:t>
      </w:r>
      <w:proofErr w:type="spellStart"/>
      <w:r w:rsidRPr="004D6CF6">
        <w:rPr>
          <w:sz w:val="20"/>
        </w:rPr>
        <w:t>ﬁlles</w:t>
      </w:r>
      <w:proofErr w:type="spellEnd"/>
      <w:r w:rsidRPr="004D6CF6">
        <w:rPr>
          <w:sz w:val="20"/>
        </w:rPr>
        <w:t>)</w:t>
      </w:r>
    </w:p>
    <w:p w:rsidR="00C95C3E" w:rsidRDefault="00C95C3E" w:rsidP="004D6CF6">
      <w:pPr>
        <w:spacing w:after="0"/>
        <w:rPr>
          <w:sz w:val="20"/>
        </w:rPr>
      </w:pPr>
      <w:r w:rsidRPr="00C95C3E">
        <w:rPr>
          <w:b/>
          <w:sz w:val="20"/>
        </w:rPr>
        <w:t>Diagnostic différentiel d’un retard de croissance chez l’enfant</w:t>
      </w:r>
      <w:r>
        <w:rPr>
          <w:sz w:val="20"/>
        </w:rPr>
        <w:t> :</w:t>
      </w:r>
    </w:p>
    <w:p w:rsidR="004D6CF6" w:rsidRDefault="004D6CF6" w:rsidP="004D6CF6">
      <w:pPr>
        <w:pStyle w:val="ListParagraph"/>
        <w:numPr>
          <w:ilvl w:val="0"/>
          <w:numId w:val="1"/>
        </w:numPr>
        <w:spacing w:after="0"/>
        <w:rPr>
          <w:sz w:val="20"/>
        </w:rPr>
      </w:pPr>
      <w:r w:rsidRPr="004D6CF6">
        <w:rPr>
          <w:sz w:val="20"/>
        </w:rPr>
        <w:t>d</w:t>
      </w:r>
      <w:r>
        <w:rPr>
          <w:sz w:val="20"/>
        </w:rPr>
        <w:t>é</w:t>
      </w:r>
      <w:r w:rsidRPr="004D6CF6">
        <w:rPr>
          <w:sz w:val="20"/>
        </w:rPr>
        <w:t>but pr</w:t>
      </w:r>
      <w:r>
        <w:rPr>
          <w:sz w:val="20"/>
        </w:rPr>
        <w:t>é</w:t>
      </w:r>
      <w:r w:rsidRPr="004D6CF6">
        <w:rPr>
          <w:sz w:val="20"/>
        </w:rPr>
        <w:t>natal ou postnatal</w:t>
      </w:r>
    </w:p>
    <w:p w:rsidR="004D6CF6" w:rsidRDefault="005C34B3" w:rsidP="004D6CF6">
      <w:pPr>
        <w:pStyle w:val="ListParagraph"/>
        <w:numPr>
          <w:ilvl w:val="0"/>
          <w:numId w:val="1"/>
        </w:numPr>
        <w:rPr>
          <w:sz w:val="20"/>
        </w:rPr>
      </w:pPr>
      <w:r>
        <w:rPr>
          <w:sz w:val="20"/>
        </w:rPr>
        <w:t xml:space="preserve">percentile : </w:t>
      </w:r>
      <w:r w:rsidR="004D6CF6" w:rsidRPr="004D6CF6">
        <w:rPr>
          <w:sz w:val="20"/>
        </w:rPr>
        <w:t>taille = poids, poids&gt;taille, ou taille&gt;poids ?</w:t>
      </w:r>
    </w:p>
    <w:p w:rsidR="004D6CF6" w:rsidRPr="004D6CF6" w:rsidRDefault="004D6CF6" w:rsidP="004D6CF6">
      <w:pPr>
        <w:pStyle w:val="ListParagraph"/>
        <w:numPr>
          <w:ilvl w:val="0"/>
          <w:numId w:val="1"/>
        </w:numPr>
        <w:rPr>
          <w:sz w:val="20"/>
        </w:rPr>
      </w:pPr>
      <w:r w:rsidRPr="004D6CF6">
        <w:rPr>
          <w:sz w:val="20"/>
        </w:rPr>
        <w:t>enfant en bon état ou enfant malade (couleur/pâleur, humeur, appétit, comportement</w:t>
      </w:r>
      <w:r>
        <w:rPr>
          <w:sz w:val="20"/>
        </w:rPr>
        <w:t>)</w:t>
      </w:r>
    </w:p>
    <w:p w:rsidR="004D6CF6" w:rsidRPr="004D6CF6" w:rsidRDefault="004D6CF6" w:rsidP="004D6CF6">
      <w:pPr>
        <w:pStyle w:val="ListParagraph"/>
        <w:numPr>
          <w:ilvl w:val="0"/>
          <w:numId w:val="1"/>
        </w:numPr>
        <w:rPr>
          <w:sz w:val="20"/>
        </w:rPr>
      </w:pPr>
      <w:r w:rsidRPr="004D6CF6">
        <w:rPr>
          <w:sz w:val="20"/>
        </w:rPr>
        <w:t>signes cliniques:</w:t>
      </w:r>
      <w:r>
        <w:rPr>
          <w:sz w:val="20"/>
        </w:rPr>
        <w:t xml:space="preserve"> </w:t>
      </w:r>
      <w:r w:rsidRPr="004D6CF6">
        <w:rPr>
          <w:sz w:val="20"/>
        </w:rPr>
        <w:t>abdomen,</w:t>
      </w:r>
      <w:r>
        <w:rPr>
          <w:sz w:val="20"/>
        </w:rPr>
        <w:t xml:space="preserve"> </w:t>
      </w:r>
      <w:r w:rsidRPr="004D6CF6">
        <w:rPr>
          <w:sz w:val="20"/>
        </w:rPr>
        <w:t xml:space="preserve">cœur, poumons/respiration, peau/cheveux, squelette, dysmorphies, </w:t>
      </w:r>
    </w:p>
    <w:p w:rsidR="004D6CF6" w:rsidRPr="004D6CF6" w:rsidRDefault="004D6CF6" w:rsidP="004D6CF6">
      <w:pPr>
        <w:pStyle w:val="ListParagraph"/>
        <w:rPr>
          <w:sz w:val="20"/>
        </w:rPr>
      </w:pPr>
      <w:r>
        <w:rPr>
          <w:sz w:val="20"/>
        </w:rPr>
        <w:t>développement psychomoteur, ...!</w:t>
      </w:r>
    </w:p>
    <w:p w:rsidR="00C95C3E" w:rsidRDefault="00C95C3E" w:rsidP="004D6CF6">
      <w:pPr>
        <w:spacing w:after="0"/>
        <w:rPr>
          <w:sz w:val="20"/>
        </w:rPr>
      </w:pPr>
      <w:r w:rsidRPr="00C95C3E">
        <w:rPr>
          <w:b/>
          <w:sz w:val="20"/>
        </w:rPr>
        <w:t>Petite taille - 1</w:t>
      </w:r>
      <w:r w:rsidRPr="00C95C3E">
        <w:rPr>
          <w:b/>
          <w:sz w:val="20"/>
          <w:vertAlign w:val="superscript"/>
        </w:rPr>
        <w:t>ère</w:t>
      </w:r>
      <w:r w:rsidRPr="00C95C3E">
        <w:rPr>
          <w:b/>
          <w:sz w:val="20"/>
        </w:rPr>
        <w:t xml:space="preserve"> consultation</w:t>
      </w:r>
      <w:r>
        <w:rPr>
          <w:sz w:val="20"/>
        </w:rPr>
        <w:t> :</w:t>
      </w:r>
    </w:p>
    <w:p w:rsidR="004D6CF6" w:rsidRDefault="004D6CF6" w:rsidP="004D6CF6">
      <w:pPr>
        <w:pStyle w:val="ListParagraph"/>
        <w:numPr>
          <w:ilvl w:val="0"/>
          <w:numId w:val="1"/>
        </w:numPr>
        <w:spacing w:after="0"/>
        <w:rPr>
          <w:sz w:val="20"/>
        </w:rPr>
      </w:pPr>
      <w:r w:rsidRPr="004D6CF6">
        <w:rPr>
          <w:sz w:val="20"/>
        </w:rPr>
        <w:t>Taille, taille assise, circonférence crânienne</w:t>
      </w:r>
    </w:p>
    <w:p w:rsidR="004D6CF6" w:rsidRDefault="004D6CF6" w:rsidP="004D6CF6">
      <w:pPr>
        <w:pStyle w:val="ListParagraph"/>
        <w:numPr>
          <w:ilvl w:val="0"/>
          <w:numId w:val="1"/>
        </w:numPr>
        <w:spacing w:after="0"/>
        <w:rPr>
          <w:sz w:val="20"/>
        </w:rPr>
      </w:pPr>
      <w:r w:rsidRPr="004D6CF6">
        <w:rPr>
          <w:sz w:val="20"/>
        </w:rPr>
        <w:t>Taille des parents et anamnèse; taille cible; pronostic de</w:t>
      </w:r>
      <w:r>
        <w:rPr>
          <w:sz w:val="20"/>
        </w:rPr>
        <w:t xml:space="preserve"> taille </w:t>
      </w:r>
      <w:proofErr w:type="spellStart"/>
      <w:r>
        <w:rPr>
          <w:sz w:val="20"/>
        </w:rPr>
        <w:t>déﬁnitive</w:t>
      </w:r>
      <w:proofErr w:type="spellEnd"/>
      <w:r>
        <w:rPr>
          <w:sz w:val="20"/>
        </w:rPr>
        <w:t xml:space="preserve"> ( si &gt; 6 ans)</w:t>
      </w:r>
    </w:p>
    <w:p w:rsidR="004D6CF6" w:rsidRDefault="004D6CF6" w:rsidP="004D6CF6">
      <w:pPr>
        <w:pStyle w:val="ListParagraph"/>
        <w:numPr>
          <w:ilvl w:val="0"/>
          <w:numId w:val="1"/>
        </w:numPr>
        <w:spacing w:after="0"/>
        <w:rPr>
          <w:sz w:val="20"/>
        </w:rPr>
      </w:pPr>
      <w:r w:rsidRPr="004D6CF6">
        <w:rPr>
          <w:sz w:val="20"/>
        </w:rPr>
        <w:t>Courbe de</w:t>
      </w:r>
      <w:r>
        <w:rPr>
          <w:sz w:val="20"/>
        </w:rPr>
        <w:t xml:space="preserve"> croissance (pré- / postnatale)</w:t>
      </w:r>
    </w:p>
    <w:p w:rsidR="004D6CF6" w:rsidRDefault="004D6CF6" w:rsidP="004D6CF6">
      <w:pPr>
        <w:pStyle w:val="ListParagraph"/>
        <w:numPr>
          <w:ilvl w:val="0"/>
          <w:numId w:val="1"/>
        </w:numPr>
        <w:spacing w:after="0"/>
        <w:rPr>
          <w:sz w:val="20"/>
        </w:rPr>
      </w:pPr>
      <w:r w:rsidRPr="004D6CF6">
        <w:rPr>
          <w:sz w:val="20"/>
        </w:rPr>
        <w:t xml:space="preserve">Examen clinique complet, interniste et </w:t>
      </w:r>
      <w:r>
        <w:rPr>
          <w:sz w:val="20"/>
        </w:rPr>
        <w:t>«</w:t>
      </w:r>
      <w:proofErr w:type="spellStart"/>
      <w:r>
        <w:rPr>
          <w:sz w:val="20"/>
        </w:rPr>
        <w:t>dysmorphologique</w:t>
      </w:r>
      <w:proofErr w:type="spellEnd"/>
      <w:r>
        <w:rPr>
          <w:sz w:val="20"/>
        </w:rPr>
        <w:t xml:space="preserve"> » </w:t>
      </w:r>
    </w:p>
    <w:p w:rsidR="004D6CF6" w:rsidRPr="004D6CF6" w:rsidRDefault="004D6CF6" w:rsidP="004D6CF6">
      <w:pPr>
        <w:pStyle w:val="ListParagraph"/>
        <w:numPr>
          <w:ilvl w:val="0"/>
          <w:numId w:val="1"/>
        </w:numPr>
        <w:spacing w:after="0"/>
        <w:rPr>
          <w:sz w:val="20"/>
        </w:rPr>
      </w:pPr>
      <w:r w:rsidRPr="004D6CF6">
        <w:rPr>
          <w:sz w:val="20"/>
        </w:rPr>
        <w:t xml:space="preserve">Labo sang et urine avec réserve </w:t>
      </w:r>
    </w:p>
    <w:p w:rsidR="004D6CF6" w:rsidRPr="004D6CF6" w:rsidRDefault="004D6CF6" w:rsidP="004D6CF6">
      <w:pPr>
        <w:pStyle w:val="ListParagraph"/>
        <w:numPr>
          <w:ilvl w:val="0"/>
          <w:numId w:val="1"/>
        </w:numPr>
        <w:rPr>
          <w:sz w:val="20"/>
        </w:rPr>
      </w:pPr>
      <w:r w:rsidRPr="004D6CF6">
        <w:rPr>
          <w:sz w:val="20"/>
        </w:rPr>
        <w:t>Age osseux!</w:t>
      </w:r>
    </w:p>
    <w:p w:rsidR="00C95C3E" w:rsidRDefault="00C95C3E" w:rsidP="005C34B3">
      <w:pPr>
        <w:spacing w:after="0"/>
        <w:rPr>
          <w:sz w:val="20"/>
        </w:rPr>
      </w:pPr>
      <w:r w:rsidRPr="00C95C3E">
        <w:rPr>
          <w:b/>
          <w:sz w:val="20"/>
        </w:rPr>
        <w:t>Après 1</w:t>
      </w:r>
      <w:r w:rsidRPr="00C95C3E">
        <w:rPr>
          <w:b/>
          <w:sz w:val="20"/>
          <w:vertAlign w:val="superscript"/>
        </w:rPr>
        <w:t>ère</w:t>
      </w:r>
      <w:r w:rsidRPr="00C95C3E">
        <w:rPr>
          <w:b/>
          <w:sz w:val="20"/>
        </w:rPr>
        <w:t xml:space="preserve"> consultation </w:t>
      </w:r>
      <w:r>
        <w:rPr>
          <w:sz w:val="20"/>
        </w:rPr>
        <w:t>:</w:t>
      </w:r>
    </w:p>
    <w:p w:rsidR="004D6CF6" w:rsidRDefault="004D6CF6" w:rsidP="005C34B3">
      <w:pPr>
        <w:pStyle w:val="ListParagraph"/>
        <w:numPr>
          <w:ilvl w:val="0"/>
          <w:numId w:val="1"/>
        </w:numPr>
        <w:spacing w:after="0"/>
        <w:rPr>
          <w:sz w:val="20"/>
        </w:rPr>
      </w:pPr>
      <w:r w:rsidRPr="004D6CF6">
        <w:rPr>
          <w:sz w:val="20"/>
        </w:rPr>
        <w:t>Pathologie ou variante normale?</w:t>
      </w:r>
    </w:p>
    <w:p w:rsidR="004D6CF6" w:rsidRDefault="004D6CF6" w:rsidP="004D6CF6">
      <w:pPr>
        <w:pStyle w:val="ListParagraph"/>
        <w:numPr>
          <w:ilvl w:val="0"/>
          <w:numId w:val="1"/>
        </w:numPr>
        <w:rPr>
          <w:sz w:val="20"/>
        </w:rPr>
      </w:pPr>
      <w:r w:rsidRPr="004D6CF6">
        <w:rPr>
          <w:sz w:val="20"/>
        </w:rPr>
        <w:t>Retard de croissance « constitutionnel » ?</w:t>
      </w:r>
    </w:p>
    <w:p w:rsidR="004D6CF6" w:rsidRDefault="004D6CF6" w:rsidP="004D6CF6">
      <w:pPr>
        <w:pStyle w:val="ListParagraph"/>
        <w:numPr>
          <w:ilvl w:val="0"/>
          <w:numId w:val="1"/>
        </w:numPr>
        <w:rPr>
          <w:sz w:val="20"/>
        </w:rPr>
      </w:pPr>
      <w:r w:rsidRPr="004D6CF6">
        <w:rPr>
          <w:sz w:val="20"/>
        </w:rPr>
        <w:t xml:space="preserve">Diagnostic </w:t>
      </w:r>
      <w:proofErr w:type="spellStart"/>
      <w:r w:rsidRPr="004D6CF6">
        <w:rPr>
          <w:sz w:val="20"/>
        </w:rPr>
        <w:t>diﬀérentiel</w:t>
      </w:r>
      <w:proofErr w:type="spellEnd"/>
      <w:r w:rsidRPr="004D6CF6">
        <w:rPr>
          <w:sz w:val="20"/>
        </w:rPr>
        <w:t xml:space="preserve">: cause endocrine, gastro-intestinale, </w:t>
      </w:r>
      <w:proofErr w:type="spellStart"/>
      <w:r w:rsidRPr="004D6CF6">
        <w:rPr>
          <w:sz w:val="20"/>
        </w:rPr>
        <w:t>internistique</w:t>
      </w:r>
      <w:proofErr w:type="spellEnd"/>
      <w:r w:rsidRPr="004D6CF6">
        <w:rPr>
          <w:sz w:val="20"/>
        </w:rPr>
        <w:t>, métabolique, squelett</w:t>
      </w:r>
      <w:r w:rsidR="00B864DB">
        <w:rPr>
          <w:sz w:val="20"/>
        </w:rPr>
        <w:t>iqu</w:t>
      </w:r>
      <w:r w:rsidRPr="004D6CF6">
        <w:rPr>
          <w:sz w:val="20"/>
        </w:rPr>
        <w:t>e, syndrom</w:t>
      </w:r>
      <w:r w:rsidR="00B864DB">
        <w:rPr>
          <w:sz w:val="20"/>
        </w:rPr>
        <w:t>ique</w:t>
      </w:r>
      <w:r w:rsidRPr="004D6CF6">
        <w:rPr>
          <w:sz w:val="20"/>
        </w:rPr>
        <w:t xml:space="preserve">.... </w:t>
      </w:r>
    </w:p>
    <w:p w:rsidR="004D6CF6" w:rsidRDefault="004D6CF6" w:rsidP="004D6CF6">
      <w:pPr>
        <w:pStyle w:val="ListParagraph"/>
        <w:numPr>
          <w:ilvl w:val="0"/>
          <w:numId w:val="1"/>
        </w:numPr>
        <w:rPr>
          <w:sz w:val="20"/>
        </w:rPr>
      </w:pPr>
      <w:r w:rsidRPr="004D6CF6">
        <w:rPr>
          <w:sz w:val="20"/>
        </w:rPr>
        <w:t xml:space="preserve">Déterminations </w:t>
      </w:r>
      <w:proofErr w:type="spellStart"/>
      <w:r w:rsidRPr="004D6CF6">
        <w:rPr>
          <w:sz w:val="20"/>
        </w:rPr>
        <w:t>spéciﬁques</w:t>
      </w:r>
      <w:proofErr w:type="spellEnd"/>
      <w:r w:rsidRPr="004D6CF6">
        <w:rPr>
          <w:sz w:val="20"/>
        </w:rPr>
        <w:t xml:space="preserve"> dans la réserve de plasma (e.g., </w:t>
      </w:r>
      <w:proofErr w:type="spellStart"/>
      <w:r w:rsidRPr="004D6CF6">
        <w:rPr>
          <w:sz w:val="20"/>
        </w:rPr>
        <w:t>IgA</w:t>
      </w:r>
      <w:proofErr w:type="spellEnd"/>
      <w:r w:rsidRPr="004D6CF6">
        <w:rPr>
          <w:sz w:val="20"/>
        </w:rPr>
        <w:t>-Gliadine</w:t>
      </w:r>
      <w:r w:rsidR="00B864DB">
        <w:rPr>
          <w:sz w:val="20"/>
        </w:rPr>
        <w:t xml:space="preserve"> pour sprue</w:t>
      </w:r>
      <w:r w:rsidRPr="004D6CF6">
        <w:rPr>
          <w:sz w:val="20"/>
        </w:rPr>
        <w:t>, GH/IGF-1, T4/TSH, …) ou examens supp</w:t>
      </w:r>
      <w:r>
        <w:rPr>
          <w:sz w:val="20"/>
        </w:rPr>
        <w:t>lémentaires (chromosomes, DNA…)</w:t>
      </w:r>
    </w:p>
    <w:p w:rsidR="004D6CF6" w:rsidRPr="004D6CF6" w:rsidRDefault="004B3A57" w:rsidP="004D6CF6">
      <w:pPr>
        <w:pStyle w:val="ListParagraph"/>
        <w:numPr>
          <w:ilvl w:val="0"/>
          <w:numId w:val="1"/>
        </w:numPr>
        <w:rPr>
          <w:sz w:val="20"/>
        </w:rPr>
      </w:pPr>
      <w:proofErr w:type="spellStart"/>
      <w:r>
        <w:rPr>
          <w:sz w:val="20"/>
        </w:rPr>
        <w:t>Follow</w:t>
      </w:r>
      <w:proofErr w:type="spellEnd"/>
      <w:r>
        <w:rPr>
          <w:sz w:val="20"/>
        </w:rPr>
        <w:t>-up à 3/6/</w:t>
      </w:r>
      <w:r w:rsidR="004D6CF6" w:rsidRPr="004D6CF6">
        <w:rPr>
          <w:sz w:val="20"/>
        </w:rPr>
        <w:t>12 mois !</w:t>
      </w:r>
    </w:p>
    <w:sectPr w:rsidR="004D6CF6" w:rsidRPr="004D6CF6" w:rsidSect="00BE578D">
      <w:footerReference w:type="default" r:id="rId8"/>
      <w:pgSz w:w="11906" w:h="16838"/>
      <w:pgMar w:top="1276" w:right="1417" w:bottom="1417"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376D" w:rsidRDefault="008A376D" w:rsidP="00B80B1B">
      <w:pPr>
        <w:spacing w:after="0" w:line="240" w:lineRule="auto"/>
      </w:pPr>
      <w:r>
        <w:separator/>
      </w:r>
    </w:p>
  </w:endnote>
  <w:endnote w:type="continuationSeparator" w:id="0">
    <w:p w:rsidR="008A376D" w:rsidRDefault="008A376D" w:rsidP="00B80B1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285417320"/>
      <w:docPartObj>
        <w:docPartGallery w:val="Page Numbers (Bottom of Page)"/>
        <w:docPartUnique/>
      </w:docPartObj>
    </w:sdtPr>
    <w:sdtContent>
      <w:p w:rsidR="00107809" w:rsidRPr="00B80B1B" w:rsidRDefault="00000210">
        <w:pPr>
          <w:pStyle w:val="Footer"/>
          <w:jc w:val="right"/>
          <w:rPr>
            <w:sz w:val="18"/>
          </w:rPr>
        </w:pPr>
        <w:r w:rsidRPr="00B80B1B">
          <w:rPr>
            <w:sz w:val="18"/>
          </w:rPr>
          <w:fldChar w:fldCharType="begin"/>
        </w:r>
        <w:r w:rsidR="00107809" w:rsidRPr="00B80B1B">
          <w:rPr>
            <w:sz w:val="18"/>
          </w:rPr>
          <w:instrText xml:space="preserve"> PAGE   \* MERGEFORMAT </w:instrText>
        </w:r>
        <w:r w:rsidRPr="00B80B1B">
          <w:rPr>
            <w:sz w:val="18"/>
          </w:rPr>
          <w:fldChar w:fldCharType="separate"/>
        </w:r>
        <w:r w:rsidR="005C34B3">
          <w:rPr>
            <w:noProof/>
            <w:sz w:val="18"/>
          </w:rPr>
          <w:t>4</w:t>
        </w:r>
        <w:r w:rsidRPr="00B80B1B">
          <w:rPr>
            <w:sz w:val="18"/>
          </w:rPr>
          <w:fldChar w:fldCharType="end"/>
        </w:r>
      </w:p>
    </w:sdtContent>
  </w:sdt>
  <w:p w:rsidR="00107809" w:rsidRPr="00B80B1B" w:rsidRDefault="00107809">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376D" w:rsidRDefault="008A376D" w:rsidP="00B80B1B">
      <w:pPr>
        <w:spacing w:after="0" w:line="240" w:lineRule="auto"/>
      </w:pPr>
      <w:r>
        <w:separator/>
      </w:r>
    </w:p>
  </w:footnote>
  <w:footnote w:type="continuationSeparator" w:id="0">
    <w:p w:rsidR="008A376D" w:rsidRDefault="008A376D" w:rsidP="00B80B1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13BF0"/>
    <w:multiLevelType w:val="hybridMultilevel"/>
    <w:tmpl w:val="3328DF6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18F40D68"/>
    <w:multiLevelType w:val="hybridMultilevel"/>
    <w:tmpl w:val="B502A18C"/>
    <w:lvl w:ilvl="0" w:tplc="1A94062C">
      <w:start w:val="7"/>
      <w:numFmt w:val="bullet"/>
      <w:lvlText w:val="-"/>
      <w:lvlJc w:val="left"/>
      <w:pPr>
        <w:ind w:left="720" w:hanging="360"/>
      </w:pPr>
      <w:rPr>
        <w:rFonts w:ascii="Calibri" w:eastAsiaTheme="minorHAnsi" w:hAnsi="Calibri" w:cstheme="minorBidi" w:hint="default"/>
        <w:color w:val="auto"/>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nsid w:val="1AEB6402"/>
    <w:multiLevelType w:val="hybridMultilevel"/>
    <w:tmpl w:val="DC6EE69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2B5754AC"/>
    <w:multiLevelType w:val="hybridMultilevel"/>
    <w:tmpl w:val="015C6C5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33575803"/>
    <w:multiLevelType w:val="hybridMultilevel"/>
    <w:tmpl w:val="5B4CD1A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3FD22792"/>
    <w:multiLevelType w:val="hybridMultilevel"/>
    <w:tmpl w:val="A0BCD1E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41CC7B22"/>
    <w:multiLevelType w:val="hybridMultilevel"/>
    <w:tmpl w:val="20CE0A78"/>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7">
    <w:nsid w:val="55457831"/>
    <w:multiLevelType w:val="hybridMultilevel"/>
    <w:tmpl w:val="8F90197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5F9C375E"/>
    <w:multiLevelType w:val="hybridMultilevel"/>
    <w:tmpl w:val="B158FC3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nsid w:val="6A603595"/>
    <w:multiLevelType w:val="hybridMultilevel"/>
    <w:tmpl w:val="8DDE233C"/>
    <w:lvl w:ilvl="0" w:tplc="0C0C9444">
      <w:start w:val="7"/>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2"/>
  </w:num>
  <w:num w:numId="4">
    <w:abstractNumId w:val="4"/>
  </w:num>
  <w:num w:numId="5">
    <w:abstractNumId w:val="0"/>
  </w:num>
  <w:num w:numId="6">
    <w:abstractNumId w:val="7"/>
  </w:num>
  <w:num w:numId="7">
    <w:abstractNumId w:val="6"/>
  </w:num>
  <w:num w:numId="8">
    <w:abstractNumId w:val="5"/>
  </w:num>
  <w:num w:numId="9">
    <w:abstractNumId w:val="8"/>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380F13"/>
    <w:rsid w:val="00000210"/>
    <w:rsid w:val="00030719"/>
    <w:rsid w:val="00107809"/>
    <w:rsid w:val="00113BB8"/>
    <w:rsid w:val="00125538"/>
    <w:rsid w:val="0014534C"/>
    <w:rsid w:val="001A1F9C"/>
    <w:rsid w:val="001E1737"/>
    <w:rsid w:val="001F294F"/>
    <w:rsid w:val="001F4EEE"/>
    <w:rsid w:val="00205141"/>
    <w:rsid w:val="00212EEB"/>
    <w:rsid w:val="00380F13"/>
    <w:rsid w:val="0040008D"/>
    <w:rsid w:val="0040227C"/>
    <w:rsid w:val="00420B8E"/>
    <w:rsid w:val="00491C69"/>
    <w:rsid w:val="004B3A57"/>
    <w:rsid w:val="004D6CF6"/>
    <w:rsid w:val="0059368B"/>
    <w:rsid w:val="005C34B3"/>
    <w:rsid w:val="005D1066"/>
    <w:rsid w:val="00605F11"/>
    <w:rsid w:val="00661DDD"/>
    <w:rsid w:val="006A180B"/>
    <w:rsid w:val="007632E3"/>
    <w:rsid w:val="0089247F"/>
    <w:rsid w:val="008A376D"/>
    <w:rsid w:val="009B5BB3"/>
    <w:rsid w:val="00A124E1"/>
    <w:rsid w:val="00AA742E"/>
    <w:rsid w:val="00B80B1B"/>
    <w:rsid w:val="00B864DB"/>
    <w:rsid w:val="00BA5C20"/>
    <w:rsid w:val="00BE578D"/>
    <w:rsid w:val="00C56082"/>
    <w:rsid w:val="00C95C3E"/>
    <w:rsid w:val="00CF5BA2"/>
    <w:rsid w:val="00DA079D"/>
    <w:rsid w:val="00DA5873"/>
    <w:rsid w:val="00DA6990"/>
    <w:rsid w:val="00E12A0C"/>
    <w:rsid w:val="00E400E1"/>
    <w:rsid w:val="00FC0FAF"/>
    <w:rsid w:val="00FC6C32"/>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53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F13"/>
    <w:pPr>
      <w:ind w:left="720"/>
      <w:contextualSpacing/>
    </w:pPr>
  </w:style>
  <w:style w:type="paragraph" w:styleId="Header">
    <w:name w:val="header"/>
    <w:basedOn w:val="Normal"/>
    <w:link w:val="HeaderChar"/>
    <w:uiPriority w:val="99"/>
    <w:semiHidden/>
    <w:unhideWhenUsed/>
    <w:rsid w:val="00B80B1B"/>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B80B1B"/>
  </w:style>
  <w:style w:type="paragraph" w:styleId="Footer">
    <w:name w:val="footer"/>
    <w:basedOn w:val="Normal"/>
    <w:link w:val="FooterChar"/>
    <w:uiPriority w:val="99"/>
    <w:unhideWhenUsed/>
    <w:rsid w:val="00B80B1B"/>
    <w:pPr>
      <w:tabs>
        <w:tab w:val="center" w:pos="4536"/>
        <w:tab w:val="right" w:pos="9072"/>
      </w:tabs>
      <w:spacing w:after="0" w:line="240" w:lineRule="auto"/>
    </w:pPr>
  </w:style>
  <w:style w:type="character" w:customStyle="1" w:styleId="FooterChar">
    <w:name w:val="Footer Char"/>
    <w:basedOn w:val="DefaultParagraphFont"/>
    <w:link w:val="Footer"/>
    <w:uiPriority w:val="99"/>
    <w:rsid w:val="00B80B1B"/>
  </w:style>
  <w:style w:type="character" w:styleId="PlaceholderText">
    <w:name w:val="Placeholder Text"/>
    <w:basedOn w:val="DefaultParagraphFont"/>
    <w:uiPriority w:val="99"/>
    <w:semiHidden/>
    <w:rsid w:val="001A1F9C"/>
    <w:rPr>
      <w:color w:val="808080"/>
    </w:rPr>
  </w:style>
  <w:style w:type="paragraph" w:styleId="BalloonText">
    <w:name w:val="Balloon Text"/>
    <w:basedOn w:val="Normal"/>
    <w:link w:val="BalloonTextChar"/>
    <w:uiPriority w:val="99"/>
    <w:semiHidden/>
    <w:unhideWhenUsed/>
    <w:rsid w:val="001A1F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1F9C"/>
    <w:rPr>
      <w:rFonts w:ascii="Tahoma" w:hAnsi="Tahoma" w:cs="Tahoma"/>
      <w:sz w:val="16"/>
      <w:szCs w:val="16"/>
    </w:rPr>
  </w:style>
  <w:style w:type="character" w:customStyle="1" w:styleId="apple-converted-space">
    <w:name w:val="apple-converted-space"/>
    <w:basedOn w:val="DefaultParagraphFont"/>
    <w:rsid w:val="00DA079D"/>
  </w:style>
  <w:style w:type="character" w:customStyle="1" w:styleId="italictext">
    <w:name w:val="italictext"/>
    <w:basedOn w:val="DefaultParagraphFont"/>
    <w:rsid w:val="00DA079D"/>
  </w:style>
  <w:style w:type="character" w:styleId="Hyperlink">
    <w:name w:val="Hyperlink"/>
    <w:basedOn w:val="DefaultParagraphFont"/>
    <w:uiPriority w:val="99"/>
    <w:unhideWhenUsed/>
    <w:rsid w:val="0089247F"/>
    <w:rPr>
      <w:color w:val="0000FF"/>
      <w:u w:val="single"/>
    </w:rPr>
  </w:style>
  <w:style w:type="character" w:customStyle="1" w:styleId="lang-en">
    <w:name w:val="lang-en"/>
    <w:basedOn w:val="DefaultParagraphFont"/>
    <w:rsid w:val="00C95C3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FDF9A5A-ACE3-4D3B-9D37-3ABB09249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2116</Words>
  <Characters>11639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21</cp:revision>
  <cp:lastPrinted>2014-04-01T19:57:00Z</cp:lastPrinted>
  <dcterms:created xsi:type="dcterms:W3CDTF">2014-03-27T16:06:00Z</dcterms:created>
  <dcterms:modified xsi:type="dcterms:W3CDTF">2014-09-12T10:04:00Z</dcterms:modified>
</cp:coreProperties>
</file>