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59B5" w:rsidRPr="00743A77" w:rsidRDefault="00743A77" w:rsidP="00743A77">
      <w:pPr>
        <w:jc w:val="center"/>
        <w:rPr>
          <w:b/>
        </w:rPr>
      </w:pPr>
      <w:bookmarkStart w:id="0" w:name="_GoBack"/>
      <w:bookmarkEnd w:id="0"/>
      <w:r w:rsidRPr="00743A77">
        <w:rPr>
          <w:b/>
        </w:rPr>
        <w:t>Leucémie de l’enfant</w:t>
      </w:r>
    </w:p>
    <w:p w:rsidR="001F28F8" w:rsidRDefault="001F28F8">
      <w:pPr>
        <w:rPr>
          <w:sz w:val="20"/>
        </w:rPr>
      </w:pPr>
      <w:r>
        <w:rPr>
          <w:b/>
          <w:sz w:val="20"/>
          <w:u w:val="single"/>
        </w:rPr>
        <w:t>Introduction</w:t>
      </w:r>
      <w:r w:rsidRPr="001F28F8">
        <w:rPr>
          <w:sz w:val="20"/>
        </w:rPr>
        <w:t> :</w:t>
      </w:r>
    </w:p>
    <w:p w:rsidR="001F28F8" w:rsidRDefault="001F28F8">
      <w:pPr>
        <w:rPr>
          <w:sz w:val="20"/>
        </w:rPr>
      </w:pPr>
      <w:r w:rsidRPr="001F28F8">
        <w:rPr>
          <w:b/>
          <w:sz w:val="20"/>
        </w:rPr>
        <w:t>Symptômes généraux d’une leucémie</w:t>
      </w:r>
      <w:r>
        <w:rPr>
          <w:sz w:val="20"/>
        </w:rPr>
        <w:t> : BEG, fièvre, pâleur, diathèse</w:t>
      </w:r>
      <w:r w:rsidR="001A68F9">
        <w:rPr>
          <w:sz w:val="20"/>
        </w:rPr>
        <w:t xml:space="preserve"> (=signes)</w:t>
      </w:r>
      <w:r>
        <w:rPr>
          <w:sz w:val="20"/>
        </w:rPr>
        <w:t xml:space="preserve"> hémorragique (pétéchies/</w:t>
      </w:r>
      <w:r w:rsidR="00922C35">
        <w:rPr>
          <w:sz w:val="20"/>
        </w:rPr>
        <w:t>hématomes), hépato-splénomégalie.</w:t>
      </w:r>
    </w:p>
    <w:p w:rsidR="001F28F8" w:rsidRDefault="001F28F8" w:rsidP="00922C35">
      <w:pPr>
        <w:spacing w:after="0"/>
        <w:rPr>
          <w:sz w:val="20"/>
        </w:rPr>
      </w:pPr>
      <w:r w:rsidRPr="001F28F8">
        <w:rPr>
          <w:b/>
          <w:sz w:val="20"/>
        </w:rPr>
        <w:t xml:space="preserve">Diagnostic différentiel face à </w:t>
      </w:r>
      <w:r w:rsidR="00922C35">
        <w:rPr>
          <w:b/>
          <w:sz w:val="20"/>
        </w:rPr>
        <w:t>ce tableau clinique</w:t>
      </w:r>
      <w:r>
        <w:rPr>
          <w:sz w:val="20"/>
        </w:rPr>
        <w:t> :</w:t>
      </w:r>
    </w:p>
    <w:p w:rsidR="00922C35" w:rsidRDefault="00922C35" w:rsidP="00922C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Infection (le plus fréquent chez l’enfant, donc à chercher en 1</w:t>
      </w:r>
      <w:r w:rsidRPr="00922C35">
        <w:rPr>
          <w:sz w:val="20"/>
          <w:vertAlign w:val="superscript"/>
        </w:rPr>
        <w:t>er</w:t>
      </w:r>
      <w:r>
        <w:rPr>
          <w:sz w:val="20"/>
        </w:rPr>
        <w:t>) : bactérienne (septicémie), virale (CMV, EBV, hépatite B/C), parasitaire (leishmania, malaria)</w:t>
      </w:r>
    </w:p>
    <w:p w:rsidR="00922C35" w:rsidRDefault="00922C35" w:rsidP="00922C35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Hémolyse : anémie hémolytique auto-immune</w:t>
      </w:r>
    </w:p>
    <w:p w:rsidR="00922C35" w:rsidRDefault="00922C35" w:rsidP="00922C35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922C35">
        <w:rPr>
          <w:sz w:val="20"/>
        </w:rPr>
        <w:t>Vasculite</w:t>
      </w:r>
      <w:proofErr w:type="spellEnd"/>
      <w:r w:rsidRPr="00922C35">
        <w:rPr>
          <w:sz w:val="20"/>
        </w:rPr>
        <w:t xml:space="preserve"> : </w:t>
      </w:r>
      <w:proofErr w:type="spellStart"/>
      <w:r>
        <w:rPr>
          <w:sz w:val="20"/>
        </w:rPr>
        <w:t>Henoch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Schönlein</w:t>
      </w:r>
      <w:proofErr w:type="spellEnd"/>
      <w:r w:rsidRPr="00922C35">
        <w:rPr>
          <w:sz w:val="20"/>
        </w:rPr>
        <w:t xml:space="preserve"> </w:t>
      </w:r>
    </w:p>
    <w:p w:rsidR="00922C35" w:rsidRPr="00A40532" w:rsidRDefault="00922C35" w:rsidP="00922C35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 w:rsidRPr="00A40532">
        <w:rPr>
          <w:sz w:val="20"/>
        </w:rPr>
        <w:t>Coagulopathie</w:t>
      </w:r>
      <w:proofErr w:type="spellEnd"/>
      <w:r w:rsidRPr="00A40532">
        <w:rPr>
          <w:sz w:val="20"/>
        </w:rPr>
        <w:t xml:space="preserve"> : </w:t>
      </w:r>
      <w:r w:rsidR="00A40532" w:rsidRPr="00A40532">
        <w:rPr>
          <w:sz w:val="20"/>
        </w:rPr>
        <w:t xml:space="preserve">purpura </w:t>
      </w:r>
      <w:proofErr w:type="spellStart"/>
      <w:r w:rsidR="00A40532" w:rsidRPr="00A40532">
        <w:rPr>
          <w:sz w:val="20"/>
        </w:rPr>
        <w:t>thrombopénique</w:t>
      </w:r>
      <w:proofErr w:type="spellEnd"/>
      <w:r w:rsidR="00A40532" w:rsidRPr="00A40532">
        <w:rPr>
          <w:sz w:val="20"/>
        </w:rPr>
        <w:t xml:space="preserve"> idi</w:t>
      </w:r>
      <w:r w:rsidR="00A40532">
        <w:rPr>
          <w:sz w:val="20"/>
        </w:rPr>
        <w:t>opathique (PTI)</w:t>
      </w:r>
      <w:r w:rsidRPr="00A40532">
        <w:rPr>
          <w:sz w:val="20"/>
        </w:rPr>
        <w:t xml:space="preserve">, maladie </w:t>
      </w:r>
      <w:proofErr w:type="spellStart"/>
      <w:r w:rsidRPr="00A40532">
        <w:rPr>
          <w:sz w:val="20"/>
        </w:rPr>
        <w:t>von</w:t>
      </w:r>
      <w:proofErr w:type="spellEnd"/>
      <w:r w:rsidRPr="00A40532">
        <w:rPr>
          <w:sz w:val="20"/>
        </w:rPr>
        <w:t xml:space="preserve"> </w:t>
      </w:r>
      <w:proofErr w:type="spellStart"/>
      <w:r w:rsidRPr="00A40532">
        <w:rPr>
          <w:sz w:val="20"/>
        </w:rPr>
        <w:t>Williebrand</w:t>
      </w:r>
      <w:proofErr w:type="spellEnd"/>
    </w:p>
    <w:p w:rsidR="00922C35" w:rsidRPr="00922C35" w:rsidRDefault="00922C35" w:rsidP="00922C35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Maladie tumorale : lymphome, leucémie</w:t>
      </w:r>
    </w:p>
    <w:p w:rsidR="00743A77" w:rsidRDefault="00743A77" w:rsidP="00922C35">
      <w:pPr>
        <w:spacing w:after="0"/>
        <w:rPr>
          <w:sz w:val="20"/>
        </w:rPr>
      </w:pPr>
      <w:r w:rsidRPr="00584A72">
        <w:rPr>
          <w:b/>
          <w:sz w:val="20"/>
          <w:u w:val="single"/>
        </w:rPr>
        <w:t>Épidémiologie</w:t>
      </w:r>
      <w:r w:rsidRPr="00584A72">
        <w:rPr>
          <w:sz w:val="20"/>
        </w:rPr>
        <w:t> :</w:t>
      </w:r>
      <w:r w:rsidR="00922C35">
        <w:rPr>
          <w:sz w:val="20"/>
        </w:rPr>
        <w:t xml:space="preserve"> les leucémies représentent environ 30% des tumeurs chez l’enfant. 80% de ces leucémies sont des leucémies lymphoïdes aiguës. L’incidence est la plus élevée entre 1 et 5 ans. La plupart des leucémies apparaissent de façon sporadique. Mais certains facteurs </w:t>
      </w:r>
      <w:proofErr w:type="spellStart"/>
      <w:r w:rsidR="00922C35">
        <w:rPr>
          <w:sz w:val="20"/>
        </w:rPr>
        <w:t>prédisposants</w:t>
      </w:r>
      <w:proofErr w:type="spellEnd"/>
      <w:r w:rsidR="00922C35">
        <w:rPr>
          <w:sz w:val="20"/>
        </w:rPr>
        <w:t xml:space="preserve"> ont tout de même été identifiés 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96"/>
        <w:gridCol w:w="2996"/>
      </w:tblGrid>
      <w:tr w:rsidR="00922C35" w:rsidTr="00922C35">
        <w:trPr>
          <w:trHeight w:val="843"/>
        </w:trPr>
        <w:tc>
          <w:tcPr>
            <w:tcW w:w="2996" w:type="dxa"/>
          </w:tcPr>
          <w:p w:rsid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Vrai jumeau</w:t>
            </w:r>
          </w:p>
          <w:p w:rsid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Trisomie 21</w:t>
            </w:r>
          </w:p>
          <w:p w:rsidR="00922C35" w:rsidRP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Anémie de </w:t>
            </w:r>
            <w:proofErr w:type="spellStart"/>
            <w:r>
              <w:rPr>
                <w:sz w:val="20"/>
              </w:rPr>
              <w:t>Fanconi</w:t>
            </w:r>
            <w:proofErr w:type="spellEnd"/>
          </w:p>
        </w:tc>
        <w:tc>
          <w:tcPr>
            <w:tcW w:w="2996" w:type="dxa"/>
          </w:tcPr>
          <w:p w:rsid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Ataxie </w:t>
            </w:r>
            <w:proofErr w:type="spellStart"/>
            <w:r>
              <w:rPr>
                <w:sz w:val="20"/>
              </w:rPr>
              <w:t>télangiectasique</w:t>
            </w:r>
            <w:proofErr w:type="spellEnd"/>
          </w:p>
          <w:p w:rsid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 xml:space="preserve">Agents </w:t>
            </w:r>
            <w:proofErr w:type="spellStart"/>
            <w:r>
              <w:rPr>
                <w:sz w:val="20"/>
              </w:rPr>
              <w:t>alkylants</w:t>
            </w:r>
            <w:proofErr w:type="spellEnd"/>
          </w:p>
          <w:p w:rsidR="00922C35" w:rsidRPr="00922C35" w:rsidRDefault="00922C35" w:rsidP="00922C35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Radiation ionisante</w:t>
            </w:r>
          </w:p>
        </w:tc>
      </w:tr>
    </w:tbl>
    <w:p w:rsidR="00922C35" w:rsidRDefault="00922C35" w:rsidP="00922C35">
      <w:pPr>
        <w:spacing w:after="0"/>
        <w:rPr>
          <w:sz w:val="20"/>
        </w:rPr>
      </w:pPr>
    </w:p>
    <w:p w:rsidR="00743A77" w:rsidRDefault="00743A77" w:rsidP="00F76C9D">
      <w:pPr>
        <w:spacing w:after="0"/>
        <w:rPr>
          <w:sz w:val="20"/>
        </w:rPr>
      </w:pPr>
      <w:r w:rsidRPr="00584A72">
        <w:rPr>
          <w:b/>
          <w:sz w:val="20"/>
          <w:u w:val="single"/>
        </w:rPr>
        <w:t>Classification des leucémies</w:t>
      </w:r>
      <w:r w:rsidRPr="00584A72">
        <w:rPr>
          <w:sz w:val="20"/>
        </w:rPr>
        <w:t> :</w:t>
      </w:r>
    </w:p>
    <w:p w:rsidR="00C91633" w:rsidRDefault="00C91633" w:rsidP="00F76C9D">
      <w:pPr>
        <w:spacing w:after="0"/>
        <w:rPr>
          <w:sz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06"/>
        <w:gridCol w:w="4606"/>
      </w:tblGrid>
      <w:tr w:rsidR="00F76C9D" w:rsidTr="00F76C9D">
        <w:tc>
          <w:tcPr>
            <w:tcW w:w="4606" w:type="dxa"/>
          </w:tcPr>
          <w:p w:rsidR="00F76C9D" w:rsidRDefault="00F76C9D" w:rsidP="00F76C9D">
            <w:pPr>
              <w:rPr>
                <w:sz w:val="20"/>
              </w:rPr>
            </w:pPr>
            <w:r w:rsidRPr="00922C35">
              <w:rPr>
                <w:b/>
                <w:sz w:val="20"/>
              </w:rPr>
              <w:t>Clinique</w:t>
            </w:r>
            <w:r>
              <w:rPr>
                <w:sz w:val="20"/>
              </w:rPr>
              <w:t> :</w:t>
            </w:r>
          </w:p>
          <w:p w:rsidR="00F76C9D" w:rsidRDefault="00F76C9D" w:rsidP="00F76C9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Aiguë ou chronique</w:t>
            </w:r>
          </w:p>
          <w:p w:rsidR="00F76C9D" w:rsidRPr="00F76C9D" w:rsidRDefault="00F76C9D" w:rsidP="00F76C9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proofErr w:type="spellStart"/>
            <w:r>
              <w:rPr>
                <w:sz w:val="20"/>
              </w:rPr>
              <w:t>Lymphoblastique</w:t>
            </w:r>
            <w:proofErr w:type="spellEnd"/>
            <w:r>
              <w:rPr>
                <w:sz w:val="20"/>
              </w:rPr>
              <w:t xml:space="preserve"> ou </w:t>
            </w:r>
            <w:proofErr w:type="spellStart"/>
            <w:r>
              <w:rPr>
                <w:sz w:val="20"/>
              </w:rPr>
              <w:t>myéloblastique</w:t>
            </w:r>
            <w:proofErr w:type="spellEnd"/>
          </w:p>
        </w:tc>
        <w:tc>
          <w:tcPr>
            <w:tcW w:w="4606" w:type="dxa"/>
          </w:tcPr>
          <w:p w:rsidR="00F76C9D" w:rsidRDefault="00F76C9D" w:rsidP="00F76C9D">
            <w:pPr>
              <w:rPr>
                <w:sz w:val="20"/>
              </w:rPr>
            </w:pPr>
            <w:r w:rsidRPr="00922C35">
              <w:rPr>
                <w:b/>
                <w:sz w:val="20"/>
              </w:rPr>
              <w:t>Laboratoire</w:t>
            </w:r>
            <w:r>
              <w:rPr>
                <w:sz w:val="20"/>
              </w:rPr>
              <w:t> :</w:t>
            </w:r>
          </w:p>
          <w:p w:rsidR="00F76C9D" w:rsidRDefault="00F76C9D" w:rsidP="00F76C9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Morphologie, histochimie, immunologie</w:t>
            </w:r>
          </w:p>
          <w:p w:rsidR="00F76C9D" w:rsidRPr="00F76C9D" w:rsidRDefault="00F76C9D" w:rsidP="00F76C9D">
            <w:pPr>
              <w:pStyle w:val="ListParagraph"/>
              <w:numPr>
                <w:ilvl w:val="0"/>
                <w:numId w:val="1"/>
              </w:numPr>
              <w:rPr>
                <w:sz w:val="20"/>
              </w:rPr>
            </w:pPr>
            <w:r>
              <w:rPr>
                <w:sz w:val="20"/>
              </w:rPr>
              <w:t>Biologie moléculaire, cytogénétique</w:t>
            </w:r>
          </w:p>
        </w:tc>
      </w:tr>
    </w:tbl>
    <w:p w:rsidR="00F76C9D" w:rsidRDefault="00F76C9D" w:rsidP="00F76C9D">
      <w:pPr>
        <w:spacing w:after="0"/>
        <w:rPr>
          <w:sz w:val="20"/>
        </w:rPr>
      </w:pPr>
    </w:p>
    <w:p w:rsidR="00743A77" w:rsidRDefault="00743A77">
      <w:pPr>
        <w:rPr>
          <w:sz w:val="20"/>
        </w:rPr>
      </w:pPr>
      <w:r w:rsidRPr="00584A72">
        <w:rPr>
          <w:b/>
          <w:sz w:val="20"/>
          <w:u w:val="single"/>
        </w:rPr>
        <w:t xml:space="preserve">Leucémie </w:t>
      </w:r>
      <w:proofErr w:type="spellStart"/>
      <w:r w:rsidRPr="00584A72">
        <w:rPr>
          <w:b/>
          <w:sz w:val="20"/>
          <w:u w:val="single"/>
        </w:rPr>
        <w:t>lymphoblastique</w:t>
      </w:r>
      <w:proofErr w:type="spellEnd"/>
      <w:r w:rsidR="00AE5E7E">
        <w:rPr>
          <w:b/>
          <w:sz w:val="20"/>
          <w:u w:val="single"/>
        </w:rPr>
        <w:t xml:space="preserve"> </w:t>
      </w:r>
      <w:r w:rsidR="00AE5E7E" w:rsidRPr="00584A72">
        <w:rPr>
          <w:b/>
          <w:sz w:val="20"/>
          <w:u w:val="single"/>
        </w:rPr>
        <w:t>aiguë</w:t>
      </w:r>
      <w:r w:rsidR="00AE5E7E">
        <w:rPr>
          <w:b/>
          <w:sz w:val="20"/>
          <w:u w:val="single"/>
        </w:rPr>
        <w:t xml:space="preserve"> (LLA)</w:t>
      </w:r>
      <w:r w:rsidRPr="00584A72">
        <w:rPr>
          <w:sz w:val="20"/>
        </w:rPr>
        <w:t> :</w:t>
      </w:r>
    </w:p>
    <w:p w:rsidR="00AE5377" w:rsidRPr="00584A72" w:rsidRDefault="00AE5377">
      <w:pPr>
        <w:rPr>
          <w:sz w:val="20"/>
        </w:rPr>
      </w:pPr>
      <w:r w:rsidRPr="00AE5377">
        <w:rPr>
          <w:b/>
          <w:sz w:val="20"/>
        </w:rPr>
        <w:t>Clinique</w:t>
      </w:r>
      <w:r>
        <w:rPr>
          <w:sz w:val="20"/>
        </w:rPr>
        <w:t xml:space="preserve"> : symptômes apparaissent 2-6 semaines avant le diagnostic. Parmi ceux-ci on </w:t>
      </w:r>
      <w:r w:rsidR="00AE5E7E">
        <w:rPr>
          <w:sz w:val="20"/>
        </w:rPr>
        <w:t>notera</w:t>
      </w:r>
      <w:r>
        <w:rPr>
          <w:sz w:val="20"/>
        </w:rPr>
        <w:t xml:space="preserve"> fatigue, arthralgies (genoux), fièvre, adénopathies, hématomes.</w:t>
      </w:r>
    </w:p>
    <w:p w:rsidR="00743A77" w:rsidRPr="00584A72" w:rsidRDefault="00743A77">
      <w:pPr>
        <w:rPr>
          <w:sz w:val="20"/>
        </w:rPr>
      </w:pPr>
      <w:r w:rsidRPr="00584A72">
        <w:rPr>
          <w:b/>
          <w:sz w:val="20"/>
        </w:rPr>
        <w:t>Laboratoire </w:t>
      </w:r>
      <w:r w:rsidRPr="00584A72">
        <w:rPr>
          <w:sz w:val="20"/>
        </w:rPr>
        <w:t>:</w:t>
      </w:r>
      <w:r w:rsidR="00AE5377">
        <w:rPr>
          <w:sz w:val="20"/>
        </w:rPr>
        <w:t xml:space="preserve"> anémie, thrombopénie (80%), leucocytose (65%), </w:t>
      </w:r>
      <w:proofErr w:type="spellStart"/>
      <w:r w:rsidR="00AE5377">
        <w:rPr>
          <w:sz w:val="20"/>
        </w:rPr>
        <w:t>blastose</w:t>
      </w:r>
      <w:proofErr w:type="spellEnd"/>
      <w:r w:rsidR="00AE5377">
        <w:rPr>
          <w:sz w:val="20"/>
        </w:rPr>
        <w:t>. Diagnostic posé en faisant une PL : confirmé si &gt;80% de blastes (minimum 25%).</w:t>
      </w:r>
    </w:p>
    <w:p w:rsidR="00AE5377" w:rsidRDefault="00743A77" w:rsidP="00AE5377">
      <w:pPr>
        <w:spacing w:after="0"/>
        <w:rPr>
          <w:sz w:val="20"/>
        </w:rPr>
      </w:pPr>
      <w:r w:rsidRPr="00584A72">
        <w:rPr>
          <w:b/>
          <w:sz w:val="20"/>
        </w:rPr>
        <w:t>DD</w:t>
      </w:r>
      <w:r w:rsidRPr="00584A72">
        <w:rPr>
          <w:sz w:val="20"/>
        </w:rPr>
        <w:t> :</w:t>
      </w:r>
    </w:p>
    <w:p w:rsidR="00AE5377" w:rsidRDefault="00AE5377" w:rsidP="00AE5377">
      <w:pPr>
        <w:pStyle w:val="ListParagraph"/>
        <w:numPr>
          <w:ilvl w:val="0"/>
          <w:numId w:val="1"/>
        </w:numPr>
        <w:spacing w:after="0"/>
        <w:rPr>
          <w:sz w:val="20"/>
        </w:rPr>
      </w:pPr>
      <w:proofErr w:type="spellStart"/>
      <w:r>
        <w:rPr>
          <w:sz w:val="20"/>
        </w:rPr>
        <w:t>Pancytopénie</w:t>
      </w:r>
      <w:proofErr w:type="spellEnd"/>
      <w:r>
        <w:rPr>
          <w:sz w:val="20"/>
        </w:rPr>
        <w:t> : anémie hémolytique</w:t>
      </w:r>
    </w:p>
    <w:p w:rsidR="00AE5377" w:rsidRDefault="00AE5377" w:rsidP="00AE537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Arthralgie : arthrite rhumatismale, lupus</w:t>
      </w:r>
    </w:p>
    <w:p w:rsidR="00AE5377" w:rsidRDefault="00AE5377" w:rsidP="00AE5377">
      <w:pPr>
        <w:pStyle w:val="ListParagraph"/>
        <w:numPr>
          <w:ilvl w:val="0"/>
          <w:numId w:val="1"/>
        </w:numPr>
        <w:rPr>
          <w:sz w:val="20"/>
        </w:rPr>
      </w:pPr>
      <w:proofErr w:type="spellStart"/>
      <w:r>
        <w:rPr>
          <w:sz w:val="20"/>
        </w:rPr>
        <w:t>Organomégalie</w:t>
      </w:r>
      <w:proofErr w:type="spellEnd"/>
      <w:r>
        <w:rPr>
          <w:sz w:val="20"/>
        </w:rPr>
        <w:t xml:space="preserve"> : infection virale, </w:t>
      </w:r>
      <w:proofErr w:type="spellStart"/>
      <w:r>
        <w:rPr>
          <w:sz w:val="20"/>
        </w:rPr>
        <w:t>histiocytose</w:t>
      </w:r>
      <w:proofErr w:type="spellEnd"/>
      <w:r>
        <w:rPr>
          <w:sz w:val="20"/>
        </w:rPr>
        <w:t xml:space="preserve"> à cellules de </w:t>
      </w:r>
      <w:proofErr w:type="spellStart"/>
      <w:r>
        <w:rPr>
          <w:sz w:val="20"/>
        </w:rPr>
        <w:t>Langerhans</w:t>
      </w:r>
      <w:proofErr w:type="spellEnd"/>
    </w:p>
    <w:p w:rsidR="00AE5377" w:rsidRPr="00AE5377" w:rsidRDefault="00AE5377" w:rsidP="00AE5377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Leucocytose/lymphocytose : </w:t>
      </w:r>
      <w:proofErr w:type="spellStart"/>
      <w:r>
        <w:rPr>
          <w:sz w:val="20"/>
        </w:rPr>
        <w:t>pertussis</w:t>
      </w:r>
      <w:proofErr w:type="spellEnd"/>
      <w:r>
        <w:rPr>
          <w:sz w:val="20"/>
        </w:rPr>
        <w:t>, inflammation</w:t>
      </w:r>
    </w:p>
    <w:p w:rsidR="00743A77" w:rsidRPr="00584A72" w:rsidRDefault="00743A77">
      <w:pPr>
        <w:rPr>
          <w:sz w:val="20"/>
        </w:rPr>
      </w:pPr>
      <w:r w:rsidRPr="00584A72">
        <w:rPr>
          <w:b/>
          <w:sz w:val="20"/>
        </w:rPr>
        <w:t>Diagnostic</w:t>
      </w:r>
      <w:r w:rsidR="00C91633">
        <w:rPr>
          <w:b/>
          <w:sz w:val="20"/>
        </w:rPr>
        <w:t> </w:t>
      </w:r>
      <w:r w:rsidR="00C91633" w:rsidRPr="00C91633">
        <w:rPr>
          <w:sz w:val="20"/>
        </w:rPr>
        <w:t>:</w:t>
      </w:r>
      <w:r w:rsidRPr="00584A72">
        <w:rPr>
          <w:b/>
          <w:sz w:val="20"/>
        </w:rPr>
        <w:t> </w:t>
      </w:r>
      <w:r w:rsidR="00C91633">
        <w:rPr>
          <w:sz w:val="20"/>
        </w:rPr>
        <w:t>meilleure survie si l’enfant a 1-</w:t>
      </w:r>
      <w:r w:rsidR="000C6657">
        <w:rPr>
          <w:sz w:val="20"/>
        </w:rPr>
        <w:t>4</w:t>
      </w:r>
      <w:r w:rsidR="00C91633">
        <w:rPr>
          <w:sz w:val="20"/>
        </w:rPr>
        <w:t xml:space="preserve"> ans au moment du diagnostic</w:t>
      </w:r>
      <w:r w:rsidR="000C6657">
        <w:rPr>
          <w:sz w:val="20"/>
        </w:rPr>
        <w:t>, puis 5-9 ans, puis 10-15 ans, puis &gt;15 ans</w:t>
      </w:r>
      <w:r w:rsidR="00C91633">
        <w:rPr>
          <w:sz w:val="20"/>
        </w:rPr>
        <w:t xml:space="preserve">. </w:t>
      </w:r>
      <w:r w:rsidR="000C6657">
        <w:rPr>
          <w:sz w:val="20"/>
        </w:rPr>
        <w:t>Survie la moins bonne</w:t>
      </w:r>
      <w:r w:rsidR="00C91633">
        <w:rPr>
          <w:sz w:val="20"/>
        </w:rPr>
        <w:t xml:space="preserve"> si l’enfant a &lt;1 an</w:t>
      </w:r>
      <w:r w:rsidR="000C6657">
        <w:rPr>
          <w:sz w:val="20"/>
        </w:rPr>
        <w:t>. Une leucocytose &gt;50G/l au diagnostic est aussi défavorable.</w:t>
      </w:r>
      <w:r w:rsidR="00883F5B">
        <w:rPr>
          <w:sz w:val="20"/>
        </w:rPr>
        <w:t xml:space="preserve"> Le dépistage (par biologie moléculaire ou </w:t>
      </w:r>
      <w:proofErr w:type="spellStart"/>
      <w:r w:rsidR="00883F5B">
        <w:rPr>
          <w:sz w:val="20"/>
        </w:rPr>
        <w:t>cytométrie</w:t>
      </w:r>
      <w:proofErr w:type="spellEnd"/>
      <w:r w:rsidR="00883F5B">
        <w:rPr>
          <w:sz w:val="20"/>
        </w:rPr>
        <w:t xml:space="preserve"> de flux) et traitement de maladie résiduelle (i.e. cellules leucémiques en infime quantité  &lt;0.01% ) améliorent un peu la survie depuis les années 90.</w:t>
      </w:r>
    </w:p>
    <w:p w:rsidR="004104EA" w:rsidRPr="004104EA" w:rsidRDefault="00743A77" w:rsidP="00883F5B">
      <w:pPr>
        <w:spacing w:after="0"/>
        <w:rPr>
          <w:sz w:val="20"/>
        </w:rPr>
      </w:pPr>
      <w:r w:rsidRPr="00584A72">
        <w:rPr>
          <w:b/>
          <w:sz w:val="20"/>
        </w:rPr>
        <w:t>Traitement</w:t>
      </w:r>
      <w:r w:rsidRPr="00584A72">
        <w:rPr>
          <w:sz w:val="20"/>
        </w:rPr>
        <w:t> :</w:t>
      </w:r>
      <w:r w:rsidR="004104EA">
        <w:rPr>
          <w:sz w:val="20"/>
        </w:rPr>
        <w:t xml:space="preserve"> plusieurs étapes → </w:t>
      </w:r>
      <w:r w:rsidR="004104EA" w:rsidRPr="004104EA">
        <w:rPr>
          <w:sz w:val="20"/>
        </w:rPr>
        <w:t>induction (1 mois), consolidation, intensification et maintenance (le plus long)</w:t>
      </w:r>
    </w:p>
    <w:p w:rsidR="00743A77" w:rsidRDefault="004104EA" w:rsidP="00883F5B">
      <w:pPr>
        <w:spacing w:after="0"/>
        <w:rPr>
          <w:sz w:val="20"/>
        </w:rPr>
      </w:pPr>
      <w:r>
        <w:rPr>
          <w:sz w:val="20"/>
        </w:rPr>
        <w:t xml:space="preserve">Représente </w:t>
      </w:r>
      <w:r w:rsidR="00883F5B">
        <w:rPr>
          <w:sz w:val="20"/>
        </w:rPr>
        <w:t xml:space="preserve">environ </w:t>
      </w:r>
      <w:r>
        <w:rPr>
          <w:sz w:val="20"/>
        </w:rPr>
        <w:t>2.5 ans au total</w:t>
      </w:r>
      <w:r w:rsidR="00883F5B">
        <w:rPr>
          <w:sz w:val="20"/>
        </w:rPr>
        <w:t>. Pourquoi un traitement si long ?</w:t>
      </w:r>
      <w:r>
        <w:rPr>
          <w:sz w:val="20"/>
        </w:rPr>
        <w:t xml:space="preserve"> </w:t>
      </w:r>
      <w:r w:rsidR="00883F5B">
        <w:rPr>
          <w:sz w:val="20"/>
        </w:rPr>
        <w:t>Parce que</w:t>
      </w:r>
      <w:r>
        <w:rPr>
          <w:sz w:val="20"/>
        </w:rPr>
        <w:t xml:space="preserve"> la chimio n’est efficace que lorsque les cellules sont en période de division, et les cellules dans la leucémie peuvent rester dormantes pendant des périodes prolongées.</w:t>
      </w:r>
    </w:p>
    <w:p w:rsidR="00883F5B" w:rsidRPr="00584A72" w:rsidRDefault="00883F5B" w:rsidP="00883F5B">
      <w:pPr>
        <w:spacing w:after="0"/>
        <w:rPr>
          <w:sz w:val="20"/>
        </w:rPr>
      </w:pPr>
    </w:p>
    <w:p w:rsidR="00AE5E7E" w:rsidRDefault="00743A77">
      <w:pPr>
        <w:rPr>
          <w:sz w:val="20"/>
        </w:rPr>
      </w:pPr>
      <w:r w:rsidRPr="00584A72">
        <w:rPr>
          <w:b/>
          <w:sz w:val="20"/>
          <w:u w:val="single"/>
        </w:rPr>
        <w:lastRenderedPageBreak/>
        <w:t>Leucémie myéloïde aiguë</w:t>
      </w:r>
      <w:r w:rsidR="00AE5E7E">
        <w:rPr>
          <w:b/>
          <w:sz w:val="20"/>
          <w:u w:val="single"/>
        </w:rPr>
        <w:t xml:space="preserve"> (LMA)</w:t>
      </w:r>
      <w:r w:rsidRPr="00584A72">
        <w:rPr>
          <w:sz w:val="20"/>
        </w:rPr>
        <w:t> :</w:t>
      </w:r>
      <w:r w:rsidR="00AE5E7E">
        <w:rPr>
          <w:sz w:val="20"/>
        </w:rPr>
        <w:t xml:space="preserve"> 15% des leucémies chez l’enfant</w:t>
      </w:r>
    </w:p>
    <w:p w:rsidR="00AE5E7E" w:rsidRDefault="00AE5E7E">
      <w:pPr>
        <w:rPr>
          <w:sz w:val="20"/>
        </w:rPr>
      </w:pPr>
      <w:r w:rsidRPr="00AE5E7E">
        <w:rPr>
          <w:b/>
          <w:sz w:val="20"/>
        </w:rPr>
        <w:t>Symptômes</w:t>
      </w:r>
      <w:r>
        <w:rPr>
          <w:sz w:val="20"/>
        </w:rPr>
        <w:t xml:space="preserve"> (en plus de ceux qu’on retrouve dans la LLA) : gingivite</w:t>
      </w:r>
    </w:p>
    <w:p w:rsidR="0038534F" w:rsidRDefault="0038534F" w:rsidP="00B068E8">
      <w:pPr>
        <w:spacing w:after="0"/>
        <w:rPr>
          <w:sz w:val="20"/>
        </w:rPr>
      </w:pPr>
      <w:r w:rsidRPr="0038534F">
        <w:rPr>
          <w:b/>
          <w:sz w:val="20"/>
        </w:rPr>
        <w:t>Facteurs pronosti</w:t>
      </w:r>
      <w:r w:rsidR="00B068E8">
        <w:rPr>
          <w:b/>
          <w:sz w:val="20"/>
        </w:rPr>
        <w:t>que</w:t>
      </w:r>
      <w:r w:rsidRPr="0038534F">
        <w:rPr>
          <w:b/>
          <w:sz w:val="20"/>
        </w:rPr>
        <w:t>s</w:t>
      </w:r>
      <w:r>
        <w:rPr>
          <w:sz w:val="20"/>
        </w:rPr>
        <w:t> :</w:t>
      </w:r>
    </w:p>
    <w:p w:rsidR="0038534F" w:rsidRDefault="0038534F" w:rsidP="00B068E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Favorables :</w:t>
      </w:r>
    </w:p>
    <w:p w:rsidR="00B068E8" w:rsidRDefault="00B068E8" w:rsidP="00B068E8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&gt;2 ans au diagnostic</w:t>
      </w:r>
    </w:p>
    <w:p w:rsidR="00B068E8" w:rsidRDefault="00B068E8" w:rsidP="00B068E8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Leucocytose à &lt;5G/l</w:t>
      </w:r>
    </w:p>
    <w:p w:rsidR="00B068E8" w:rsidRDefault="00B068E8" w:rsidP="00B068E8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Anomalies cytogénétiques : translocation (8 ;21), inversion (16), aucune</w:t>
      </w:r>
    </w:p>
    <w:p w:rsidR="00B068E8" w:rsidRDefault="00B068E8" w:rsidP="00B068E8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Trisomie 21 (&gt;80% de guérison car ont une plus grande sensibilité à la chimio. Traitement beaucoup plus court, de 4 mois seulement)</w:t>
      </w:r>
    </w:p>
    <w:p w:rsidR="0038534F" w:rsidRDefault="0038534F" w:rsidP="0038534F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Non favorables :</w:t>
      </w:r>
    </w:p>
    <w:p w:rsidR="00B068E8" w:rsidRDefault="00B068E8" w:rsidP="00B068E8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Autres anomalies cytogénétiques</w:t>
      </w:r>
    </w:p>
    <w:p w:rsidR="00B068E8" w:rsidRDefault="00B068E8" w:rsidP="00B068E8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>garçon</w:t>
      </w:r>
    </w:p>
    <w:p w:rsidR="0038534F" w:rsidRDefault="0038534F" w:rsidP="0038534F">
      <w:pPr>
        <w:rPr>
          <w:sz w:val="20"/>
        </w:rPr>
      </w:pPr>
      <w:r w:rsidRPr="0038534F">
        <w:rPr>
          <w:b/>
          <w:sz w:val="20"/>
        </w:rPr>
        <w:t>Traitement</w:t>
      </w:r>
      <w:r>
        <w:rPr>
          <w:sz w:val="20"/>
        </w:rPr>
        <w:t> : chimiothérapie sur 2 ans, greffe de moelle en présence de donneur compatible (+/- apparenté)</w:t>
      </w:r>
    </w:p>
    <w:p w:rsidR="00743A77" w:rsidRDefault="00574537">
      <w:pPr>
        <w:rPr>
          <w:sz w:val="20"/>
        </w:rPr>
      </w:pPr>
      <w:r>
        <w:rPr>
          <w:b/>
          <w:sz w:val="20"/>
          <w:u w:val="single"/>
        </w:rPr>
        <w:t>Leucémie myéloïde chronique (LMC)</w:t>
      </w:r>
      <w:r w:rsidRPr="00584A72">
        <w:rPr>
          <w:sz w:val="20"/>
        </w:rPr>
        <w:t> :</w:t>
      </w:r>
      <w:r>
        <w:rPr>
          <w:sz w:val="20"/>
        </w:rPr>
        <w:t xml:space="preserve"> 5% des leucémies chez l’enfant</w:t>
      </w:r>
    </w:p>
    <w:p w:rsidR="00D40988" w:rsidRDefault="00D40988" w:rsidP="00D40988">
      <w:pPr>
        <w:spacing w:after="0"/>
        <w:rPr>
          <w:sz w:val="20"/>
        </w:rPr>
      </w:pPr>
      <w:r w:rsidRPr="00D40988">
        <w:rPr>
          <w:b/>
          <w:sz w:val="20"/>
        </w:rPr>
        <w:t>Clinique</w:t>
      </w:r>
      <w:r>
        <w:rPr>
          <w:sz w:val="20"/>
        </w:rPr>
        <w:t> :</w:t>
      </w:r>
    </w:p>
    <w:p w:rsidR="00D40988" w:rsidRDefault="00D40988" w:rsidP="00D40988">
      <w:pPr>
        <w:pStyle w:val="ListParagraph"/>
        <w:numPr>
          <w:ilvl w:val="0"/>
          <w:numId w:val="1"/>
        </w:numPr>
        <w:spacing w:after="0"/>
        <w:rPr>
          <w:sz w:val="20"/>
        </w:rPr>
      </w:pPr>
      <w:r>
        <w:rPr>
          <w:sz w:val="20"/>
        </w:rPr>
        <w:t>peu symptomatique</w:t>
      </w:r>
    </w:p>
    <w:p w:rsidR="00D40988" w:rsidRDefault="00D40988" w:rsidP="00D4098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discrète hépato-splénomégalie</w:t>
      </w:r>
    </w:p>
    <w:p w:rsidR="00D40988" w:rsidRDefault="00D40988" w:rsidP="00D4098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hyperleucocytose</w:t>
      </w:r>
    </w:p>
    <w:p w:rsidR="00D40988" w:rsidRDefault="00D40988" w:rsidP="00D40988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hyperplasie médullaire avec prédominance myéloïde, sans blastes</w:t>
      </w:r>
    </w:p>
    <w:p w:rsidR="00D40988" w:rsidRPr="00D40988" w:rsidRDefault="00D40988" w:rsidP="00D40988">
      <w:pPr>
        <w:rPr>
          <w:sz w:val="20"/>
        </w:rPr>
      </w:pPr>
      <w:r w:rsidRPr="00D40988">
        <w:rPr>
          <w:b/>
          <w:sz w:val="20"/>
        </w:rPr>
        <w:t>Caractéristiques</w:t>
      </w:r>
      <w:r>
        <w:rPr>
          <w:sz w:val="20"/>
        </w:rPr>
        <w:t xml:space="preserve"> : fusion du chromosome de Philadelphie : t(9 ;22) → protéine de fusion </w:t>
      </w:r>
      <w:proofErr w:type="spellStart"/>
      <w:r>
        <w:rPr>
          <w:sz w:val="20"/>
        </w:rPr>
        <w:t>bcr</w:t>
      </w:r>
      <w:proofErr w:type="spellEnd"/>
      <w:r>
        <w:rPr>
          <w:sz w:val="20"/>
        </w:rPr>
        <w:t>-</w:t>
      </w:r>
      <w:proofErr w:type="spellStart"/>
      <w:r>
        <w:rPr>
          <w:sz w:val="20"/>
        </w:rPr>
        <w:t>abl</w:t>
      </w:r>
      <w:proofErr w:type="spellEnd"/>
      <w:r>
        <w:rPr>
          <w:sz w:val="20"/>
        </w:rPr>
        <w:t xml:space="preserve"> → activation de la tyrosine kinase constitutive. Ceci inhibe l’</w:t>
      </w:r>
      <w:proofErr w:type="spellStart"/>
      <w:r>
        <w:rPr>
          <w:sz w:val="20"/>
        </w:rPr>
        <w:t>apoptose</w:t>
      </w:r>
      <w:proofErr w:type="spellEnd"/>
      <w:r>
        <w:rPr>
          <w:sz w:val="20"/>
        </w:rPr>
        <w:t xml:space="preserve"> des cellules avec lésions du DNA. Augmente également le compartiment granulocytaire, sans arrêter la différenciation des autres lignées (phase chronique de la maladie). Se traite maintenant </w:t>
      </w:r>
      <w:r w:rsidR="00D3791D">
        <w:rPr>
          <w:sz w:val="20"/>
        </w:rPr>
        <w:t xml:space="preserve">grâce au </w:t>
      </w:r>
      <w:proofErr w:type="spellStart"/>
      <w:r w:rsidR="00D3791D">
        <w:rPr>
          <w:sz w:val="20"/>
        </w:rPr>
        <w:t>gleevec</w:t>
      </w:r>
      <w:proofErr w:type="spellEnd"/>
      <w:r w:rsidR="00D3791D">
        <w:rPr>
          <w:sz w:val="20"/>
        </w:rPr>
        <w:t>, un bloqueur sélectif</w:t>
      </w:r>
      <w:r>
        <w:rPr>
          <w:sz w:val="20"/>
        </w:rPr>
        <w:t xml:space="preserve"> de cette </w:t>
      </w:r>
      <w:r w:rsidR="00D3791D">
        <w:rPr>
          <w:sz w:val="20"/>
        </w:rPr>
        <w:t>tyrosine-</w:t>
      </w:r>
      <w:r>
        <w:rPr>
          <w:sz w:val="20"/>
        </w:rPr>
        <w:t>kinase</w:t>
      </w:r>
      <w:r w:rsidR="00D3791D">
        <w:rPr>
          <w:sz w:val="20"/>
        </w:rPr>
        <w:t xml:space="preserve"> (</w:t>
      </w:r>
      <w:proofErr w:type="spellStart"/>
      <w:r w:rsidR="00D3791D">
        <w:rPr>
          <w:sz w:val="20"/>
        </w:rPr>
        <w:t>imatinib</w:t>
      </w:r>
      <w:proofErr w:type="spellEnd"/>
      <w:r w:rsidR="00D3791D">
        <w:rPr>
          <w:sz w:val="20"/>
        </w:rPr>
        <w:t xml:space="preserve">) induisant la mort des cellules exprimant </w:t>
      </w:r>
      <w:proofErr w:type="spellStart"/>
      <w:r w:rsidR="00D3791D">
        <w:rPr>
          <w:sz w:val="20"/>
        </w:rPr>
        <w:t>bcr</w:t>
      </w:r>
      <w:proofErr w:type="spellEnd"/>
      <w:r w:rsidR="00D3791D">
        <w:rPr>
          <w:sz w:val="20"/>
        </w:rPr>
        <w:t>-</w:t>
      </w:r>
      <w:proofErr w:type="spellStart"/>
      <w:r w:rsidR="00D3791D">
        <w:rPr>
          <w:sz w:val="20"/>
        </w:rPr>
        <w:t>abl</w:t>
      </w:r>
      <w:proofErr w:type="spellEnd"/>
      <w:r w:rsidR="00D3791D">
        <w:rPr>
          <w:sz w:val="20"/>
        </w:rPr>
        <w:t xml:space="preserve"> (in vitro et in vivo)</w:t>
      </w:r>
      <w:r>
        <w:rPr>
          <w:sz w:val="20"/>
        </w:rPr>
        <w:t>.</w:t>
      </w:r>
      <w:r w:rsidR="00876897">
        <w:rPr>
          <w:sz w:val="20"/>
        </w:rPr>
        <w:t xml:space="preserve"> Suivi : recherche de </w:t>
      </w:r>
      <w:proofErr w:type="spellStart"/>
      <w:r w:rsidR="00876897">
        <w:rPr>
          <w:sz w:val="20"/>
        </w:rPr>
        <w:t>bcr</w:t>
      </w:r>
      <w:proofErr w:type="spellEnd"/>
      <w:r w:rsidR="00876897">
        <w:rPr>
          <w:sz w:val="20"/>
        </w:rPr>
        <w:t>-</w:t>
      </w:r>
      <w:proofErr w:type="spellStart"/>
      <w:r w:rsidR="00876897">
        <w:rPr>
          <w:sz w:val="20"/>
        </w:rPr>
        <w:t>abl</w:t>
      </w:r>
      <w:proofErr w:type="spellEnd"/>
      <w:r w:rsidR="00876897">
        <w:rPr>
          <w:sz w:val="20"/>
        </w:rPr>
        <w:t xml:space="preserve"> dans le sang tous les 3-6 mois. Rémission dans les 12 mois = très forte chance de rémission persistante. Une réapparition suggère une résistance au traitement → administrer un inhibiteur de la tyrosine kinase de 2</w:t>
      </w:r>
      <w:r w:rsidR="00876897" w:rsidRPr="00876897">
        <w:rPr>
          <w:sz w:val="20"/>
          <w:vertAlign w:val="superscript"/>
        </w:rPr>
        <w:t>e</w:t>
      </w:r>
      <w:r w:rsidR="00876897">
        <w:rPr>
          <w:sz w:val="20"/>
        </w:rPr>
        <w:t xml:space="preserve"> ou 3</w:t>
      </w:r>
      <w:r w:rsidR="00876897" w:rsidRPr="00876897">
        <w:rPr>
          <w:sz w:val="20"/>
          <w:vertAlign w:val="superscript"/>
        </w:rPr>
        <w:t>e</w:t>
      </w:r>
      <w:r w:rsidR="00876897">
        <w:rPr>
          <w:sz w:val="20"/>
        </w:rPr>
        <w:t xml:space="preserve"> génération.</w:t>
      </w:r>
    </w:p>
    <w:sectPr w:rsidR="00D40988" w:rsidRPr="00D40988" w:rsidSect="00990C6B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4A05" w:rsidRDefault="004D4A05" w:rsidP="00990C6B">
      <w:pPr>
        <w:spacing w:after="0" w:line="240" w:lineRule="auto"/>
      </w:pPr>
      <w:r>
        <w:separator/>
      </w:r>
    </w:p>
  </w:endnote>
  <w:endnote w:type="continuationSeparator" w:id="0">
    <w:p w:rsidR="004D4A05" w:rsidRDefault="004D4A05" w:rsidP="00990C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-790668668"/>
      <w:docPartObj>
        <w:docPartGallery w:val="Page Numbers (Bottom of Page)"/>
        <w:docPartUnique/>
      </w:docPartObj>
    </w:sdtPr>
    <w:sdtContent>
      <w:p w:rsidR="00D40988" w:rsidRPr="00990C6B" w:rsidRDefault="001A2DF4">
        <w:pPr>
          <w:pStyle w:val="Footer"/>
          <w:jc w:val="right"/>
          <w:rPr>
            <w:sz w:val="18"/>
          </w:rPr>
        </w:pPr>
        <w:r w:rsidRPr="00990C6B">
          <w:rPr>
            <w:sz w:val="18"/>
          </w:rPr>
          <w:fldChar w:fldCharType="begin"/>
        </w:r>
        <w:r w:rsidR="00D40988" w:rsidRPr="00990C6B">
          <w:rPr>
            <w:sz w:val="18"/>
          </w:rPr>
          <w:instrText>PAGE   \* MERGEFORMAT</w:instrText>
        </w:r>
        <w:r w:rsidRPr="00990C6B">
          <w:rPr>
            <w:sz w:val="18"/>
          </w:rPr>
          <w:fldChar w:fldCharType="separate"/>
        </w:r>
        <w:r w:rsidR="00A40532" w:rsidRPr="00A40532">
          <w:rPr>
            <w:noProof/>
            <w:sz w:val="18"/>
            <w:lang w:val="fr-FR"/>
          </w:rPr>
          <w:t>1</w:t>
        </w:r>
        <w:r w:rsidRPr="00990C6B">
          <w:rPr>
            <w:sz w:val="18"/>
          </w:rPr>
          <w:fldChar w:fldCharType="end"/>
        </w:r>
      </w:p>
    </w:sdtContent>
  </w:sdt>
  <w:p w:rsidR="00D40988" w:rsidRPr="00990C6B" w:rsidRDefault="00D40988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4A05" w:rsidRDefault="004D4A05" w:rsidP="00990C6B">
      <w:pPr>
        <w:spacing w:after="0" w:line="240" w:lineRule="auto"/>
      </w:pPr>
      <w:r>
        <w:separator/>
      </w:r>
    </w:p>
  </w:footnote>
  <w:footnote w:type="continuationSeparator" w:id="0">
    <w:p w:rsidR="004D4A05" w:rsidRDefault="004D4A05" w:rsidP="00990C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60770"/>
    <w:multiLevelType w:val="hybridMultilevel"/>
    <w:tmpl w:val="F676A634"/>
    <w:lvl w:ilvl="0" w:tplc="5DA6293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2690475"/>
    <w:multiLevelType w:val="hybridMultilevel"/>
    <w:tmpl w:val="6E425966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AF31145"/>
    <w:multiLevelType w:val="hybridMultilevel"/>
    <w:tmpl w:val="5178CE0A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77CAF"/>
    <w:rsid w:val="000B59B5"/>
    <w:rsid w:val="000C6657"/>
    <w:rsid w:val="001A2DF4"/>
    <w:rsid w:val="001A68F9"/>
    <w:rsid w:val="001F28F8"/>
    <w:rsid w:val="00277CAF"/>
    <w:rsid w:val="0038534F"/>
    <w:rsid w:val="004104EA"/>
    <w:rsid w:val="004D4A05"/>
    <w:rsid w:val="00574537"/>
    <w:rsid w:val="00584A72"/>
    <w:rsid w:val="006C2047"/>
    <w:rsid w:val="00743A77"/>
    <w:rsid w:val="00876897"/>
    <w:rsid w:val="00883F5B"/>
    <w:rsid w:val="00922C35"/>
    <w:rsid w:val="00990C6B"/>
    <w:rsid w:val="00A40532"/>
    <w:rsid w:val="00AE5377"/>
    <w:rsid w:val="00AE5E7E"/>
    <w:rsid w:val="00B068E8"/>
    <w:rsid w:val="00C059B6"/>
    <w:rsid w:val="00C91633"/>
    <w:rsid w:val="00D3791D"/>
    <w:rsid w:val="00D40988"/>
    <w:rsid w:val="00F76C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9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0C6B"/>
  </w:style>
  <w:style w:type="paragraph" w:styleId="Footer">
    <w:name w:val="footer"/>
    <w:basedOn w:val="Normal"/>
    <w:link w:val="FooterCh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0C6B"/>
  </w:style>
  <w:style w:type="paragraph" w:styleId="ListParagraph">
    <w:name w:val="List Paragraph"/>
    <w:basedOn w:val="Normal"/>
    <w:uiPriority w:val="34"/>
    <w:qFormat/>
    <w:rsid w:val="00922C35"/>
    <w:pPr>
      <w:ind w:left="720"/>
      <w:contextualSpacing/>
    </w:pPr>
  </w:style>
  <w:style w:type="table" w:styleId="TableGrid">
    <w:name w:val="Table Grid"/>
    <w:basedOn w:val="TableNormal"/>
    <w:uiPriority w:val="59"/>
    <w:rsid w:val="00922C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90C6B"/>
  </w:style>
  <w:style w:type="paragraph" w:styleId="Pieddepage">
    <w:name w:val="footer"/>
    <w:basedOn w:val="Normal"/>
    <w:link w:val="PieddepageCar"/>
    <w:uiPriority w:val="99"/>
    <w:unhideWhenUsed/>
    <w:rsid w:val="00990C6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90C6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3453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Speakers</dc:creator>
  <cp:keywords/>
  <dc:description/>
  <cp:lastModifiedBy>Ashley</cp:lastModifiedBy>
  <cp:revision>15</cp:revision>
  <dcterms:created xsi:type="dcterms:W3CDTF">2014-04-14T14:26:00Z</dcterms:created>
  <dcterms:modified xsi:type="dcterms:W3CDTF">2014-09-12T13:01:00Z</dcterms:modified>
</cp:coreProperties>
</file>