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EFD" w:rsidRPr="000A4D00" w:rsidRDefault="000A4D00" w:rsidP="009F3B55">
      <w:pPr>
        <w:spacing w:line="240" w:lineRule="auto"/>
        <w:jc w:val="center"/>
        <w:rPr>
          <w:b/>
        </w:rPr>
      </w:pPr>
      <w:r w:rsidRPr="000A4D00">
        <w:rPr>
          <w:b/>
        </w:rPr>
        <w:t>Notion de mutation et hérédité mendélienne</w:t>
      </w:r>
    </w:p>
    <w:p w:rsidR="005508C6" w:rsidRPr="005508C6" w:rsidRDefault="005508C6" w:rsidP="00E04D7C">
      <w:pPr>
        <w:spacing w:line="240" w:lineRule="auto"/>
        <w:rPr>
          <w:sz w:val="20"/>
        </w:rPr>
      </w:pPr>
      <w:r>
        <w:rPr>
          <w:b/>
          <w:sz w:val="20"/>
          <w:u w:val="single"/>
        </w:rPr>
        <w:t>Introduction</w:t>
      </w:r>
      <w:r w:rsidRPr="005508C6">
        <w:rPr>
          <w:sz w:val="20"/>
        </w:rPr>
        <w:t> :</w:t>
      </w:r>
      <w:r>
        <w:rPr>
          <w:sz w:val="20"/>
        </w:rPr>
        <w:t xml:space="preserve"> i</w:t>
      </w:r>
      <w:r w:rsidRPr="005508C6">
        <w:rPr>
          <w:sz w:val="20"/>
        </w:rPr>
        <w:t>l y a actuellement 4095</w:t>
      </w:r>
      <w:r>
        <w:rPr>
          <w:sz w:val="20"/>
        </w:rPr>
        <w:t xml:space="preserve"> </w:t>
      </w:r>
      <w:r w:rsidRPr="005508C6">
        <w:rPr>
          <w:sz w:val="20"/>
        </w:rPr>
        <w:t>gènes connus -</w:t>
      </w:r>
      <w:r>
        <w:rPr>
          <w:sz w:val="20"/>
        </w:rPr>
        <w:t xml:space="preserve"> </w:t>
      </w:r>
      <w:r w:rsidRPr="005508C6">
        <w:rPr>
          <w:sz w:val="20"/>
        </w:rPr>
        <w:t>ayant des variant</w:t>
      </w:r>
      <w:r>
        <w:rPr>
          <w:sz w:val="20"/>
        </w:rPr>
        <w:t>e</w:t>
      </w:r>
      <w:r w:rsidRPr="005508C6">
        <w:rPr>
          <w:sz w:val="20"/>
        </w:rPr>
        <w:t>s</w:t>
      </w:r>
      <w:r>
        <w:rPr>
          <w:sz w:val="20"/>
        </w:rPr>
        <w:t xml:space="preserve"> </w:t>
      </w:r>
      <w:r w:rsidRPr="005508C6">
        <w:rPr>
          <w:sz w:val="20"/>
        </w:rPr>
        <w:t>associé</w:t>
      </w:r>
      <w:r>
        <w:rPr>
          <w:sz w:val="20"/>
        </w:rPr>
        <w:t xml:space="preserve">es à une maladie </w:t>
      </w:r>
      <w:r w:rsidRPr="005508C6">
        <w:rPr>
          <w:sz w:val="20"/>
        </w:rPr>
        <w:t>-</w:t>
      </w:r>
      <w:r>
        <w:rPr>
          <w:sz w:val="20"/>
        </w:rPr>
        <w:t xml:space="preserve"> </w:t>
      </w:r>
      <w:r w:rsidRPr="005508C6">
        <w:rPr>
          <w:sz w:val="20"/>
        </w:rPr>
        <w:t xml:space="preserve">répertoriés </w:t>
      </w:r>
      <w:r>
        <w:rPr>
          <w:sz w:val="20"/>
        </w:rPr>
        <w:t>d</w:t>
      </w:r>
      <w:r w:rsidRPr="005508C6">
        <w:rPr>
          <w:sz w:val="20"/>
        </w:rPr>
        <w:t>ans OMIM…, et davantage encore de non identifiés</w:t>
      </w:r>
      <w:r>
        <w:rPr>
          <w:sz w:val="20"/>
        </w:rPr>
        <w:t>. Cette discipline est en pleine expansion et en découvre de plus en plus.</w:t>
      </w:r>
      <w:r w:rsidR="00E04D7C">
        <w:rPr>
          <w:sz w:val="20"/>
        </w:rPr>
        <w:t xml:space="preserve"> Important de relever : u</w:t>
      </w:r>
      <w:r w:rsidR="00E04D7C" w:rsidRPr="00E04D7C">
        <w:rPr>
          <w:sz w:val="20"/>
        </w:rPr>
        <w:t>ne maladie congénit</w:t>
      </w:r>
      <w:r w:rsidR="00E04D7C">
        <w:rPr>
          <w:sz w:val="20"/>
        </w:rPr>
        <w:t>ale est présente à la naissance (</w:t>
      </w:r>
      <w:r w:rsidR="00E04D7C" w:rsidRPr="00E04D7C">
        <w:rPr>
          <w:sz w:val="20"/>
        </w:rPr>
        <w:t xml:space="preserve">peut être </w:t>
      </w:r>
      <w:r w:rsidR="00E04D7C">
        <w:rPr>
          <w:sz w:val="20"/>
        </w:rPr>
        <w:t>g</w:t>
      </w:r>
      <w:r w:rsidR="00E04D7C" w:rsidRPr="00E04D7C">
        <w:rPr>
          <w:sz w:val="20"/>
        </w:rPr>
        <w:t>énétique ou n</w:t>
      </w:r>
      <w:r w:rsidR="00E04D7C">
        <w:rPr>
          <w:sz w:val="20"/>
        </w:rPr>
        <w:t>on). D</w:t>
      </w:r>
      <w:r w:rsidR="00E04D7C" w:rsidRPr="00E04D7C">
        <w:rPr>
          <w:sz w:val="20"/>
        </w:rPr>
        <w:t xml:space="preserve">e nombreuses maladies génétiques ne sont pas congénitales et ne s'expriment qu'au cours </w:t>
      </w:r>
      <w:r w:rsidR="00E04D7C">
        <w:rPr>
          <w:sz w:val="20"/>
        </w:rPr>
        <w:t>d</w:t>
      </w:r>
      <w:r w:rsidR="00E04D7C" w:rsidRPr="00E04D7C">
        <w:rPr>
          <w:sz w:val="20"/>
        </w:rPr>
        <w:t xml:space="preserve">e </w:t>
      </w:r>
      <w:r w:rsidR="00E04D7C">
        <w:rPr>
          <w:sz w:val="20"/>
        </w:rPr>
        <w:t xml:space="preserve">la vie; on estime par exemple </w:t>
      </w:r>
      <w:r w:rsidR="00E04D7C" w:rsidRPr="00E04D7C">
        <w:rPr>
          <w:sz w:val="20"/>
        </w:rPr>
        <w:t xml:space="preserve">que 10% des maladies </w:t>
      </w:r>
      <w:proofErr w:type="spellStart"/>
      <w:r w:rsidR="00E04D7C">
        <w:rPr>
          <w:sz w:val="20"/>
        </w:rPr>
        <w:t>monogéniques</w:t>
      </w:r>
      <w:proofErr w:type="spellEnd"/>
      <w:r w:rsidR="00E04D7C">
        <w:rPr>
          <w:sz w:val="20"/>
        </w:rPr>
        <w:t xml:space="preserve"> sont découvertes </w:t>
      </w:r>
      <w:r w:rsidR="00E04D7C" w:rsidRPr="00E04D7C">
        <w:rPr>
          <w:sz w:val="20"/>
        </w:rPr>
        <w:t>à l'âge adulte.</w:t>
      </w:r>
    </w:p>
    <w:p w:rsidR="000A4D00" w:rsidRDefault="000A4D00" w:rsidP="009F3B55">
      <w:pPr>
        <w:spacing w:line="240" w:lineRule="auto"/>
        <w:rPr>
          <w:sz w:val="20"/>
        </w:rPr>
      </w:pPr>
      <w:r w:rsidRPr="005508C6">
        <w:rPr>
          <w:b/>
          <w:sz w:val="20"/>
          <w:u w:val="single"/>
        </w:rPr>
        <w:t>Organisation du matériel génétique</w:t>
      </w:r>
      <w:r w:rsidRPr="005508C6">
        <w:rPr>
          <w:b/>
          <w:sz w:val="20"/>
        </w:rPr>
        <w:t> </w:t>
      </w:r>
      <w:r w:rsidRPr="005508C6">
        <w:rPr>
          <w:sz w:val="20"/>
        </w:rPr>
        <w:t>:</w:t>
      </w:r>
      <w:r w:rsidR="00031EBA">
        <w:rPr>
          <w:sz w:val="20"/>
        </w:rPr>
        <w:t xml:space="preserve"> la structure de l’ADN reflète sa fonction, à savoir d’assurer la transmission du matériel génétique d’une génération à l’autre.</w:t>
      </w:r>
    </w:p>
    <w:p w:rsidR="005508C6" w:rsidRDefault="005508C6" w:rsidP="009F3B55">
      <w:pPr>
        <w:spacing w:after="0" w:line="240" w:lineRule="auto"/>
        <w:rPr>
          <w:sz w:val="20"/>
        </w:rPr>
      </w:pPr>
      <w:r w:rsidRPr="005508C6">
        <w:rPr>
          <w:b/>
          <w:sz w:val="20"/>
        </w:rPr>
        <w:t>Chromosomes</w:t>
      </w:r>
      <w:r>
        <w:rPr>
          <w:sz w:val="20"/>
        </w:rPr>
        <w:t> :</w:t>
      </w:r>
    </w:p>
    <w:p w:rsidR="00051280" w:rsidRPr="00051280" w:rsidRDefault="00051280" w:rsidP="009F3B55">
      <w:pPr>
        <w:pStyle w:val="ListParagraph"/>
        <w:numPr>
          <w:ilvl w:val="0"/>
          <w:numId w:val="1"/>
        </w:numPr>
        <w:spacing w:after="0" w:line="240" w:lineRule="auto"/>
        <w:rPr>
          <w:sz w:val="20"/>
        </w:rPr>
      </w:pPr>
      <w:r w:rsidRPr="00051280">
        <w:rPr>
          <w:sz w:val="20"/>
        </w:rPr>
        <w:t>46 chromosomes 2n (diploïdie</w:t>
      </w:r>
      <w:r>
        <w:rPr>
          <w:sz w:val="20"/>
        </w:rPr>
        <w:t> : chaque chromosome en double exemplaire, une copie maternelle et une copie paternelle</w:t>
      </w:r>
      <w:r w:rsidRPr="00051280">
        <w:rPr>
          <w:sz w:val="20"/>
        </w:rPr>
        <w:t>)</w:t>
      </w:r>
    </w:p>
    <w:p w:rsidR="00051280" w:rsidRPr="00051280" w:rsidRDefault="00051280" w:rsidP="009F3B55">
      <w:pPr>
        <w:pStyle w:val="ListParagraph"/>
        <w:numPr>
          <w:ilvl w:val="0"/>
          <w:numId w:val="1"/>
        </w:numPr>
        <w:spacing w:line="240" w:lineRule="auto"/>
        <w:rPr>
          <w:sz w:val="20"/>
        </w:rPr>
      </w:pPr>
      <w:r w:rsidRPr="00051280">
        <w:rPr>
          <w:sz w:val="20"/>
        </w:rPr>
        <w:t xml:space="preserve">22 paires d’autosomes, une </w:t>
      </w:r>
      <w:r>
        <w:rPr>
          <w:sz w:val="20"/>
        </w:rPr>
        <w:t>pa</w:t>
      </w:r>
      <w:r w:rsidRPr="00051280">
        <w:rPr>
          <w:sz w:val="20"/>
        </w:rPr>
        <w:t>ire de chromosomes sexuels</w:t>
      </w:r>
      <w:r>
        <w:rPr>
          <w:sz w:val="20"/>
        </w:rPr>
        <w:t xml:space="preserve"> (</w:t>
      </w:r>
      <w:proofErr w:type="spellStart"/>
      <w:r>
        <w:rPr>
          <w:sz w:val="20"/>
        </w:rPr>
        <w:t>gonosomes</w:t>
      </w:r>
      <w:proofErr w:type="spellEnd"/>
      <w:r>
        <w:rPr>
          <w:sz w:val="20"/>
        </w:rPr>
        <w:t>)</w:t>
      </w:r>
      <w:r w:rsidRPr="00051280">
        <w:rPr>
          <w:sz w:val="20"/>
        </w:rPr>
        <w:t xml:space="preserve"> : X et Y</w:t>
      </w:r>
    </w:p>
    <w:p w:rsidR="00051280" w:rsidRPr="00051280" w:rsidRDefault="0010423B" w:rsidP="009F3B55">
      <w:pPr>
        <w:pStyle w:val="ListParagraph"/>
        <w:numPr>
          <w:ilvl w:val="0"/>
          <w:numId w:val="1"/>
        </w:numPr>
        <w:spacing w:line="240" w:lineRule="auto"/>
        <w:rPr>
          <w:sz w:val="20"/>
        </w:rPr>
      </w:pPr>
      <w:r>
        <w:rPr>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254.25pt;margin-top:20.25pt;width:247.15pt;height:85.95pt;z-index:251658240">
            <v:textbox>
              <w:txbxContent>
                <w:p w:rsidR="00BE2DB6" w:rsidRPr="000D3B2B" w:rsidRDefault="00BE2DB6" w:rsidP="00B2414C">
                  <w:pPr>
                    <w:spacing w:after="0"/>
                    <w:rPr>
                      <w:sz w:val="18"/>
                    </w:rPr>
                  </w:pPr>
                  <w:r w:rsidRPr="000D3B2B">
                    <w:rPr>
                      <w:sz w:val="18"/>
                    </w:rPr>
                    <w:t xml:space="preserve">Rappel sur </w:t>
                  </w:r>
                  <w:r>
                    <w:rPr>
                      <w:sz w:val="18"/>
                    </w:rPr>
                    <w:t xml:space="preserve">différentes </w:t>
                  </w:r>
                  <w:r w:rsidRPr="000D3B2B">
                    <w:rPr>
                      <w:sz w:val="18"/>
                    </w:rPr>
                    <w:t>structure</w:t>
                  </w:r>
                  <w:r>
                    <w:rPr>
                      <w:sz w:val="18"/>
                    </w:rPr>
                    <w:t>s</w:t>
                  </w:r>
                  <w:r w:rsidRPr="000D3B2B">
                    <w:rPr>
                      <w:sz w:val="18"/>
                    </w:rPr>
                    <w:t xml:space="preserve"> </w:t>
                  </w:r>
                  <w:r>
                    <w:rPr>
                      <w:sz w:val="18"/>
                    </w:rPr>
                    <w:t xml:space="preserve">possibles </w:t>
                  </w:r>
                  <w:r w:rsidRPr="000D3B2B">
                    <w:rPr>
                      <w:sz w:val="18"/>
                    </w:rPr>
                    <w:t>des chromosomes :</w:t>
                  </w:r>
                </w:p>
                <w:p w:rsidR="00BE2DB6" w:rsidRPr="00124101" w:rsidRDefault="00BE2DB6" w:rsidP="00B2414C">
                  <w:pPr>
                    <w:pStyle w:val="ListParagraph"/>
                    <w:numPr>
                      <w:ilvl w:val="0"/>
                      <w:numId w:val="6"/>
                    </w:numPr>
                    <w:spacing w:after="0"/>
                    <w:ind w:left="426"/>
                    <w:rPr>
                      <w:sz w:val="16"/>
                      <w:szCs w:val="16"/>
                    </w:rPr>
                  </w:pPr>
                  <w:r w:rsidRPr="00124101">
                    <w:rPr>
                      <w:rFonts w:cs="Arial"/>
                      <w:b/>
                      <w:bCs/>
                      <w:color w:val="252525"/>
                      <w:sz w:val="16"/>
                      <w:szCs w:val="16"/>
                      <w:shd w:val="clear" w:color="auto" w:fill="FFFFFF"/>
                    </w:rPr>
                    <w:t xml:space="preserve">Métacentrique : </w:t>
                  </w:r>
                  <w:r w:rsidRPr="00124101">
                    <w:rPr>
                      <w:rFonts w:cs="Arial"/>
                      <w:bCs/>
                      <w:color w:val="252525"/>
                      <w:sz w:val="16"/>
                      <w:szCs w:val="16"/>
                      <w:shd w:val="clear" w:color="auto" w:fill="FFFFFF"/>
                    </w:rPr>
                    <w:t>centromère en position centrale</w:t>
                  </w:r>
                </w:p>
                <w:p w:rsidR="00BE2DB6" w:rsidRPr="00124101" w:rsidRDefault="00BE2DB6" w:rsidP="000D3B2B">
                  <w:pPr>
                    <w:pStyle w:val="ListParagraph"/>
                    <w:numPr>
                      <w:ilvl w:val="0"/>
                      <w:numId w:val="6"/>
                    </w:numPr>
                    <w:ind w:left="426"/>
                    <w:rPr>
                      <w:sz w:val="16"/>
                      <w:szCs w:val="16"/>
                    </w:rPr>
                  </w:pPr>
                  <w:proofErr w:type="spellStart"/>
                  <w:r w:rsidRPr="00124101">
                    <w:rPr>
                      <w:rFonts w:cs="Arial"/>
                      <w:b/>
                      <w:bCs/>
                      <w:color w:val="252525"/>
                      <w:sz w:val="16"/>
                      <w:szCs w:val="16"/>
                      <w:shd w:val="clear" w:color="auto" w:fill="FFFFFF"/>
                    </w:rPr>
                    <w:t>Submétacentrique</w:t>
                  </w:r>
                  <w:proofErr w:type="spellEnd"/>
                  <w:r w:rsidRPr="00124101">
                    <w:rPr>
                      <w:rFonts w:cs="Arial"/>
                      <w:b/>
                      <w:bCs/>
                      <w:color w:val="252525"/>
                      <w:sz w:val="16"/>
                      <w:szCs w:val="16"/>
                      <w:shd w:val="clear" w:color="auto" w:fill="FFFFFF"/>
                    </w:rPr>
                    <w:t> :</w:t>
                  </w:r>
                  <w:r w:rsidR="00124101" w:rsidRPr="00124101">
                    <w:rPr>
                      <w:rFonts w:cs="Arial"/>
                      <w:b/>
                      <w:bCs/>
                      <w:color w:val="252525"/>
                      <w:sz w:val="16"/>
                      <w:szCs w:val="16"/>
                      <w:shd w:val="clear" w:color="auto" w:fill="FFFFFF"/>
                    </w:rPr>
                    <w:t xml:space="preserve"> </w:t>
                  </w:r>
                  <w:r w:rsidRPr="00124101">
                    <w:rPr>
                      <w:rFonts w:cs="Arial"/>
                      <w:bCs/>
                      <w:color w:val="252525"/>
                      <w:sz w:val="16"/>
                      <w:szCs w:val="16"/>
                      <w:shd w:val="clear" w:color="auto" w:fill="FFFFFF"/>
                    </w:rPr>
                    <w:t>centromère presque en position centrale.</w:t>
                  </w:r>
                </w:p>
                <w:p w:rsidR="00BE2DB6" w:rsidRPr="00124101" w:rsidRDefault="00BE2DB6" w:rsidP="000D3B2B">
                  <w:pPr>
                    <w:pStyle w:val="ListParagraph"/>
                    <w:numPr>
                      <w:ilvl w:val="0"/>
                      <w:numId w:val="6"/>
                    </w:numPr>
                    <w:ind w:left="426"/>
                    <w:rPr>
                      <w:sz w:val="16"/>
                      <w:szCs w:val="16"/>
                    </w:rPr>
                  </w:pPr>
                  <w:r w:rsidRPr="00124101">
                    <w:rPr>
                      <w:rFonts w:cs="Arial"/>
                      <w:b/>
                      <w:bCs/>
                      <w:color w:val="252525"/>
                      <w:sz w:val="16"/>
                      <w:szCs w:val="16"/>
                      <w:shd w:val="clear" w:color="auto" w:fill="FFFFFF"/>
                    </w:rPr>
                    <w:t xml:space="preserve">Acrocentrique : </w:t>
                  </w:r>
                  <w:r w:rsidRPr="00124101">
                    <w:rPr>
                      <w:rFonts w:cs="Arial"/>
                      <w:color w:val="252525"/>
                      <w:sz w:val="16"/>
                      <w:szCs w:val="16"/>
                      <w:shd w:val="clear" w:color="auto" w:fill="FFFFFF"/>
                    </w:rPr>
                    <w:t>centromère plus proche d’une des extrémités</w:t>
                  </w:r>
                </w:p>
                <w:p w:rsidR="00BE2DB6" w:rsidRPr="00124101" w:rsidRDefault="00BE2DB6" w:rsidP="000D3B2B">
                  <w:pPr>
                    <w:pStyle w:val="ListParagraph"/>
                    <w:numPr>
                      <w:ilvl w:val="0"/>
                      <w:numId w:val="6"/>
                    </w:numPr>
                    <w:ind w:left="426"/>
                    <w:rPr>
                      <w:sz w:val="16"/>
                      <w:szCs w:val="16"/>
                    </w:rPr>
                  </w:pPr>
                  <w:proofErr w:type="spellStart"/>
                  <w:r w:rsidRPr="00124101">
                    <w:rPr>
                      <w:rFonts w:cs="Arial"/>
                      <w:b/>
                      <w:bCs/>
                      <w:color w:val="252525"/>
                      <w:sz w:val="16"/>
                      <w:szCs w:val="16"/>
                      <w:shd w:val="clear" w:color="auto" w:fill="FFFFFF"/>
                    </w:rPr>
                    <w:t>Télocentrique</w:t>
                  </w:r>
                  <w:proofErr w:type="spellEnd"/>
                  <w:r w:rsidRPr="00124101">
                    <w:rPr>
                      <w:rFonts w:cs="Arial"/>
                      <w:b/>
                      <w:bCs/>
                      <w:color w:val="252525"/>
                      <w:sz w:val="16"/>
                      <w:szCs w:val="16"/>
                      <w:shd w:val="clear" w:color="auto" w:fill="FFFFFF"/>
                    </w:rPr>
                    <w:t> :</w:t>
                  </w:r>
                  <w:r w:rsidRPr="00124101">
                    <w:rPr>
                      <w:rFonts w:cs="Arial"/>
                      <w:bCs/>
                      <w:color w:val="252525"/>
                      <w:sz w:val="16"/>
                      <w:szCs w:val="16"/>
                      <w:shd w:val="clear" w:color="auto" w:fill="FFFFFF"/>
                    </w:rPr>
                    <w:t xml:space="preserve"> centromère</w:t>
                  </w:r>
                  <w:r w:rsidRPr="00124101">
                    <w:rPr>
                      <w:rFonts w:cs="Arial"/>
                      <w:color w:val="252525"/>
                      <w:sz w:val="16"/>
                      <w:szCs w:val="16"/>
                      <w:shd w:val="clear" w:color="auto" w:fill="FFFFFF"/>
                    </w:rPr>
                    <w:t xml:space="preserve"> très proche de ses télomères.</w:t>
                  </w:r>
                </w:p>
                <w:p w:rsidR="00BE2DB6" w:rsidRPr="00124101" w:rsidRDefault="00BE2DB6" w:rsidP="000D3B2B">
                  <w:pPr>
                    <w:pStyle w:val="ListParagraph"/>
                    <w:numPr>
                      <w:ilvl w:val="0"/>
                      <w:numId w:val="6"/>
                    </w:numPr>
                    <w:ind w:left="426"/>
                    <w:rPr>
                      <w:sz w:val="16"/>
                      <w:szCs w:val="16"/>
                    </w:rPr>
                  </w:pPr>
                  <w:r w:rsidRPr="00124101">
                    <w:rPr>
                      <w:rFonts w:cs="Arial"/>
                      <w:b/>
                      <w:bCs/>
                      <w:color w:val="252525"/>
                      <w:sz w:val="16"/>
                      <w:szCs w:val="16"/>
                      <w:shd w:val="clear" w:color="auto" w:fill="FFFFFF"/>
                    </w:rPr>
                    <w:t xml:space="preserve">Acentrique : </w:t>
                  </w:r>
                  <w:r w:rsidRPr="00124101">
                    <w:rPr>
                      <w:rFonts w:cs="Arial"/>
                      <w:bCs/>
                      <w:color w:val="252525"/>
                      <w:sz w:val="16"/>
                      <w:szCs w:val="16"/>
                      <w:shd w:val="clear" w:color="auto" w:fill="FFFFFF"/>
                    </w:rPr>
                    <w:t>perte de centromère</w:t>
                  </w:r>
                </w:p>
                <w:p w:rsidR="00BE2DB6" w:rsidRPr="00124101" w:rsidRDefault="00BE2DB6" w:rsidP="000D3B2B">
                  <w:pPr>
                    <w:pStyle w:val="ListParagraph"/>
                    <w:numPr>
                      <w:ilvl w:val="0"/>
                      <w:numId w:val="6"/>
                    </w:numPr>
                    <w:ind w:left="426"/>
                    <w:rPr>
                      <w:sz w:val="16"/>
                      <w:szCs w:val="16"/>
                    </w:rPr>
                  </w:pPr>
                  <w:proofErr w:type="spellStart"/>
                  <w:r w:rsidRPr="00124101">
                    <w:rPr>
                      <w:rFonts w:cs="Arial"/>
                      <w:b/>
                      <w:bCs/>
                      <w:color w:val="252525"/>
                      <w:sz w:val="16"/>
                      <w:szCs w:val="16"/>
                      <w:shd w:val="clear" w:color="auto" w:fill="FFFFFF"/>
                    </w:rPr>
                    <w:t>Dicentrique</w:t>
                  </w:r>
                  <w:proofErr w:type="spellEnd"/>
                  <w:r w:rsidRPr="00124101">
                    <w:rPr>
                      <w:rFonts w:cs="Arial"/>
                      <w:b/>
                      <w:bCs/>
                      <w:color w:val="252525"/>
                      <w:sz w:val="16"/>
                      <w:szCs w:val="16"/>
                      <w:shd w:val="clear" w:color="auto" w:fill="FFFFFF"/>
                    </w:rPr>
                    <w:t> :</w:t>
                  </w:r>
                  <w:r w:rsidRPr="00124101">
                    <w:rPr>
                      <w:rFonts w:cs="Arial"/>
                      <w:bCs/>
                      <w:color w:val="252525"/>
                      <w:sz w:val="16"/>
                      <w:szCs w:val="16"/>
                      <w:shd w:val="clear" w:color="auto" w:fill="FFFFFF"/>
                    </w:rPr>
                    <w:t xml:space="preserve"> double centromère</w:t>
                  </w:r>
                </w:p>
              </w:txbxContent>
            </v:textbox>
          </v:shape>
        </w:pict>
      </w:r>
      <w:r w:rsidR="00051280" w:rsidRPr="00051280">
        <w:rPr>
          <w:sz w:val="20"/>
        </w:rPr>
        <w:t>Analyse des chromosomes par le caryotype</w:t>
      </w:r>
      <w:r w:rsidR="00031EBA">
        <w:rPr>
          <w:sz w:val="20"/>
        </w:rPr>
        <w:t xml:space="preserve"> (résolution environ 3-5 Mb)</w:t>
      </w:r>
    </w:p>
    <w:p w:rsidR="005508C6" w:rsidRDefault="005508C6" w:rsidP="009F3B55">
      <w:pPr>
        <w:spacing w:after="0" w:line="240" w:lineRule="auto"/>
        <w:rPr>
          <w:sz w:val="20"/>
        </w:rPr>
      </w:pPr>
      <w:r w:rsidRPr="005508C6">
        <w:rPr>
          <w:b/>
          <w:sz w:val="20"/>
        </w:rPr>
        <w:t>ADN</w:t>
      </w:r>
      <w:r>
        <w:rPr>
          <w:sz w:val="20"/>
        </w:rPr>
        <w:t> :</w:t>
      </w:r>
    </w:p>
    <w:p w:rsidR="00051280" w:rsidRPr="00051280" w:rsidRDefault="00051280" w:rsidP="009F3B55">
      <w:pPr>
        <w:pStyle w:val="ListParagraph"/>
        <w:numPr>
          <w:ilvl w:val="0"/>
          <w:numId w:val="1"/>
        </w:numPr>
        <w:spacing w:after="0" w:line="240" w:lineRule="auto"/>
        <w:rPr>
          <w:sz w:val="20"/>
        </w:rPr>
      </w:pPr>
      <w:r w:rsidRPr="00051280">
        <w:rPr>
          <w:sz w:val="20"/>
        </w:rPr>
        <w:t>3</w:t>
      </w:r>
      <w:r>
        <w:rPr>
          <w:sz w:val="20"/>
        </w:rPr>
        <w:t>x</w:t>
      </w:r>
      <w:r w:rsidRPr="00051280">
        <w:rPr>
          <w:sz w:val="20"/>
        </w:rPr>
        <w:t>10</w:t>
      </w:r>
      <w:r w:rsidRPr="00051280">
        <w:rPr>
          <w:sz w:val="20"/>
          <w:vertAlign w:val="superscript"/>
        </w:rPr>
        <w:t>9</w:t>
      </w:r>
      <w:r w:rsidRPr="00051280">
        <w:rPr>
          <w:sz w:val="20"/>
        </w:rPr>
        <w:t xml:space="preserve"> </w:t>
      </w:r>
      <w:proofErr w:type="spellStart"/>
      <w:r w:rsidRPr="00051280">
        <w:rPr>
          <w:sz w:val="20"/>
        </w:rPr>
        <w:t>pb</w:t>
      </w:r>
      <w:proofErr w:type="spellEnd"/>
      <w:r w:rsidRPr="00051280">
        <w:rPr>
          <w:sz w:val="20"/>
        </w:rPr>
        <w:t xml:space="preserve"> / génome haploïde</w:t>
      </w:r>
    </w:p>
    <w:p w:rsidR="00051280" w:rsidRPr="00051280" w:rsidRDefault="00051280" w:rsidP="009F3B55">
      <w:pPr>
        <w:pStyle w:val="ListParagraph"/>
        <w:numPr>
          <w:ilvl w:val="0"/>
          <w:numId w:val="1"/>
        </w:numPr>
        <w:spacing w:line="240" w:lineRule="auto"/>
        <w:rPr>
          <w:sz w:val="20"/>
        </w:rPr>
      </w:pPr>
      <w:r w:rsidRPr="00051280">
        <w:rPr>
          <w:sz w:val="20"/>
        </w:rPr>
        <w:t>Contient environ 20’000 gènes</w:t>
      </w:r>
    </w:p>
    <w:p w:rsidR="000D3B2B" w:rsidRDefault="00051280" w:rsidP="009F3B55">
      <w:pPr>
        <w:pStyle w:val="ListParagraph"/>
        <w:numPr>
          <w:ilvl w:val="0"/>
          <w:numId w:val="1"/>
        </w:numPr>
        <w:spacing w:line="240" w:lineRule="auto"/>
        <w:rPr>
          <w:sz w:val="20"/>
        </w:rPr>
      </w:pPr>
      <w:r w:rsidRPr="00051280">
        <w:rPr>
          <w:sz w:val="20"/>
        </w:rPr>
        <w:t>Analyse par des techniques de biologie moléculaire</w:t>
      </w:r>
    </w:p>
    <w:p w:rsidR="00051280" w:rsidRPr="00051280" w:rsidRDefault="00031EBA" w:rsidP="009F3B55">
      <w:pPr>
        <w:pStyle w:val="ListParagraph"/>
        <w:spacing w:line="240" w:lineRule="auto"/>
        <w:rPr>
          <w:sz w:val="20"/>
        </w:rPr>
      </w:pPr>
      <w:r>
        <w:rPr>
          <w:sz w:val="20"/>
        </w:rPr>
        <w:t>(résolution environ 1 nucléotide)</w:t>
      </w:r>
    </w:p>
    <w:p w:rsidR="00754324" w:rsidRDefault="00754324" w:rsidP="00C87740">
      <w:pPr>
        <w:spacing w:after="0" w:line="240" w:lineRule="auto"/>
        <w:rPr>
          <w:sz w:val="20"/>
        </w:rPr>
      </w:pPr>
      <w:r w:rsidRPr="00C87740">
        <w:rPr>
          <w:b/>
          <w:sz w:val="20"/>
        </w:rPr>
        <w:t>Transmission du génome nucléaire</w:t>
      </w:r>
      <w:r w:rsidRPr="00754324">
        <w:rPr>
          <w:sz w:val="20"/>
        </w:rPr>
        <w:t> :</w:t>
      </w:r>
    </w:p>
    <w:p w:rsidR="00754324" w:rsidRDefault="00754324" w:rsidP="00754324">
      <w:pPr>
        <w:pStyle w:val="ListParagraph"/>
        <w:numPr>
          <w:ilvl w:val="0"/>
          <w:numId w:val="1"/>
        </w:numPr>
        <w:spacing w:line="240" w:lineRule="auto"/>
        <w:rPr>
          <w:sz w:val="20"/>
        </w:rPr>
      </w:pPr>
      <w:r>
        <w:rPr>
          <w:sz w:val="20"/>
        </w:rPr>
        <w:t>De cellule mère en cellule fille : mitose</w:t>
      </w:r>
    </w:p>
    <w:p w:rsidR="00754324" w:rsidRDefault="00C87740" w:rsidP="00754324">
      <w:pPr>
        <w:pStyle w:val="ListParagraph"/>
        <w:numPr>
          <w:ilvl w:val="0"/>
          <w:numId w:val="1"/>
        </w:numPr>
        <w:spacing w:line="240" w:lineRule="auto"/>
        <w:rPr>
          <w:sz w:val="20"/>
        </w:rPr>
      </w:pPr>
      <w:r>
        <w:rPr>
          <w:sz w:val="20"/>
        </w:rPr>
        <w:t>De génération en génération : méiose, suivie de fécondation</w:t>
      </w:r>
    </w:p>
    <w:p w:rsidR="00E04D7C" w:rsidRPr="00E04D7C" w:rsidRDefault="00E04D7C" w:rsidP="00E04D7C">
      <w:pPr>
        <w:spacing w:line="240" w:lineRule="auto"/>
        <w:rPr>
          <w:sz w:val="20"/>
        </w:rPr>
      </w:pPr>
      <w:r w:rsidRPr="00E04D7C">
        <w:rPr>
          <w:b/>
          <w:sz w:val="20"/>
        </w:rPr>
        <w:t>Définitions</w:t>
      </w:r>
      <w:r>
        <w:rPr>
          <w:sz w:val="20"/>
        </w:rPr>
        <w:t> : l</w:t>
      </w:r>
      <w:r w:rsidRPr="00E04D7C">
        <w:rPr>
          <w:sz w:val="20"/>
        </w:rPr>
        <w:t>e gène</w:t>
      </w:r>
      <w:r>
        <w:rPr>
          <w:sz w:val="20"/>
        </w:rPr>
        <w:t xml:space="preserve"> </w:t>
      </w:r>
      <w:r w:rsidRPr="00E04D7C">
        <w:rPr>
          <w:sz w:val="20"/>
        </w:rPr>
        <w:t>= unité d'information génétique</w:t>
      </w:r>
      <w:r>
        <w:rPr>
          <w:sz w:val="20"/>
        </w:rPr>
        <w:t xml:space="preserve">. </w:t>
      </w:r>
      <w:r w:rsidRPr="00E04D7C">
        <w:rPr>
          <w:sz w:val="20"/>
        </w:rPr>
        <w:t>Locus</w:t>
      </w:r>
      <w:r>
        <w:rPr>
          <w:sz w:val="20"/>
        </w:rPr>
        <w:t xml:space="preserve"> </w:t>
      </w:r>
      <w:r w:rsidRPr="00E04D7C">
        <w:rPr>
          <w:sz w:val="20"/>
        </w:rPr>
        <w:t xml:space="preserve">= site physique où se situe un gène sur le </w:t>
      </w:r>
      <w:r>
        <w:rPr>
          <w:sz w:val="20"/>
        </w:rPr>
        <w:t>c</w:t>
      </w:r>
      <w:r w:rsidRPr="00E04D7C">
        <w:rPr>
          <w:sz w:val="20"/>
        </w:rPr>
        <w:t>hromosome</w:t>
      </w:r>
      <w:r>
        <w:rPr>
          <w:sz w:val="20"/>
        </w:rPr>
        <w:t xml:space="preserve">. </w:t>
      </w:r>
      <w:r w:rsidRPr="00E04D7C">
        <w:rPr>
          <w:sz w:val="20"/>
        </w:rPr>
        <w:t>Allèles</w:t>
      </w:r>
      <w:r>
        <w:rPr>
          <w:sz w:val="20"/>
        </w:rPr>
        <w:t xml:space="preserve"> </w:t>
      </w:r>
      <w:r w:rsidRPr="00E04D7C">
        <w:rPr>
          <w:sz w:val="20"/>
        </w:rPr>
        <w:t>= différentes formes que peut prendre un même gène, à</w:t>
      </w:r>
      <w:r>
        <w:rPr>
          <w:sz w:val="20"/>
        </w:rPr>
        <w:t xml:space="preserve"> </w:t>
      </w:r>
      <w:r w:rsidRPr="00E04D7C">
        <w:rPr>
          <w:sz w:val="20"/>
        </w:rPr>
        <w:t>un locus donné</w:t>
      </w:r>
      <w:r>
        <w:rPr>
          <w:sz w:val="20"/>
        </w:rPr>
        <w:t>.</w:t>
      </w:r>
    </w:p>
    <w:p w:rsidR="009F3B55" w:rsidRPr="003D6701" w:rsidRDefault="000A4D00" w:rsidP="003D6701">
      <w:pPr>
        <w:spacing w:line="240" w:lineRule="auto"/>
        <w:rPr>
          <w:sz w:val="20"/>
        </w:rPr>
      </w:pPr>
      <w:r w:rsidRPr="005508C6">
        <w:rPr>
          <w:b/>
          <w:sz w:val="20"/>
          <w:u w:val="single"/>
        </w:rPr>
        <w:t>Mutation génique et chromosomique</w:t>
      </w:r>
      <w:r w:rsidRPr="005508C6">
        <w:rPr>
          <w:sz w:val="20"/>
        </w:rPr>
        <w:t> :</w:t>
      </w:r>
      <w:r w:rsidR="00E04D7C">
        <w:rPr>
          <w:sz w:val="20"/>
        </w:rPr>
        <w:t xml:space="preserve"> m</w:t>
      </w:r>
      <w:r w:rsidR="009F3B55" w:rsidRPr="009F3B55">
        <w:rPr>
          <w:sz w:val="20"/>
        </w:rPr>
        <w:t>utation n'est pas synonyme de pathologie</w:t>
      </w:r>
      <w:r w:rsidR="003D6701">
        <w:rPr>
          <w:sz w:val="20"/>
        </w:rPr>
        <w:t> !</w:t>
      </w:r>
      <w:r w:rsidR="009F3B55">
        <w:rPr>
          <w:sz w:val="20"/>
        </w:rPr>
        <w:t xml:space="preserve"> </w:t>
      </w:r>
      <w:r w:rsidR="009F3B55" w:rsidRPr="009F3B55">
        <w:rPr>
          <w:sz w:val="20"/>
        </w:rPr>
        <w:t xml:space="preserve">Une mutation peut n'avoir aucune conséquence sur le phénotype (mutation silencieuse ou polymorphisme génétique déterminant la « carte d’identité génétique » spécifique de </w:t>
      </w:r>
      <w:r w:rsidR="009F3B55">
        <w:rPr>
          <w:sz w:val="20"/>
        </w:rPr>
        <w:t>c</w:t>
      </w:r>
      <w:r w:rsidR="009F3B55" w:rsidRPr="009F3B55">
        <w:rPr>
          <w:sz w:val="20"/>
        </w:rPr>
        <w:t>haque individu)</w:t>
      </w:r>
      <w:r w:rsidR="009F3B55">
        <w:rPr>
          <w:sz w:val="20"/>
        </w:rPr>
        <w:t>.</w:t>
      </w:r>
      <w:r w:rsidR="009F3B55" w:rsidRPr="009F3B55">
        <w:rPr>
          <w:sz w:val="20"/>
        </w:rPr>
        <w:t xml:space="preserve"> </w:t>
      </w:r>
      <w:r w:rsidR="003D6701" w:rsidRPr="003D6701">
        <w:rPr>
          <w:sz w:val="20"/>
        </w:rPr>
        <w:t>Une mutation peut avoir un effet phénotypique si elle touche</w:t>
      </w:r>
      <w:r w:rsidR="003D6701">
        <w:rPr>
          <w:sz w:val="20"/>
        </w:rPr>
        <w:t xml:space="preserve"> </w:t>
      </w:r>
      <w:r w:rsidR="003D6701" w:rsidRPr="003D6701">
        <w:rPr>
          <w:sz w:val="20"/>
        </w:rPr>
        <w:t>une séquence codante</w:t>
      </w:r>
      <w:r w:rsidR="003D6701">
        <w:rPr>
          <w:sz w:val="20"/>
        </w:rPr>
        <w:t>, u</w:t>
      </w:r>
      <w:r w:rsidR="003D6701" w:rsidRPr="003D6701">
        <w:rPr>
          <w:sz w:val="20"/>
        </w:rPr>
        <w:t xml:space="preserve">ne </w:t>
      </w:r>
      <w:r w:rsidR="003D6701">
        <w:rPr>
          <w:sz w:val="20"/>
        </w:rPr>
        <w:t>s</w:t>
      </w:r>
      <w:r w:rsidR="003D6701" w:rsidRPr="003D6701">
        <w:rPr>
          <w:sz w:val="20"/>
        </w:rPr>
        <w:t xml:space="preserve">équence régulatrice (promoteur, </w:t>
      </w:r>
      <w:proofErr w:type="spellStart"/>
      <w:r w:rsidR="003D6701" w:rsidRPr="003D6701">
        <w:rPr>
          <w:sz w:val="20"/>
        </w:rPr>
        <w:t>enhancer</w:t>
      </w:r>
      <w:proofErr w:type="spellEnd"/>
      <w:r w:rsidR="003D6701">
        <w:rPr>
          <w:sz w:val="20"/>
        </w:rPr>
        <w:t>) ou</w:t>
      </w:r>
      <w:r w:rsidR="003D6701" w:rsidRPr="003D6701">
        <w:rPr>
          <w:sz w:val="20"/>
        </w:rPr>
        <w:t xml:space="preserve"> une séquence d’épissage</w:t>
      </w:r>
      <w:r w:rsidR="003D6701">
        <w:rPr>
          <w:sz w:val="20"/>
        </w:rPr>
        <w:t>/</w:t>
      </w:r>
      <w:proofErr w:type="spellStart"/>
      <w:r w:rsidR="003D6701" w:rsidRPr="003D6701">
        <w:rPr>
          <w:sz w:val="20"/>
        </w:rPr>
        <w:t>polyadénylation</w:t>
      </w:r>
      <w:proofErr w:type="spellEnd"/>
      <w:r w:rsidR="003D6701">
        <w:rPr>
          <w:sz w:val="20"/>
        </w:rPr>
        <w:t xml:space="preserve">. </w:t>
      </w:r>
      <w:r w:rsidR="009F3B55" w:rsidRPr="009F3B55">
        <w:rPr>
          <w:sz w:val="20"/>
        </w:rPr>
        <w:t xml:space="preserve">Quand la mutation du gène entraîne une maladie, on parle d'allèle morbide pour désigner </w:t>
      </w:r>
      <w:r w:rsidR="009F3B55">
        <w:rPr>
          <w:sz w:val="20"/>
        </w:rPr>
        <w:t>l</w:t>
      </w:r>
      <w:r w:rsidR="009F3B55" w:rsidRPr="009F3B55">
        <w:rPr>
          <w:sz w:val="20"/>
        </w:rPr>
        <w:t>’allèle muté (l'allèle normal est également appelé allèle sauvage).</w:t>
      </w:r>
      <w:r w:rsidR="003D6701">
        <w:rPr>
          <w:sz w:val="20"/>
        </w:rPr>
        <w:t xml:space="preserve"> La mutation d’un gène peut avoir un effet gain/perte de fonction de sa protéine.</w:t>
      </w:r>
    </w:p>
    <w:p w:rsidR="00031EBA" w:rsidRDefault="00031EBA" w:rsidP="009F3B55">
      <w:pPr>
        <w:spacing w:after="0" w:line="240" w:lineRule="auto"/>
        <w:rPr>
          <w:sz w:val="20"/>
        </w:rPr>
      </w:pPr>
      <w:r w:rsidRPr="00031EBA">
        <w:rPr>
          <w:b/>
          <w:sz w:val="20"/>
        </w:rPr>
        <w:t>Au niveau chromosomique</w:t>
      </w:r>
      <w:r>
        <w:rPr>
          <w:sz w:val="20"/>
        </w:rPr>
        <w:t> :</w:t>
      </w:r>
      <w:r w:rsidR="009F3B55">
        <w:rPr>
          <w:sz w:val="20"/>
        </w:rPr>
        <w:t xml:space="preserve"> mises en évidence par caryotype</w:t>
      </w:r>
    </w:p>
    <w:p w:rsidR="00031EBA" w:rsidRDefault="00031EBA" w:rsidP="009F3B55">
      <w:pPr>
        <w:pStyle w:val="ListParagraph"/>
        <w:numPr>
          <w:ilvl w:val="0"/>
          <w:numId w:val="1"/>
        </w:numPr>
        <w:spacing w:after="0" w:line="240" w:lineRule="auto"/>
        <w:rPr>
          <w:sz w:val="20"/>
        </w:rPr>
      </w:pPr>
      <w:r>
        <w:rPr>
          <w:sz w:val="20"/>
        </w:rPr>
        <w:t>Anomalie du nombre : aneuploïdies</w:t>
      </w:r>
    </w:p>
    <w:p w:rsidR="00031EBA" w:rsidRPr="00031EBA" w:rsidRDefault="00031EBA" w:rsidP="009F3B55">
      <w:pPr>
        <w:pStyle w:val="ListParagraph"/>
        <w:numPr>
          <w:ilvl w:val="0"/>
          <w:numId w:val="2"/>
        </w:numPr>
        <w:spacing w:after="0" w:line="240" w:lineRule="auto"/>
        <w:rPr>
          <w:sz w:val="20"/>
        </w:rPr>
      </w:pPr>
      <w:r w:rsidRPr="00031EBA">
        <w:rPr>
          <w:sz w:val="20"/>
        </w:rPr>
        <w:t>Triploïdie (3n chromosomes : 69 XXX ; 69 XYY = cause la plus fré</w:t>
      </w:r>
      <w:r>
        <w:rPr>
          <w:sz w:val="20"/>
        </w:rPr>
        <w:t>quente de fausses couches</w:t>
      </w:r>
      <w:r w:rsidRPr="00031EBA">
        <w:rPr>
          <w:sz w:val="20"/>
        </w:rPr>
        <w:t>)</w:t>
      </w:r>
    </w:p>
    <w:p w:rsidR="00031EBA" w:rsidRPr="00031EBA" w:rsidRDefault="00031EBA" w:rsidP="009F3B55">
      <w:pPr>
        <w:pStyle w:val="ListParagraph"/>
        <w:numPr>
          <w:ilvl w:val="0"/>
          <w:numId w:val="2"/>
        </w:numPr>
        <w:spacing w:after="0" w:line="240" w:lineRule="auto"/>
        <w:rPr>
          <w:sz w:val="20"/>
        </w:rPr>
      </w:pPr>
      <w:r w:rsidRPr="00031EBA">
        <w:rPr>
          <w:sz w:val="20"/>
        </w:rPr>
        <w:t>Tétraploïdie (4n chromosomes)</w:t>
      </w:r>
    </w:p>
    <w:p w:rsidR="00031EBA" w:rsidRPr="00031EBA" w:rsidRDefault="00031EBA" w:rsidP="009F3B55">
      <w:pPr>
        <w:pStyle w:val="ListParagraph"/>
        <w:numPr>
          <w:ilvl w:val="0"/>
          <w:numId w:val="2"/>
        </w:numPr>
        <w:spacing w:after="0" w:line="240" w:lineRule="auto"/>
        <w:rPr>
          <w:sz w:val="20"/>
        </w:rPr>
      </w:pPr>
      <w:r w:rsidRPr="00031EBA">
        <w:rPr>
          <w:sz w:val="20"/>
        </w:rPr>
        <w:t>Trisomies (T21; T18; T13; 47</w:t>
      </w:r>
      <w:r>
        <w:rPr>
          <w:sz w:val="20"/>
        </w:rPr>
        <w:t xml:space="preserve"> </w:t>
      </w:r>
      <w:r w:rsidRPr="00031EBA">
        <w:rPr>
          <w:sz w:val="20"/>
        </w:rPr>
        <w:t>XXX</w:t>
      </w:r>
      <w:r>
        <w:rPr>
          <w:sz w:val="20"/>
        </w:rPr>
        <w:t> ; 47XXY = Klinefelter</w:t>
      </w:r>
      <w:r w:rsidRPr="00031EBA">
        <w:rPr>
          <w:sz w:val="20"/>
        </w:rPr>
        <w:t>)</w:t>
      </w:r>
    </w:p>
    <w:p w:rsidR="00031EBA" w:rsidRDefault="00031EBA" w:rsidP="009F3B55">
      <w:pPr>
        <w:pStyle w:val="ListParagraph"/>
        <w:numPr>
          <w:ilvl w:val="0"/>
          <w:numId w:val="2"/>
        </w:numPr>
        <w:spacing w:after="0" w:line="240" w:lineRule="auto"/>
        <w:rPr>
          <w:sz w:val="20"/>
        </w:rPr>
      </w:pPr>
      <w:r w:rsidRPr="00031EBA">
        <w:rPr>
          <w:sz w:val="20"/>
        </w:rPr>
        <w:t>Monosomie X (syndrome de Turner)</w:t>
      </w:r>
    </w:p>
    <w:p w:rsidR="00031EBA" w:rsidRDefault="00031EBA" w:rsidP="009F3B55">
      <w:pPr>
        <w:pStyle w:val="ListParagraph"/>
        <w:numPr>
          <w:ilvl w:val="0"/>
          <w:numId w:val="1"/>
        </w:numPr>
        <w:spacing w:line="240" w:lineRule="auto"/>
        <w:rPr>
          <w:sz w:val="20"/>
        </w:rPr>
      </w:pPr>
      <w:r>
        <w:rPr>
          <w:sz w:val="20"/>
        </w:rPr>
        <w:t>Anomalie</w:t>
      </w:r>
      <w:r w:rsidR="00764B21">
        <w:rPr>
          <w:sz w:val="20"/>
        </w:rPr>
        <w:t>s</w:t>
      </w:r>
      <w:r>
        <w:rPr>
          <w:sz w:val="20"/>
        </w:rPr>
        <w:t xml:space="preserve"> de structure :</w:t>
      </w:r>
    </w:p>
    <w:p w:rsidR="00031EBA" w:rsidRPr="00764B21" w:rsidRDefault="00031EBA" w:rsidP="009F3B55">
      <w:pPr>
        <w:pStyle w:val="ListParagraph"/>
        <w:numPr>
          <w:ilvl w:val="0"/>
          <w:numId w:val="4"/>
        </w:numPr>
        <w:spacing w:line="240" w:lineRule="auto"/>
        <w:rPr>
          <w:rFonts w:eastAsiaTheme="minorEastAsia"/>
          <w:sz w:val="20"/>
          <w:szCs w:val="20"/>
        </w:rPr>
      </w:pPr>
      <w:r w:rsidRPr="00031EBA">
        <w:rPr>
          <w:sz w:val="20"/>
          <w:szCs w:val="20"/>
        </w:rPr>
        <w:t>Équilibrées :</w:t>
      </w:r>
      <w:r w:rsidRPr="00031EBA">
        <w:rPr>
          <w:rFonts w:eastAsiaTheme="minorEastAsia"/>
          <w:sz w:val="20"/>
          <w:szCs w:val="20"/>
        </w:rPr>
        <w:t xml:space="preserve"> pas de pertes ou gains d’i</w:t>
      </w:r>
      <w:r>
        <w:rPr>
          <w:rFonts w:eastAsiaTheme="minorEastAsia"/>
          <w:sz w:val="20"/>
          <w:szCs w:val="20"/>
        </w:rPr>
        <w:t xml:space="preserve">nfo, juste réarrangement. Si </w:t>
      </w:r>
      <w:r w:rsidR="00764B21">
        <w:rPr>
          <w:rFonts w:eastAsiaTheme="minorEastAsia"/>
          <w:sz w:val="20"/>
          <w:szCs w:val="20"/>
        </w:rPr>
        <w:t>implique un seul</w:t>
      </w:r>
      <w:r>
        <w:rPr>
          <w:rFonts w:eastAsiaTheme="minorEastAsia"/>
          <w:sz w:val="20"/>
          <w:szCs w:val="20"/>
        </w:rPr>
        <w:t xml:space="preserve"> chromosome on parle d’</w:t>
      </w:r>
      <w:r w:rsidRPr="00031EBA">
        <w:rPr>
          <w:rFonts w:eastAsiaTheme="minorEastAsia"/>
          <w:sz w:val="20"/>
          <w:szCs w:val="20"/>
        </w:rPr>
        <w:t xml:space="preserve">inversion </w:t>
      </w:r>
      <w:proofErr w:type="spellStart"/>
      <w:r w:rsidRPr="00031EBA">
        <w:rPr>
          <w:rFonts w:eastAsiaTheme="minorEastAsia"/>
          <w:sz w:val="20"/>
          <w:szCs w:val="20"/>
        </w:rPr>
        <w:t>péricentrique</w:t>
      </w:r>
      <w:proofErr w:type="spellEnd"/>
      <w:r w:rsidRPr="00031EBA">
        <w:rPr>
          <w:rFonts w:eastAsiaTheme="minorEastAsia"/>
          <w:sz w:val="20"/>
          <w:szCs w:val="20"/>
        </w:rPr>
        <w:t xml:space="preserve"> (</w:t>
      </w:r>
      <w:r w:rsidR="00764B21">
        <w:rPr>
          <w:rFonts w:eastAsiaTheme="minorEastAsia"/>
          <w:sz w:val="20"/>
          <w:szCs w:val="20"/>
        </w:rPr>
        <w:t>autour du centromère</w:t>
      </w:r>
      <w:r w:rsidRPr="00031EBA">
        <w:rPr>
          <w:rFonts w:eastAsiaTheme="minorEastAsia"/>
          <w:sz w:val="20"/>
          <w:szCs w:val="20"/>
        </w:rPr>
        <w:t xml:space="preserve">) ou </w:t>
      </w:r>
      <w:proofErr w:type="spellStart"/>
      <w:r w:rsidRPr="00031EBA">
        <w:rPr>
          <w:rFonts w:eastAsiaTheme="minorEastAsia"/>
          <w:sz w:val="20"/>
          <w:szCs w:val="20"/>
        </w:rPr>
        <w:t>paracentrique</w:t>
      </w:r>
      <w:proofErr w:type="spellEnd"/>
      <w:r w:rsidRPr="00031EBA">
        <w:rPr>
          <w:rFonts w:eastAsiaTheme="minorEastAsia"/>
          <w:sz w:val="20"/>
          <w:szCs w:val="20"/>
        </w:rPr>
        <w:t xml:space="preserve"> (n’</w:t>
      </w:r>
      <w:r w:rsidR="00764B21">
        <w:rPr>
          <w:rFonts w:eastAsiaTheme="minorEastAsia"/>
          <w:sz w:val="20"/>
          <w:szCs w:val="20"/>
        </w:rPr>
        <w:t>affecte</w:t>
      </w:r>
      <w:r w:rsidRPr="00031EBA">
        <w:rPr>
          <w:rFonts w:eastAsiaTheme="minorEastAsia"/>
          <w:sz w:val="20"/>
          <w:szCs w:val="20"/>
        </w:rPr>
        <w:t xml:space="preserve"> pas </w:t>
      </w:r>
      <w:r w:rsidR="00764B21">
        <w:rPr>
          <w:rFonts w:eastAsiaTheme="minorEastAsia"/>
          <w:sz w:val="20"/>
          <w:szCs w:val="20"/>
        </w:rPr>
        <w:t xml:space="preserve">le </w:t>
      </w:r>
      <w:r w:rsidRPr="00031EBA">
        <w:rPr>
          <w:rFonts w:eastAsiaTheme="minorEastAsia"/>
          <w:sz w:val="20"/>
          <w:szCs w:val="20"/>
        </w:rPr>
        <w:t xml:space="preserve">centromère). </w:t>
      </w:r>
      <w:r w:rsidR="00764B21">
        <w:rPr>
          <w:rFonts w:eastAsiaTheme="minorEastAsia"/>
          <w:sz w:val="20"/>
          <w:szCs w:val="20"/>
        </w:rPr>
        <w:t>Si implique d</w:t>
      </w:r>
      <w:r w:rsidRPr="00764B21">
        <w:rPr>
          <w:rFonts w:eastAsiaTheme="minorEastAsia"/>
          <w:sz w:val="20"/>
          <w:szCs w:val="20"/>
        </w:rPr>
        <w:t>eux chromosomes </w:t>
      </w:r>
      <w:r w:rsidR="00764B21">
        <w:rPr>
          <w:rFonts w:eastAsiaTheme="minorEastAsia"/>
          <w:sz w:val="20"/>
          <w:szCs w:val="20"/>
        </w:rPr>
        <w:t>on parle de</w:t>
      </w:r>
      <w:r w:rsidRPr="00764B21">
        <w:rPr>
          <w:rFonts w:eastAsiaTheme="minorEastAsia"/>
          <w:sz w:val="20"/>
          <w:szCs w:val="20"/>
        </w:rPr>
        <w:t xml:space="preserve"> translocation récipr</w:t>
      </w:r>
      <w:r w:rsidR="00764B21">
        <w:rPr>
          <w:rFonts w:eastAsiaTheme="minorEastAsia"/>
          <w:sz w:val="20"/>
          <w:szCs w:val="20"/>
        </w:rPr>
        <w:t>oque (s</w:t>
      </w:r>
      <w:r w:rsidRPr="00764B21">
        <w:rPr>
          <w:rFonts w:eastAsiaTheme="minorEastAsia"/>
          <w:sz w:val="20"/>
          <w:szCs w:val="20"/>
        </w:rPr>
        <w:t>e fait p</w:t>
      </w:r>
      <w:r w:rsidR="00764B21">
        <w:rPr>
          <w:rFonts w:eastAsiaTheme="minorEastAsia"/>
          <w:sz w:val="20"/>
          <w:szCs w:val="20"/>
        </w:rPr>
        <w:t>endant le</w:t>
      </w:r>
      <w:r w:rsidRPr="00764B21">
        <w:rPr>
          <w:rFonts w:eastAsiaTheme="minorEastAsia"/>
          <w:sz w:val="20"/>
          <w:szCs w:val="20"/>
        </w:rPr>
        <w:t xml:space="preserve"> </w:t>
      </w:r>
      <w:proofErr w:type="spellStart"/>
      <w:r w:rsidRPr="00764B21">
        <w:rPr>
          <w:rFonts w:eastAsiaTheme="minorEastAsia"/>
          <w:sz w:val="20"/>
          <w:szCs w:val="20"/>
        </w:rPr>
        <w:t>crossing</w:t>
      </w:r>
      <w:proofErr w:type="spellEnd"/>
      <w:r w:rsidRPr="00764B21">
        <w:rPr>
          <w:rFonts w:eastAsiaTheme="minorEastAsia"/>
          <w:sz w:val="20"/>
          <w:szCs w:val="20"/>
        </w:rPr>
        <w:t xml:space="preserve"> over</w:t>
      </w:r>
      <w:r w:rsidR="00764B21">
        <w:rPr>
          <w:rFonts w:eastAsiaTheme="minorEastAsia"/>
          <w:sz w:val="20"/>
          <w:szCs w:val="20"/>
        </w:rPr>
        <w:t>).</w:t>
      </w:r>
    </w:p>
    <w:p w:rsidR="00031EBA" w:rsidRDefault="00764B21" w:rsidP="009F3B55">
      <w:pPr>
        <w:pStyle w:val="ListParagraph"/>
        <w:numPr>
          <w:ilvl w:val="0"/>
          <w:numId w:val="3"/>
        </w:numPr>
        <w:spacing w:line="240" w:lineRule="auto"/>
        <w:rPr>
          <w:sz w:val="20"/>
          <w:szCs w:val="20"/>
        </w:rPr>
      </w:pPr>
      <w:r w:rsidRPr="009F3B55">
        <w:rPr>
          <w:sz w:val="20"/>
          <w:szCs w:val="20"/>
        </w:rPr>
        <w:t>Déséquilibrées :</w:t>
      </w:r>
      <w:r w:rsidR="000D3B2B" w:rsidRPr="009F3B55">
        <w:rPr>
          <w:sz w:val="20"/>
          <w:szCs w:val="20"/>
        </w:rPr>
        <w:t xml:space="preserve"> </w:t>
      </w:r>
      <w:r w:rsidR="000D3B2B" w:rsidRPr="009F3B55">
        <w:rPr>
          <w:rFonts w:eastAsiaTheme="minorEastAsia"/>
          <w:sz w:val="20"/>
          <w:szCs w:val="20"/>
        </w:rPr>
        <w:t xml:space="preserve">pertes ou gains d’info. Si implique un seul chromosome on parle de monosomie partielle (délétion) ou trisomie partielle (duplication). Si implique deux chromosomes on parle de translocation. Translocation particulière = </w:t>
      </w:r>
      <w:r w:rsidR="000D3B2B" w:rsidRPr="009F3B55">
        <w:rPr>
          <w:rFonts w:eastAsiaTheme="minorEastAsia"/>
          <w:sz w:val="20"/>
          <w:szCs w:val="20"/>
          <w:highlight w:val="yellow"/>
        </w:rPr>
        <w:t xml:space="preserve">translocation </w:t>
      </w:r>
      <w:proofErr w:type="spellStart"/>
      <w:r w:rsidR="000D3B2B" w:rsidRPr="009F3B55">
        <w:rPr>
          <w:rFonts w:eastAsiaTheme="minorEastAsia"/>
          <w:sz w:val="20"/>
          <w:szCs w:val="20"/>
          <w:highlight w:val="yellow"/>
        </w:rPr>
        <w:t>robertsonienne</w:t>
      </w:r>
      <w:proofErr w:type="spellEnd"/>
      <w:r w:rsidR="000D3B2B" w:rsidRPr="009F3B55">
        <w:rPr>
          <w:rFonts w:eastAsiaTheme="minorEastAsia"/>
          <w:sz w:val="20"/>
          <w:szCs w:val="20"/>
        </w:rPr>
        <w:t xml:space="preserve"> (ne se produit qu’entre chromosomes acrocentriques) : </w:t>
      </w:r>
      <w:r w:rsidR="000D3B2B" w:rsidRPr="009F3B55">
        <w:rPr>
          <w:sz w:val="20"/>
          <w:szCs w:val="20"/>
        </w:rPr>
        <w:t>le bras court des chromosomes acrocentriques (porteur de séquences satellites) est perdu, et une fusion centrique de leur bras long s'en suit.</w:t>
      </w:r>
    </w:p>
    <w:p w:rsidR="009F3B55" w:rsidRDefault="009F3B55" w:rsidP="009F3B55">
      <w:pPr>
        <w:spacing w:after="0" w:line="240" w:lineRule="auto"/>
        <w:rPr>
          <w:sz w:val="20"/>
          <w:szCs w:val="20"/>
        </w:rPr>
      </w:pPr>
      <w:r>
        <w:rPr>
          <w:b/>
          <w:sz w:val="20"/>
          <w:szCs w:val="20"/>
        </w:rPr>
        <w:t>Au niveau ADN</w:t>
      </w:r>
      <w:r>
        <w:rPr>
          <w:sz w:val="20"/>
          <w:szCs w:val="20"/>
        </w:rPr>
        <w:t> : toutes les séquences sont mutables ! Trouvées par techniques de biologie moléculaire.</w:t>
      </w:r>
    </w:p>
    <w:p w:rsidR="009F3B55" w:rsidRDefault="009F3B55" w:rsidP="009F3B55">
      <w:pPr>
        <w:pStyle w:val="ListParagraph"/>
        <w:numPr>
          <w:ilvl w:val="0"/>
          <w:numId w:val="1"/>
        </w:numPr>
        <w:spacing w:after="0" w:line="240" w:lineRule="auto"/>
        <w:rPr>
          <w:sz w:val="20"/>
          <w:szCs w:val="20"/>
        </w:rPr>
      </w:pPr>
      <w:r>
        <w:rPr>
          <w:sz w:val="20"/>
          <w:szCs w:val="20"/>
        </w:rPr>
        <w:t>Mutations ponctuelles : faux sens, non sens (stop codon)</w:t>
      </w:r>
    </w:p>
    <w:p w:rsidR="009F3B55" w:rsidRDefault="009F3B55" w:rsidP="009F3B55">
      <w:pPr>
        <w:pStyle w:val="ListParagraph"/>
        <w:numPr>
          <w:ilvl w:val="0"/>
          <w:numId w:val="1"/>
        </w:numPr>
        <w:spacing w:line="240" w:lineRule="auto"/>
        <w:rPr>
          <w:sz w:val="20"/>
          <w:szCs w:val="20"/>
        </w:rPr>
      </w:pPr>
      <w:r>
        <w:rPr>
          <w:sz w:val="20"/>
          <w:szCs w:val="20"/>
        </w:rPr>
        <w:t xml:space="preserve">Réarrangements : délétions, duplications (quelques nucléotides – </w:t>
      </w:r>
      <w:proofErr w:type="spellStart"/>
      <w:r>
        <w:rPr>
          <w:sz w:val="20"/>
          <w:szCs w:val="20"/>
        </w:rPr>
        <w:t>kilobases</w:t>
      </w:r>
      <w:proofErr w:type="spellEnd"/>
      <w:r>
        <w:rPr>
          <w:sz w:val="20"/>
          <w:szCs w:val="20"/>
        </w:rPr>
        <w:t>)</w:t>
      </w:r>
    </w:p>
    <w:p w:rsidR="003D6701" w:rsidRDefault="003D6701" w:rsidP="00E04D7C">
      <w:pPr>
        <w:rPr>
          <w:sz w:val="20"/>
          <w:szCs w:val="20"/>
        </w:rPr>
      </w:pPr>
      <w:r>
        <w:rPr>
          <w:b/>
          <w:sz w:val="20"/>
          <w:szCs w:val="20"/>
          <w:u w:val="single"/>
        </w:rPr>
        <w:br w:type="page"/>
      </w:r>
      <w:r w:rsidRPr="003D6701">
        <w:rPr>
          <w:b/>
          <w:sz w:val="20"/>
          <w:szCs w:val="20"/>
          <w:u w:val="single"/>
        </w:rPr>
        <w:lastRenderedPageBreak/>
        <w:t>Rappels sur exemples de techniques en biologie moléculaire</w:t>
      </w:r>
      <w:r>
        <w:rPr>
          <w:sz w:val="20"/>
          <w:szCs w:val="20"/>
        </w:rPr>
        <w:t> :</w:t>
      </w:r>
    </w:p>
    <w:p w:rsidR="003D6701" w:rsidRPr="00754324" w:rsidRDefault="003D6701" w:rsidP="003D6701">
      <w:pPr>
        <w:spacing w:line="240" w:lineRule="auto"/>
        <w:rPr>
          <w:sz w:val="20"/>
          <w:szCs w:val="20"/>
        </w:rPr>
      </w:pPr>
      <w:r w:rsidRPr="00754324">
        <w:rPr>
          <w:b/>
          <w:sz w:val="20"/>
          <w:szCs w:val="20"/>
        </w:rPr>
        <w:t>FISH</w:t>
      </w:r>
      <w:r w:rsidRPr="00754324">
        <w:rPr>
          <w:sz w:val="20"/>
          <w:szCs w:val="20"/>
        </w:rPr>
        <w:t> (Fluorescent In Situ Hybridation) : sondes d’ADN (</w:t>
      </w:r>
      <w:proofErr w:type="spellStart"/>
      <w:r w:rsidRPr="00754324">
        <w:rPr>
          <w:sz w:val="20"/>
          <w:szCs w:val="20"/>
        </w:rPr>
        <w:t>centromérique</w:t>
      </w:r>
      <w:proofErr w:type="spellEnd"/>
      <w:r w:rsidRPr="00754324">
        <w:rPr>
          <w:sz w:val="20"/>
          <w:szCs w:val="20"/>
        </w:rPr>
        <w:t xml:space="preserve"> ou de séquences spécifiques) permettant d’identi</w:t>
      </w:r>
      <w:r w:rsidR="00754324" w:rsidRPr="00754324">
        <w:rPr>
          <w:sz w:val="20"/>
          <w:szCs w:val="20"/>
        </w:rPr>
        <w:t xml:space="preserve">fier les chromosomes homologues/localiser </w:t>
      </w:r>
      <w:r w:rsidRPr="00754324">
        <w:rPr>
          <w:sz w:val="20"/>
          <w:szCs w:val="20"/>
        </w:rPr>
        <w:t>séquences particulières.</w:t>
      </w:r>
    </w:p>
    <w:p w:rsidR="003D6701" w:rsidRPr="00754324" w:rsidRDefault="003D6701" w:rsidP="003D6701">
      <w:pPr>
        <w:spacing w:line="240" w:lineRule="auto"/>
        <w:rPr>
          <w:sz w:val="18"/>
          <w:szCs w:val="20"/>
        </w:rPr>
      </w:pPr>
      <w:r w:rsidRPr="00754324">
        <w:rPr>
          <w:b/>
          <w:sz w:val="20"/>
          <w:szCs w:val="20"/>
        </w:rPr>
        <w:t>CGH-</w:t>
      </w:r>
      <w:proofErr w:type="spellStart"/>
      <w:r w:rsidRPr="00754324">
        <w:rPr>
          <w:b/>
          <w:sz w:val="20"/>
          <w:szCs w:val="20"/>
        </w:rPr>
        <w:t>array</w:t>
      </w:r>
      <w:proofErr w:type="spellEnd"/>
      <w:r w:rsidRPr="00754324">
        <w:rPr>
          <w:sz w:val="20"/>
          <w:szCs w:val="20"/>
        </w:rPr>
        <w:t> (</w:t>
      </w:r>
      <w:proofErr w:type="spellStart"/>
      <w:r w:rsidRPr="00754324">
        <w:rPr>
          <w:sz w:val="20"/>
          <w:szCs w:val="20"/>
        </w:rPr>
        <w:t>array</w:t>
      </w:r>
      <w:proofErr w:type="spellEnd"/>
      <w:r w:rsidRPr="00754324">
        <w:rPr>
          <w:sz w:val="20"/>
          <w:szCs w:val="20"/>
        </w:rPr>
        <w:t>-</w:t>
      </w:r>
      <w:proofErr w:type="spellStart"/>
      <w:r w:rsidRPr="00754324">
        <w:rPr>
          <w:sz w:val="20"/>
          <w:szCs w:val="20"/>
        </w:rPr>
        <w:t>based</w:t>
      </w:r>
      <w:proofErr w:type="spellEnd"/>
      <w:r w:rsidRPr="00754324">
        <w:rPr>
          <w:sz w:val="20"/>
          <w:szCs w:val="20"/>
        </w:rPr>
        <w:t xml:space="preserve"> Comparative </w:t>
      </w:r>
      <w:proofErr w:type="spellStart"/>
      <w:r w:rsidRPr="00754324">
        <w:rPr>
          <w:sz w:val="20"/>
          <w:szCs w:val="20"/>
        </w:rPr>
        <w:t>Genomic</w:t>
      </w:r>
      <w:proofErr w:type="spellEnd"/>
      <w:r w:rsidRPr="00754324">
        <w:rPr>
          <w:sz w:val="20"/>
          <w:szCs w:val="20"/>
        </w:rPr>
        <w:t xml:space="preserve"> Hybridation)</w:t>
      </w:r>
      <w:r w:rsidR="00754324" w:rsidRPr="00754324">
        <w:t xml:space="preserve"> </w:t>
      </w:r>
      <w:r w:rsidRPr="00754324">
        <w:rPr>
          <w:sz w:val="20"/>
          <w:szCs w:val="20"/>
        </w:rPr>
        <w:t>:</w:t>
      </w:r>
      <w:r w:rsidR="00754324" w:rsidRPr="00754324">
        <w:t xml:space="preserve"> </w:t>
      </w:r>
      <w:r w:rsidR="00754324" w:rsidRPr="00754324">
        <w:rPr>
          <w:sz w:val="20"/>
        </w:rPr>
        <w:t xml:space="preserve">génome de référence marqué en rouge, génome testé marqué en vert. Segmentation et répartition sur lamelles </w:t>
      </w:r>
      <w:r w:rsidR="00754324">
        <w:rPr>
          <w:sz w:val="20"/>
        </w:rPr>
        <w:t>des deux génomes. Si case jaune, c’est que les</w:t>
      </w:r>
      <w:r w:rsidR="00754324" w:rsidRPr="00754324">
        <w:rPr>
          <w:sz w:val="20"/>
        </w:rPr>
        <w:t xml:space="preserve"> séquences </w:t>
      </w:r>
      <w:r w:rsidR="00754324">
        <w:rPr>
          <w:sz w:val="20"/>
        </w:rPr>
        <w:t xml:space="preserve">sont </w:t>
      </w:r>
      <w:r w:rsidR="00754324" w:rsidRPr="00754324">
        <w:rPr>
          <w:sz w:val="20"/>
        </w:rPr>
        <w:t>identiques. Si case plus rouge il y eu délétion. Si case plus verte il y a eu répétition.</w:t>
      </w:r>
    </w:p>
    <w:p w:rsidR="003D6701" w:rsidRDefault="003D6701" w:rsidP="00754324">
      <w:pPr>
        <w:spacing w:after="0" w:line="240" w:lineRule="auto"/>
        <w:rPr>
          <w:sz w:val="20"/>
          <w:szCs w:val="20"/>
        </w:rPr>
      </w:pPr>
      <w:proofErr w:type="spellStart"/>
      <w:r w:rsidRPr="003D6701">
        <w:rPr>
          <w:b/>
          <w:sz w:val="20"/>
          <w:szCs w:val="20"/>
        </w:rPr>
        <w:t>Next</w:t>
      </w:r>
      <w:proofErr w:type="spellEnd"/>
      <w:r w:rsidRPr="003D6701">
        <w:rPr>
          <w:b/>
          <w:sz w:val="20"/>
          <w:szCs w:val="20"/>
        </w:rPr>
        <w:t xml:space="preserve"> </w:t>
      </w:r>
      <w:proofErr w:type="spellStart"/>
      <w:r w:rsidRPr="003D6701">
        <w:rPr>
          <w:b/>
          <w:sz w:val="20"/>
          <w:szCs w:val="20"/>
        </w:rPr>
        <w:t>Generation</w:t>
      </w:r>
      <w:proofErr w:type="spellEnd"/>
      <w:r w:rsidRPr="003D6701">
        <w:rPr>
          <w:b/>
          <w:sz w:val="20"/>
          <w:szCs w:val="20"/>
        </w:rPr>
        <w:t xml:space="preserve"> </w:t>
      </w:r>
      <w:proofErr w:type="spellStart"/>
      <w:r w:rsidRPr="003D6701">
        <w:rPr>
          <w:b/>
          <w:sz w:val="20"/>
          <w:szCs w:val="20"/>
        </w:rPr>
        <w:t>Sequencing</w:t>
      </w:r>
      <w:proofErr w:type="spellEnd"/>
      <w:r w:rsidRPr="003D6701">
        <w:rPr>
          <w:b/>
          <w:sz w:val="20"/>
          <w:szCs w:val="20"/>
        </w:rPr>
        <w:t xml:space="preserve"> (NGS)</w:t>
      </w:r>
      <w:r>
        <w:rPr>
          <w:sz w:val="20"/>
          <w:szCs w:val="20"/>
        </w:rPr>
        <w:t> :</w:t>
      </w:r>
      <w:r w:rsidRPr="003D6701">
        <w:t xml:space="preserve"> </w:t>
      </w:r>
      <w:r w:rsidRPr="003D6701">
        <w:rPr>
          <w:sz w:val="20"/>
          <w:szCs w:val="20"/>
        </w:rPr>
        <w:t>séquençage haut débit</w:t>
      </w:r>
      <w:r w:rsidR="00754324">
        <w:rPr>
          <w:sz w:val="20"/>
          <w:szCs w:val="20"/>
        </w:rPr>
        <w:t>. R</w:t>
      </w:r>
      <w:r w:rsidR="00754324" w:rsidRPr="00754324">
        <w:rPr>
          <w:sz w:val="20"/>
          <w:szCs w:val="20"/>
        </w:rPr>
        <w:t>évolutionne les capacités de diagnostic des maladi</w:t>
      </w:r>
      <w:r w:rsidR="00754324">
        <w:rPr>
          <w:sz w:val="20"/>
          <w:szCs w:val="20"/>
        </w:rPr>
        <w:t xml:space="preserve">es </w:t>
      </w:r>
      <w:r w:rsidR="00754324" w:rsidRPr="00754324">
        <w:rPr>
          <w:sz w:val="20"/>
          <w:szCs w:val="20"/>
        </w:rPr>
        <w:t>génétiques</w:t>
      </w:r>
      <w:r w:rsidR="00754324">
        <w:rPr>
          <w:sz w:val="20"/>
          <w:szCs w:val="20"/>
        </w:rPr>
        <w:t xml:space="preserve"> ! Exemples d’utilisation : </w:t>
      </w:r>
    </w:p>
    <w:p w:rsidR="00754324" w:rsidRPr="00754324" w:rsidRDefault="00754324" w:rsidP="00754324">
      <w:pPr>
        <w:pStyle w:val="ListParagraph"/>
        <w:numPr>
          <w:ilvl w:val="0"/>
          <w:numId w:val="1"/>
        </w:numPr>
        <w:spacing w:after="0" w:line="240" w:lineRule="auto"/>
        <w:rPr>
          <w:sz w:val="20"/>
          <w:szCs w:val="20"/>
        </w:rPr>
      </w:pPr>
      <w:r w:rsidRPr="00754324">
        <w:rPr>
          <w:sz w:val="20"/>
          <w:szCs w:val="20"/>
        </w:rPr>
        <w:t xml:space="preserve">Identification de nouveaux gènes responsables de maladies </w:t>
      </w:r>
      <w:proofErr w:type="spellStart"/>
      <w:r w:rsidRPr="00754324">
        <w:rPr>
          <w:sz w:val="20"/>
          <w:szCs w:val="20"/>
        </w:rPr>
        <w:t>monogéniques</w:t>
      </w:r>
      <w:proofErr w:type="spellEnd"/>
      <w:r w:rsidRPr="00754324">
        <w:rPr>
          <w:sz w:val="20"/>
          <w:szCs w:val="20"/>
        </w:rPr>
        <w:t xml:space="preserve"> rares</w:t>
      </w:r>
    </w:p>
    <w:p w:rsidR="00754324" w:rsidRPr="00754324" w:rsidRDefault="00754324" w:rsidP="00754324">
      <w:pPr>
        <w:pStyle w:val="ListParagraph"/>
        <w:numPr>
          <w:ilvl w:val="0"/>
          <w:numId w:val="1"/>
        </w:numPr>
        <w:spacing w:after="0" w:line="240" w:lineRule="auto"/>
        <w:rPr>
          <w:sz w:val="20"/>
          <w:szCs w:val="20"/>
        </w:rPr>
      </w:pPr>
      <w:r w:rsidRPr="00754324">
        <w:rPr>
          <w:sz w:val="20"/>
          <w:szCs w:val="20"/>
        </w:rPr>
        <w:t>Analyse simultanée de nombreux gènes dans des situations de grande hétérogénéité génétique (plusieurs gènes peuvent être associés à des phénotypes très similaires</w:t>
      </w:r>
      <w:r>
        <w:rPr>
          <w:sz w:val="20"/>
          <w:szCs w:val="20"/>
        </w:rPr>
        <w:t>/</w:t>
      </w:r>
      <w:proofErr w:type="spellStart"/>
      <w:r>
        <w:rPr>
          <w:sz w:val="20"/>
          <w:szCs w:val="20"/>
        </w:rPr>
        <w:t>indistingables</w:t>
      </w:r>
      <w:proofErr w:type="spellEnd"/>
      <w:r>
        <w:rPr>
          <w:sz w:val="20"/>
          <w:szCs w:val="20"/>
        </w:rPr>
        <w:t>).</w:t>
      </w:r>
    </w:p>
    <w:p w:rsidR="00754324" w:rsidRPr="00754324" w:rsidRDefault="00754324" w:rsidP="00754324">
      <w:pPr>
        <w:pStyle w:val="ListParagraph"/>
        <w:numPr>
          <w:ilvl w:val="0"/>
          <w:numId w:val="1"/>
        </w:numPr>
        <w:spacing w:line="240" w:lineRule="auto"/>
        <w:rPr>
          <w:sz w:val="20"/>
          <w:szCs w:val="20"/>
        </w:rPr>
      </w:pPr>
      <w:r w:rsidRPr="00754324">
        <w:rPr>
          <w:sz w:val="20"/>
          <w:szCs w:val="20"/>
        </w:rPr>
        <w:t>Screening de porteurs pour des maladies récessives</w:t>
      </w:r>
    </w:p>
    <w:p w:rsidR="00754324" w:rsidRPr="00754324" w:rsidRDefault="00754324" w:rsidP="00754324">
      <w:pPr>
        <w:pStyle w:val="ListParagraph"/>
        <w:numPr>
          <w:ilvl w:val="0"/>
          <w:numId w:val="1"/>
        </w:numPr>
        <w:spacing w:line="240" w:lineRule="auto"/>
        <w:rPr>
          <w:sz w:val="20"/>
          <w:szCs w:val="20"/>
        </w:rPr>
      </w:pPr>
      <w:r w:rsidRPr="00754324">
        <w:rPr>
          <w:sz w:val="20"/>
          <w:szCs w:val="20"/>
        </w:rPr>
        <w:t>Analyse de l’ADN fœtal libre dans le sang maternel (NIPT trisomies 21, 13/18)</w:t>
      </w:r>
    </w:p>
    <w:p w:rsidR="00754324" w:rsidRPr="00754324" w:rsidRDefault="00754324" w:rsidP="00754324">
      <w:pPr>
        <w:pStyle w:val="ListParagraph"/>
        <w:numPr>
          <w:ilvl w:val="0"/>
          <w:numId w:val="1"/>
        </w:numPr>
        <w:spacing w:line="240" w:lineRule="auto"/>
        <w:rPr>
          <w:sz w:val="20"/>
        </w:rPr>
      </w:pPr>
      <w:r w:rsidRPr="00754324">
        <w:rPr>
          <w:sz w:val="20"/>
          <w:szCs w:val="20"/>
        </w:rPr>
        <w:t>Identification de variant</w:t>
      </w:r>
      <w:r w:rsidR="00E04D7C">
        <w:rPr>
          <w:sz w:val="20"/>
          <w:szCs w:val="20"/>
        </w:rPr>
        <w:t>e</w:t>
      </w:r>
      <w:r w:rsidRPr="00754324">
        <w:rPr>
          <w:sz w:val="20"/>
          <w:szCs w:val="20"/>
        </w:rPr>
        <w:t>s +/- rares</w:t>
      </w:r>
    </w:p>
    <w:p w:rsidR="000A4D00" w:rsidRDefault="000A4D00" w:rsidP="00754324">
      <w:pPr>
        <w:spacing w:line="240" w:lineRule="auto"/>
        <w:rPr>
          <w:sz w:val="20"/>
        </w:rPr>
      </w:pPr>
      <w:r w:rsidRPr="00754324">
        <w:rPr>
          <w:b/>
          <w:sz w:val="20"/>
          <w:u w:val="single"/>
        </w:rPr>
        <w:t>Mutations germinales et somatiques</w:t>
      </w:r>
      <w:r w:rsidRPr="00754324">
        <w:rPr>
          <w:sz w:val="20"/>
        </w:rPr>
        <w:t> :</w:t>
      </w:r>
    </w:p>
    <w:p w:rsidR="00C87740" w:rsidRDefault="00C87740" w:rsidP="00C87740">
      <w:pPr>
        <w:spacing w:line="240" w:lineRule="auto"/>
        <w:rPr>
          <w:sz w:val="20"/>
        </w:rPr>
      </w:pPr>
      <w:r w:rsidRPr="00C87740">
        <w:rPr>
          <w:b/>
          <w:sz w:val="20"/>
        </w:rPr>
        <w:t>Germinales </w:t>
      </w:r>
      <w:r>
        <w:rPr>
          <w:sz w:val="20"/>
        </w:rPr>
        <w:t>:</w:t>
      </w:r>
      <w:r w:rsidRPr="00C87740">
        <w:t xml:space="preserve"> </w:t>
      </w:r>
      <w:r w:rsidRPr="00C87740">
        <w:rPr>
          <w:sz w:val="20"/>
        </w:rPr>
        <w:t>touchent les cellules qui donneront naissance aux gamètes. Elles peuvent donc être transmises à la descendance</w:t>
      </w:r>
      <w:r>
        <w:rPr>
          <w:sz w:val="20"/>
        </w:rPr>
        <w:t>.</w:t>
      </w:r>
    </w:p>
    <w:p w:rsidR="00C87740" w:rsidRPr="00754324" w:rsidRDefault="0010423B" w:rsidP="00C87740">
      <w:pPr>
        <w:spacing w:line="240" w:lineRule="auto"/>
        <w:rPr>
          <w:sz w:val="20"/>
        </w:rPr>
      </w:pPr>
      <w:r w:rsidRPr="0010423B">
        <w:rPr>
          <w:b/>
          <w:noProof/>
          <w:sz w:val="20"/>
          <w:u w:val="single"/>
          <w:lang w:eastAsia="fr-CH"/>
        </w:rPr>
        <w:pict>
          <v:shape id="_x0000_s1027" type="#_x0000_t202" style="position:absolute;margin-left:287.55pt;margin-top:57pt;width:234.25pt;height:211.15pt;z-index:251659264" stroked="f">
            <v:textbox style="mso-next-textbox:#_x0000_s1027">
              <w:txbxContent>
                <w:p w:rsidR="00BE2DB6" w:rsidRDefault="00BE2DB6" w:rsidP="00C52F1C">
                  <w:pPr>
                    <w:spacing w:after="0"/>
                    <w:rPr>
                      <w:sz w:val="20"/>
                    </w:rPr>
                  </w:pPr>
                  <w:r w:rsidRPr="00C52F1C">
                    <w:rPr>
                      <w:b/>
                      <w:sz w:val="20"/>
                    </w:rPr>
                    <w:t>Symboles utilisés pour les arbres généalogiques</w:t>
                  </w:r>
                  <w:r w:rsidRPr="00C52F1C">
                    <w:rPr>
                      <w:sz w:val="20"/>
                    </w:rPr>
                    <w:t> :</w:t>
                  </w:r>
                </w:p>
                <w:p w:rsidR="00BE2DB6" w:rsidRPr="00C52F1C" w:rsidRDefault="00BE2DB6" w:rsidP="00C52F1C">
                  <w:pPr>
                    <w:spacing w:after="0"/>
                    <w:jc w:val="center"/>
                    <w:rPr>
                      <w:sz w:val="20"/>
                    </w:rPr>
                  </w:pPr>
                  <w:r w:rsidRPr="00C52F1C">
                    <w:rPr>
                      <w:noProof/>
                      <w:lang w:eastAsia="fr-CH"/>
                    </w:rPr>
                    <w:drawing>
                      <wp:inline distT="0" distB="0" distL="0" distR="0">
                        <wp:extent cx="2205535" cy="2438566"/>
                        <wp:effectExtent l="19050" t="0" r="426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205535" cy="2438566"/>
                                </a:xfrm>
                                <a:prstGeom prst="rect">
                                  <a:avLst/>
                                </a:prstGeom>
                                <a:noFill/>
                                <a:ln w="9525">
                                  <a:noFill/>
                                  <a:miter lim="800000"/>
                                  <a:headEnd/>
                                  <a:tailEnd/>
                                </a:ln>
                              </pic:spPr>
                            </pic:pic>
                          </a:graphicData>
                        </a:graphic>
                      </wp:inline>
                    </w:drawing>
                  </w:r>
                </w:p>
              </w:txbxContent>
            </v:textbox>
          </v:shape>
        </w:pict>
      </w:r>
      <w:r w:rsidR="00C87740" w:rsidRPr="00C87740">
        <w:rPr>
          <w:b/>
          <w:sz w:val="20"/>
        </w:rPr>
        <w:t>Somatiques</w:t>
      </w:r>
      <w:r w:rsidR="00C87740">
        <w:rPr>
          <w:sz w:val="20"/>
        </w:rPr>
        <w:t xml:space="preserve"> : </w:t>
      </w:r>
      <w:r w:rsidR="00C87740" w:rsidRPr="00C87740">
        <w:rPr>
          <w:sz w:val="20"/>
        </w:rPr>
        <w:t>touchent n’importe quel autre tissu; elles ne sont pas transmises à la descendance</w:t>
      </w:r>
      <w:r w:rsidR="00C87740">
        <w:rPr>
          <w:sz w:val="20"/>
        </w:rPr>
        <w:t>.</w:t>
      </w:r>
      <w:r w:rsidR="00C87740" w:rsidRPr="00C87740">
        <w:t xml:space="preserve"> </w:t>
      </w:r>
      <w:r w:rsidR="00C87740" w:rsidRPr="00C87740">
        <w:rPr>
          <w:sz w:val="20"/>
        </w:rPr>
        <w:t xml:space="preserve">Les mutations somatiques ont des conséquences différentes en fonction du tissu touché et du moment de la vie où a lieu la mutation. Plus la mutation a lieu tôt dans la vie (développement embryonnaire), plus les conséquences </w:t>
      </w:r>
      <w:r w:rsidR="00C87740">
        <w:rPr>
          <w:sz w:val="20"/>
        </w:rPr>
        <w:t>r</w:t>
      </w:r>
      <w:r w:rsidR="00C87740" w:rsidRPr="00C87740">
        <w:rPr>
          <w:sz w:val="20"/>
        </w:rPr>
        <w:t>isquent d’être importantes car le nombre de cellules mutées sera plus important.</w:t>
      </w:r>
    </w:p>
    <w:p w:rsidR="000A4D00" w:rsidRDefault="00E04D7C" w:rsidP="009F3B55">
      <w:pPr>
        <w:spacing w:line="240" w:lineRule="auto"/>
        <w:rPr>
          <w:sz w:val="20"/>
        </w:rPr>
      </w:pPr>
      <w:r>
        <w:rPr>
          <w:b/>
          <w:sz w:val="20"/>
          <w:u w:val="single"/>
        </w:rPr>
        <w:t>H</w:t>
      </w:r>
      <w:r w:rsidR="000A4D00" w:rsidRPr="005508C6">
        <w:rPr>
          <w:b/>
          <w:sz w:val="20"/>
          <w:u w:val="single"/>
        </w:rPr>
        <w:t>érédité mendélienne</w:t>
      </w:r>
      <w:r w:rsidR="000A4D00" w:rsidRPr="005508C6">
        <w:rPr>
          <w:sz w:val="20"/>
        </w:rPr>
        <w:t> :</w:t>
      </w:r>
    </w:p>
    <w:p w:rsidR="00C206BE" w:rsidRDefault="00C206BE" w:rsidP="00C206BE">
      <w:pPr>
        <w:spacing w:after="0" w:line="240" w:lineRule="auto"/>
        <w:rPr>
          <w:sz w:val="20"/>
        </w:rPr>
      </w:pPr>
      <w:r w:rsidRPr="00C206BE">
        <w:rPr>
          <w:b/>
          <w:sz w:val="20"/>
        </w:rPr>
        <w:t>Maladies mendéliennes vs maladies complexes</w:t>
      </w:r>
      <w:r>
        <w:rPr>
          <w:sz w:val="20"/>
        </w:rPr>
        <w:t> :</w:t>
      </w:r>
    </w:p>
    <w:p w:rsidR="00E04D7C" w:rsidRPr="005508C6" w:rsidRDefault="00E04D7C" w:rsidP="009F3B55">
      <w:pPr>
        <w:spacing w:line="240" w:lineRule="auto"/>
        <w:rPr>
          <w:sz w:val="20"/>
        </w:rPr>
      </w:pPr>
      <w:r w:rsidRPr="00E04D7C">
        <w:rPr>
          <w:noProof/>
          <w:lang w:eastAsia="fr-CH"/>
        </w:rPr>
        <w:drawing>
          <wp:inline distT="0" distB="0" distL="0" distR="0">
            <wp:extent cx="3625533" cy="206081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t="11142"/>
                    <a:stretch>
                      <a:fillRect/>
                    </a:stretch>
                  </pic:blipFill>
                  <pic:spPr bwMode="auto">
                    <a:xfrm>
                      <a:off x="0" y="0"/>
                      <a:ext cx="3625533" cy="2060812"/>
                    </a:xfrm>
                    <a:prstGeom prst="rect">
                      <a:avLst/>
                    </a:prstGeom>
                    <a:noFill/>
                    <a:ln w="9525">
                      <a:noFill/>
                      <a:miter lim="800000"/>
                      <a:headEnd/>
                      <a:tailEnd/>
                    </a:ln>
                  </pic:spPr>
                </pic:pic>
              </a:graphicData>
            </a:graphic>
          </wp:inline>
        </w:drawing>
      </w:r>
    </w:p>
    <w:p w:rsidR="00C52F1C" w:rsidRDefault="000A4D00" w:rsidP="00BE2DB6">
      <w:pPr>
        <w:spacing w:after="0" w:line="240" w:lineRule="auto"/>
        <w:rPr>
          <w:sz w:val="20"/>
        </w:rPr>
      </w:pPr>
      <w:r w:rsidRPr="005508C6">
        <w:rPr>
          <w:b/>
          <w:sz w:val="20"/>
        </w:rPr>
        <w:t>Autosomique dominante</w:t>
      </w:r>
      <w:r w:rsidRPr="005508C6">
        <w:rPr>
          <w:sz w:val="20"/>
        </w:rPr>
        <w:t> :</w:t>
      </w:r>
      <w:r w:rsidR="00C52F1C">
        <w:rPr>
          <w:sz w:val="20"/>
        </w:rPr>
        <w:t xml:space="preserve"> transmission verticale, touche 50% des descendants (indépendamment du sexe du parent ou de l’enfant). </w:t>
      </w:r>
      <w:r w:rsidR="00C52F1C" w:rsidRPr="00C52F1C">
        <w:rPr>
          <w:sz w:val="20"/>
        </w:rPr>
        <w:t>Affections</w:t>
      </w:r>
      <w:r w:rsidR="000D7320">
        <w:rPr>
          <w:sz w:val="20"/>
        </w:rPr>
        <w:t xml:space="preserve"> donc</w:t>
      </w:r>
      <w:r w:rsidR="00C52F1C" w:rsidRPr="00C52F1C">
        <w:rPr>
          <w:sz w:val="20"/>
        </w:rPr>
        <w:t xml:space="preserve"> souvent transmises sur plusieurs générations</w:t>
      </w:r>
      <w:r w:rsidR="00BE2DB6">
        <w:rPr>
          <w:sz w:val="20"/>
        </w:rPr>
        <w:t xml:space="preserve">. </w:t>
      </w:r>
      <w:r w:rsidR="00BE2DB6" w:rsidRPr="00BE2DB6">
        <w:rPr>
          <w:sz w:val="20"/>
        </w:rPr>
        <w:t>Les individus d’une famille qui n’ont pas hérité la mutation dominante présente dans leur famille n’ont pas plus de risque que la population générale d’avoir un enfant avec cette maladie (risque d’une mutation de novo)</w:t>
      </w:r>
      <w:r w:rsidR="00BE2DB6">
        <w:rPr>
          <w:sz w:val="20"/>
        </w:rPr>
        <w:t xml:space="preserve">. </w:t>
      </w:r>
      <w:r w:rsidR="000D7320">
        <w:rPr>
          <w:sz w:val="20"/>
        </w:rPr>
        <w:t xml:space="preserve">Dans le cas </w:t>
      </w:r>
      <w:r w:rsidR="0033620D">
        <w:rPr>
          <w:sz w:val="20"/>
        </w:rPr>
        <w:t>d’</w:t>
      </w:r>
      <w:r w:rsidR="000D7320">
        <w:rPr>
          <w:sz w:val="20"/>
        </w:rPr>
        <w:t xml:space="preserve">un couple sain </w:t>
      </w:r>
      <w:r w:rsidR="0033620D">
        <w:rPr>
          <w:sz w:val="20"/>
        </w:rPr>
        <w:t>avec</w:t>
      </w:r>
      <w:r w:rsidR="000D7320">
        <w:rPr>
          <w:sz w:val="20"/>
        </w:rPr>
        <w:t xml:space="preserve"> un enfant </w:t>
      </w:r>
      <w:r w:rsidR="0033620D">
        <w:rPr>
          <w:sz w:val="20"/>
        </w:rPr>
        <w:t>à</w:t>
      </w:r>
      <w:r w:rsidR="000D7320">
        <w:rPr>
          <w:sz w:val="20"/>
        </w:rPr>
        <w:t xml:space="preserve"> mutation de novo, le risque de récurrence avec la prochaine grossesse est très faible</w:t>
      </w:r>
      <w:r w:rsidR="0033620D">
        <w:rPr>
          <w:sz w:val="20"/>
        </w:rPr>
        <w:t xml:space="preserve"> (dépend du risque de mosaïque germinale)</w:t>
      </w:r>
      <w:r w:rsidR="000D7320">
        <w:rPr>
          <w:sz w:val="20"/>
        </w:rPr>
        <w:t xml:space="preserve">. </w:t>
      </w:r>
      <w:r w:rsidR="00C52F1C">
        <w:rPr>
          <w:sz w:val="20"/>
        </w:rPr>
        <w:t>Important de distinguer :</w:t>
      </w:r>
    </w:p>
    <w:p w:rsidR="00C52F1C" w:rsidRPr="00644704" w:rsidRDefault="00C52F1C" w:rsidP="00BE2DB6">
      <w:pPr>
        <w:pStyle w:val="ListParagraph"/>
        <w:numPr>
          <w:ilvl w:val="0"/>
          <w:numId w:val="1"/>
        </w:numPr>
        <w:spacing w:after="0" w:line="240" w:lineRule="auto"/>
        <w:rPr>
          <w:sz w:val="18"/>
        </w:rPr>
      </w:pPr>
      <w:r w:rsidRPr="00644704">
        <w:rPr>
          <w:sz w:val="18"/>
        </w:rPr>
        <w:t>Pénétrance</w:t>
      </w:r>
      <w:r w:rsidRPr="00644704">
        <w:rPr>
          <w:sz w:val="20"/>
        </w:rPr>
        <w:t xml:space="preserve"> : </w:t>
      </w:r>
      <w:r w:rsidR="00BE2DB6" w:rsidRPr="00644704">
        <w:rPr>
          <w:sz w:val="20"/>
        </w:rPr>
        <w:t>pourcentage de personnes avec mutation présentant signes</w:t>
      </w:r>
      <w:r w:rsidRPr="00644704">
        <w:rPr>
          <w:rFonts w:eastAsiaTheme="minorEastAsia"/>
          <w:sz w:val="20"/>
        </w:rPr>
        <w:t>. Souvent réduite.</w:t>
      </w:r>
    </w:p>
    <w:p w:rsidR="00C52F1C" w:rsidRPr="00644704" w:rsidRDefault="00C52F1C" w:rsidP="00C52F1C">
      <w:pPr>
        <w:pStyle w:val="ListParagraph"/>
        <w:numPr>
          <w:ilvl w:val="0"/>
          <w:numId w:val="1"/>
        </w:numPr>
        <w:spacing w:line="240" w:lineRule="auto"/>
        <w:rPr>
          <w:sz w:val="18"/>
        </w:rPr>
      </w:pPr>
      <w:r w:rsidRPr="00644704">
        <w:rPr>
          <w:sz w:val="18"/>
        </w:rPr>
        <w:t xml:space="preserve">Expressivité : </w:t>
      </w:r>
      <w:r w:rsidRPr="00644704">
        <w:rPr>
          <w:rFonts w:eastAsiaTheme="minorEastAsia"/>
          <w:sz w:val="20"/>
        </w:rPr>
        <w:t>gamme ou degré d’expression phénotypique. Expression souvent variable.</w:t>
      </w:r>
    </w:p>
    <w:p w:rsidR="00BE2DB6" w:rsidRDefault="00BE2DB6" w:rsidP="00A8708B">
      <w:pPr>
        <w:rPr>
          <w:sz w:val="20"/>
        </w:rPr>
      </w:pPr>
      <w:r>
        <w:rPr>
          <w:sz w:val="20"/>
        </w:rPr>
        <w:t>Exemples :</w:t>
      </w:r>
    </w:p>
    <w:p w:rsidR="00A8708B" w:rsidRDefault="00A8708B" w:rsidP="00A8708B">
      <w:pPr>
        <w:pStyle w:val="ListParagraph"/>
        <w:numPr>
          <w:ilvl w:val="0"/>
          <w:numId w:val="1"/>
        </w:numPr>
        <w:spacing w:after="0" w:line="240" w:lineRule="auto"/>
        <w:rPr>
          <w:sz w:val="20"/>
        </w:rPr>
      </w:pPr>
      <w:r>
        <w:rPr>
          <w:sz w:val="20"/>
        </w:rPr>
        <w:t>Cardiomyopathies : implique</w:t>
      </w:r>
      <w:r w:rsidR="00644704">
        <w:rPr>
          <w:sz w:val="20"/>
        </w:rPr>
        <w:t>nt</w:t>
      </w:r>
      <w:r>
        <w:rPr>
          <w:sz w:val="20"/>
        </w:rPr>
        <w:t xml:space="preserve"> &gt;20 gènes codant pour des protéines </w:t>
      </w:r>
      <w:proofErr w:type="spellStart"/>
      <w:r>
        <w:rPr>
          <w:sz w:val="20"/>
        </w:rPr>
        <w:t>sarcomériques</w:t>
      </w:r>
      <w:proofErr w:type="spellEnd"/>
      <w:r>
        <w:rPr>
          <w:sz w:val="20"/>
        </w:rPr>
        <w:t xml:space="preserve"> (intérêt des techniques de séquençage haut débit pour le diagnostic). Souvent formes familiales et beaucoup plus fréquentes que la neurofibromatose type I.</w:t>
      </w:r>
    </w:p>
    <w:p w:rsidR="00BE2DB6" w:rsidRDefault="00BE2DB6" w:rsidP="00BE2DB6">
      <w:pPr>
        <w:pStyle w:val="ListParagraph"/>
        <w:numPr>
          <w:ilvl w:val="0"/>
          <w:numId w:val="1"/>
        </w:numPr>
        <w:spacing w:after="0" w:line="240" w:lineRule="auto"/>
        <w:rPr>
          <w:sz w:val="20"/>
        </w:rPr>
      </w:pPr>
      <w:r>
        <w:rPr>
          <w:sz w:val="20"/>
        </w:rPr>
        <w:lastRenderedPageBreak/>
        <w:t xml:space="preserve">Neurofibromatose type I = maladie de </w:t>
      </w:r>
      <w:r w:rsidRPr="00BE2DB6">
        <w:rPr>
          <w:sz w:val="20"/>
          <w:highlight w:val="yellow"/>
        </w:rPr>
        <w:t>Von Recklinghausen</w:t>
      </w:r>
      <w:r>
        <w:rPr>
          <w:sz w:val="20"/>
        </w:rPr>
        <w:t xml:space="preserve"> : présente taches café au lait au niveau de la peau et nodules de </w:t>
      </w:r>
      <w:proofErr w:type="spellStart"/>
      <w:r>
        <w:rPr>
          <w:sz w:val="20"/>
        </w:rPr>
        <w:t>Lisch</w:t>
      </w:r>
      <w:proofErr w:type="spellEnd"/>
      <w:r>
        <w:rPr>
          <w:sz w:val="20"/>
        </w:rPr>
        <w:t xml:space="preserve"> (nodules colorées dans l’iris). Faire examen dermato et ophtalmo des parents. Si normal, mutation des novo fort probable. La neurofibromatose type 1 augmente les risques de phéochromocytome, HTA, CA sein…</w:t>
      </w:r>
    </w:p>
    <w:p w:rsidR="00BE2DB6" w:rsidRPr="00BE2DB6" w:rsidRDefault="00BE2DB6" w:rsidP="00BE2DB6">
      <w:pPr>
        <w:pStyle w:val="ListParagraph"/>
        <w:numPr>
          <w:ilvl w:val="0"/>
          <w:numId w:val="1"/>
        </w:numPr>
        <w:spacing w:line="240" w:lineRule="auto"/>
        <w:rPr>
          <w:sz w:val="20"/>
        </w:rPr>
      </w:pPr>
      <w:r>
        <w:rPr>
          <w:sz w:val="20"/>
        </w:rPr>
        <w:t>Maladie Steinert :</w:t>
      </w:r>
      <w:r w:rsidR="000D7320">
        <w:rPr>
          <w:sz w:val="20"/>
        </w:rPr>
        <w:t xml:space="preserve"> dystrophie </w:t>
      </w:r>
      <w:proofErr w:type="spellStart"/>
      <w:r w:rsidR="000D7320">
        <w:rPr>
          <w:sz w:val="20"/>
        </w:rPr>
        <w:t>myotonique</w:t>
      </w:r>
      <w:proofErr w:type="spellEnd"/>
      <w:r w:rsidR="000D7320">
        <w:rPr>
          <w:sz w:val="20"/>
        </w:rPr>
        <w:t xml:space="preserve"> résultant d’une duplication du triplet CTG dans le gène DMPK. </w:t>
      </w:r>
      <w:r w:rsidR="000D7320" w:rsidRPr="000D7320">
        <w:rPr>
          <w:sz w:val="20"/>
        </w:rPr>
        <w:t xml:space="preserve">La forme classique est caractérisée par une faiblesse musculaire généralisée et une </w:t>
      </w:r>
      <w:proofErr w:type="spellStart"/>
      <w:r w:rsidR="000D7320" w:rsidRPr="000D7320">
        <w:rPr>
          <w:sz w:val="20"/>
        </w:rPr>
        <w:t>myotonie</w:t>
      </w:r>
      <w:proofErr w:type="spellEnd"/>
      <w:r w:rsidR="000D7320" w:rsidRPr="000D7320">
        <w:rPr>
          <w:sz w:val="20"/>
        </w:rPr>
        <w:t xml:space="preserve"> généralisée, une cataracte et des troubles de la conduction cardiaque.</w:t>
      </w:r>
      <w:r w:rsidR="000D7320" w:rsidRPr="000D7320">
        <w:rPr>
          <w:rFonts w:ascii="Arial" w:hAnsi="Arial" w:cs="Arial"/>
          <w:color w:val="252525"/>
          <w:sz w:val="13"/>
          <w:szCs w:val="15"/>
          <w:shd w:val="clear" w:color="auto" w:fill="FFFFFF"/>
        </w:rPr>
        <w:t xml:space="preserve"> </w:t>
      </w:r>
      <w:r w:rsidR="000D7320">
        <w:rPr>
          <w:sz w:val="20"/>
        </w:rPr>
        <w:t>Comme pour la maladie de Huntington/X fragile, la maladie apparaît de plus en plus tôt et sous forme de plus en plus sévère avec chaque génération.</w:t>
      </w:r>
      <w:r w:rsidR="000D7320" w:rsidRPr="000D7320">
        <w:rPr>
          <w:rFonts w:ascii="Arial" w:hAnsi="Arial" w:cs="Arial"/>
          <w:color w:val="252525"/>
          <w:sz w:val="15"/>
          <w:szCs w:val="15"/>
          <w:shd w:val="clear" w:color="auto" w:fill="FFFFFF"/>
        </w:rPr>
        <w:t xml:space="preserve"> </w:t>
      </w:r>
    </w:p>
    <w:p w:rsidR="000A4D00" w:rsidRDefault="000A4D00" w:rsidP="00C8168E">
      <w:pPr>
        <w:spacing w:line="240" w:lineRule="auto"/>
        <w:rPr>
          <w:sz w:val="20"/>
        </w:rPr>
      </w:pPr>
      <w:r w:rsidRPr="005508C6">
        <w:rPr>
          <w:b/>
          <w:sz w:val="20"/>
        </w:rPr>
        <w:t>Autosomique récessive</w:t>
      </w:r>
      <w:r w:rsidRPr="005508C6">
        <w:rPr>
          <w:sz w:val="20"/>
        </w:rPr>
        <w:t> :</w:t>
      </w:r>
      <w:r w:rsidR="00C8168E" w:rsidRPr="00C8168E">
        <w:t xml:space="preserve"> </w:t>
      </w:r>
      <w:r w:rsidR="00C8168E">
        <w:rPr>
          <w:sz w:val="20"/>
        </w:rPr>
        <w:t>e</w:t>
      </w:r>
      <w:r w:rsidR="00C8168E" w:rsidRPr="00C8168E">
        <w:rPr>
          <w:sz w:val="20"/>
        </w:rPr>
        <w:t>n général patients atteints dans une seule génération (distribution horizontale)</w:t>
      </w:r>
      <w:r w:rsidR="00C8168E">
        <w:rPr>
          <w:sz w:val="20"/>
        </w:rPr>
        <w:t>.</w:t>
      </w:r>
      <w:r w:rsidR="00C8168E" w:rsidRPr="00C8168E">
        <w:rPr>
          <w:sz w:val="20"/>
        </w:rPr>
        <w:t xml:space="preserve"> La consanguinité parentale majore le risque d’avoir des enfants atteints d’une maladie récessive</w:t>
      </w:r>
      <w:r w:rsidR="00C8168E">
        <w:rPr>
          <w:sz w:val="20"/>
        </w:rPr>
        <w:t xml:space="preserve">. </w:t>
      </w:r>
      <w:r w:rsidR="00C8168E" w:rsidRPr="00C8168E">
        <w:rPr>
          <w:sz w:val="20"/>
        </w:rPr>
        <w:t>Si le taux de porteurs dans l</w:t>
      </w:r>
      <w:r w:rsidR="00BA6B46">
        <w:rPr>
          <w:sz w:val="20"/>
        </w:rPr>
        <w:t>a population générale est élevé</w:t>
      </w:r>
      <w:r w:rsidR="00C8168E" w:rsidRPr="00C8168E">
        <w:rPr>
          <w:sz w:val="20"/>
        </w:rPr>
        <w:t xml:space="preserve">, un individu atteint peut avoir un enfant atteint : </w:t>
      </w:r>
      <w:r w:rsidR="00C8168E" w:rsidRPr="00C8168E">
        <w:rPr>
          <w:sz w:val="20"/>
          <w:highlight w:val="yellow"/>
        </w:rPr>
        <w:t>hérédité</w:t>
      </w:r>
      <w:r w:rsidR="00C8168E" w:rsidRPr="00C8168E">
        <w:rPr>
          <w:sz w:val="20"/>
        </w:rPr>
        <w:t xml:space="preserve"> </w:t>
      </w:r>
      <w:r w:rsidR="00C8168E" w:rsidRPr="00C8168E">
        <w:rPr>
          <w:sz w:val="20"/>
          <w:highlight w:val="yellow"/>
        </w:rPr>
        <w:t>pseudo-dominante</w:t>
      </w:r>
      <w:r w:rsidR="00C8168E">
        <w:rPr>
          <w:sz w:val="20"/>
        </w:rPr>
        <w:t xml:space="preserve">. </w:t>
      </w:r>
      <w:r w:rsidR="00C8168E" w:rsidRPr="00C8168E">
        <w:rPr>
          <w:sz w:val="20"/>
        </w:rPr>
        <w:t>Maladies atteignent les individus de sexe masculin ou féminin</w:t>
      </w:r>
      <w:r w:rsidR="00C8168E">
        <w:rPr>
          <w:sz w:val="20"/>
        </w:rPr>
        <w:t>.</w:t>
      </w:r>
      <w:r w:rsidR="00C8168E" w:rsidRPr="00C8168E">
        <w:rPr>
          <w:sz w:val="20"/>
        </w:rPr>
        <w:t xml:space="preserve"> Les porteurs </w:t>
      </w:r>
      <w:r w:rsidR="00C8168E">
        <w:rPr>
          <w:sz w:val="20"/>
        </w:rPr>
        <w:t xml:space="preserve">hétérozygotes </w:t>
      </w:r>
      <w:r w:rsidR="00BA6B46">
        <w:rPr>
          <w:sz w:val="20"/>
        </w:rPr>
        <w:t>s</w:t>
      </w:r>
      <w:r w:rsidR="00C8168E" w:rsidRPr="00C8168E">
        <w:rPr>
          <w:sz w:val="20"/>
        </w:rPr>
        <w:t>ont en général sains</w:t>
      </w:r>
      <w:r w:rsidR="00C8168E">
        <w:rPr>
          <w:sz w:val="20"/>
        </w:rPr>
        <w:t xml:space="preserve">. </w:t>
      </w:r>
      <w:r w:rsidR="00C8168E" w:rsidRPr="00C8168E">
        <w:rPr>
          <w:sz w:val="20"/>
        </w:rPr>
        <w:t xml:space="preserve">Le risque de </w:t>
      </w:r>
      <w:r w:rsidR="00C8168E">
        <w:rPr>
          <w:sz w:val="20"/>
        </w:rPr>
        <w:t>récurrence est de 25% dans la f</w:t>
      </w:r>
      <w:r w:rsidR="00C8168E" w:rsidRPr="00C8168E">
        <w:rPr>
          <w:sz w:val="20"/>
        </w:rPr>
        <w:t>ratrie</w:t>
      </w:r>
      <w:r w:rsidR="00C8168E">
        <w:rPr>
          <w:sz w:val="20"/>
        </w:rPr>
        <w:t>.</w:t>
      </w:r>
      <w:r w:rsidR="00C8168E" w:rsidRPr="00C8168E">
        <w:rPr>
          <w:sz w:val="20"/>
        </w:rPr>
        <w:t xml:space="preserve"> Le risque d’être hétérozygote est de 2/3 pour les frères et sœurs </w:t>
      </w:r>
      <w:r w:rsidR="00BA6B46">
        <w:rPr>
          <w:sz w:val="20"/>
        </w:rPr>
        <w:t xml:space="preserve">sains </w:t>
      </w:r>
      <w:r w:rsidR="00C8168E" w:rsidRPr="00C8168E">
        <w:rPr>
          <w:sz w:val="20"/>
        </w:rPr>
        <w:t>d’un individu atteint</w:t>
      </w:r>
      <w:r w:rsidR="00C8168E">
        <w:rPr>
          <w:sz w:val="20"/>
        </w:rPr>
        <w:t>.</w:t>
      </w:r>
    </w:p>
    <w:p w:rsidR="00C8168E" w:rsidRDefault="00C8168E" w:rsidP="00500BF7">
      <w:pPr>
        <w:spacing w:after="0" w:line="240" w:lineRule="auto"/>
        <w:rPr>
          <w:sz w:val="20"/>
        </w:rPr>
      </w:pPr>
      <w:r>
        <w:rPr>
          <w:sz w:val="20"/>
        </w:rPr>
        <w:t>Exemples :</w:t>
      </w:r>
    </w:p>
    <w:p w:rsidR="00C8168E" w:rsidRDefault="00500BF7" w:rsidP="00500BF7">
      <w:pPr>
        <w:pStyle w:val="ListParagraph"/>
        <w:numPr>
          <w:ilvl w:val="0"/>
          <w:numId w:val="1"/>
        </w:numPr>
        <w:spacing w:after="0" w:line="240" w:lineRule="auto"/>
        <w:rPr>
          <w:sz w:val="20"/>
        </w:rPr>
      </w:pPr>
      <w:r>
        <w:rPr>
          <w:sz w:val="20"/>
        </w:rPr>
        <w:t>Certaines surdités :</w:t>
      </w:r>
    </w:p>
    <w:p w:rsidR="00500BF7" w:rsidRDefault="00500BF7" w:rsidP="00500BF7">
      <w:pPr>
        <w:pStyle w:val="ListParagraph"/>
        <w:numPr>
          <w:ilvl w:val="0"/>
          <w:numId w:val="3"/>
        </w:numPr>
        <w:spacing w:line="240" w:lineRule="auto"/>
        <w:rPr>
          <w:sz w:val="20"/>
        </w:rPr>
      </w:pPr>
      <w:r>
        <w:rPr>
          <w:sz w:val="20"/>
        </w:rPr>
        <w:t>10% syndromiques : &gt;500 syndromes, &gt;100 gènes connus.</w:t>
      </w:r>
    </w:p>
    <w:p w:rsidR="00500BF7" w:rsidRDefault="00500BF7" w:rsidP="00500BF7">
      <w:pPr>
        <w:pStyle w:val="ListParagraph"/>
        <w:numPr>
          <w:ilvl w:val="0"/>
          <w:numId w:val="3"/>
        </w:numPr>
        <w:spacing w:line="240" w:lineRule="auto"/>
        <w:rPr>
          <w:sz w:val="20"/>
        </w:rPr>
      </w:pPr>
      <w:r>
        <w:rPr>
          <w:sz w:val="20"/>
        </w:rPr>
        <w:t>90% isolées :</w:t>
      </w:r>
      <w:r w:rsidRPr="00500BF7">
        <w:t xml:space="preserve"> </w:t>
      </w:r>
      <w:r w:rsidRPr="00500BF7">
        <w:rPr>
          <w:sz w:val="20"/>
        </w:rPr>
        <w:t xml:space="preserve">85% </w:t>
      </w:r>
      <w:r>
        <w:rPr>
          <w:sz w:val="20"/>
        </w:rPr>
        <w:t>t</w:t>
      </w:r>
      <w:r w:rsidRPr="00500BF7">
        <w:rPr>
          <w:sz w:val="20"/>
        </w:rPr>
        <w:t xml:space="preserve">ransmission </w:t>
      </w:r>
      <w:r>
        <w:rPr>
          <w:sz w:val="20"/>
        </w:rPr>
        <w:t>r</w:t>
      </w:r>
      <w:r w:rsidRPr="00500BF7">
        <w:rPr>
          <w:sz w:val="20"/>
        </w:rPr>
        <w:t xml:space="preserve">écessive </w:t>
      </w:r>
      <w:r>
        <w:rPr>
          <w:sz w:val="20"/>
        </w:rPr>
        <w:t>a</w:t>
      </w:r>
      <w:r w:rsidRPr="00500BF7">
        <w:rPr>
          <w:sz w:val="20"/>
        </w:rPr>
        <w:t>utosomique</w:t>
      </w:r>
      <w:r>
        <w:rPr>
          <w:sz w:val="20"/>
        </w:rPr>
        <w:t>.</w:t>
      </w:r>
    </w:p>
    <w:p w:rsidR="00500BF7" w:rsidRPr="00500BF7" w:rsidRDefault="00500BF7" w:rsidP="00500BF7">
      <w:pPr>
        <w:pStyle w:val="ListParagraph"/>
        <w:numPr>
          <w:ilvl w:val="0"/>
          <w:numId w:val="3"/>
        </w:numPr>
        <w:spacing w:line="240" w:lineRule="auto"/>
        <w:rPr>
          <w:sz w:val="20"/>
        </w:rPr>
      </w:pPr>
      <w:r w:rsidRPr="00500BF7">
        <w:rPr>
          <w:sz w:val="20"/>
        </w:rPr>
        <w:t>La </w:t>
      </w:r>
      <w:proofErr w:type="spellStart"/>
      <w:r w:rsidRPr="00500BF7">
        <w:rPr>
          <w:sz w:val="20"/>
        </w:rPr>
        <w:t>connexine</w:t>
      </w:r>
      <w:proofErr w:type="spellEnd"/>
      <w:r w:rsidRPr="00500BF7">
        <w:rPr>
          <w:sz w:val="20"/>
        </w:rPr>
        <w:t> 26 est une protéine transmembranaire dont le déficit donne l'une des formes les plus fréquentes de surdité d'origine génétique. Son gène est le GJB2 </w:t>
      </w:r>
      <w:r>
        <w:rPr>
          <w:sz w:val="20"/>
        </w:rPr>
        <w:t>(</w:t>
      </w:r>
      <w:r w:rsidRPr="00500BF7">
        <w:rPr>
          <w:sz w:val="20"/>
        </w:rPr>
        <w:t xml:space="preserve">gap </w:t>
      </w:r>
      <w:proofErr w:type="spellStart"/>
      <w:r w:rsidRPr="00500BF7">
        <w:rPr>
          <w:sz w:val="20"/>
        </w:rPr>
        <w:t>junction</w:t>
      </w:r>
      <w:proofErr w:type="spellEnd"/>
      <w:r w:rsidRPr="00500BF7">
        <w:rPr>
          <w:sz w:val="20"/>
        </w:rPr>
        <w:t xml:space="preserve"> </w:t>
      </w:r>
      <w:r>
        <w:rPr>
          <w:sz w:val="20"/>
        </w:rPr>
        <w:t>β2</w:t>
      </w:r>
      <w:r w:rsidRPr="00500BF7">
        <w:rPr>
          <w:sz w:val="20"/>
        </w:rPr>
        <w:t>).</w:t>
      </w:r>
    </w:p>
    <w:p w:rsidR="00500BF7" w:rsidRDefault="006E2E05" w:rsidP="004B3A0B">
      <w:pPr>
        <w:spacing w:after="0" w:line="240" w:lineRule="auto"/>
        <w:rPr>
          <w:sz w:val="20"/>
          <w:szCs w:val="20"/>
        </w:rPr>
      </w:pPr>
      <w:r w:rsidRPr="006E2E05">
        <w:rPr>
          <w:sz w:val="20"/>
          <w:highlight w:val="yellow"/>
        </w:rPr>
        <w:t>Loi de Hardy-</w:t>
      </w:r>
      <w:proofErr w:type="spellStart"/>
      <w:r w:rsidRPr="006E2E05">
        <w:rPr>
          <w:sz w:val="20"/>
          <w:highlight w:val="yellow"/>
        </w:rPr>
        <w:t>Weingerg</w:t>
      </w:r>
      <w:proofErr w:type="spellEnd"/>
      <w:r>
        <w:rPr>
          <w:sz w:val="20"/>
        </w:rPr>
        <w:t> : a</w:t>
      </w:r>
      <w:r w:rsidRPr="006E2E05">
        <w:rPr>
          <w:sz w:val="20"/>
        </w:rPr>
        <w:t>u cours des générations, la fréquence des génotypes reste</w:t>
      </w:r>
      <w:r>
        <w:rPr>
          <w:sz w:val="20"/>
        </w:rPr>
        <w:t xml:space="preserve"> </w:t>
      </w:r>
      <w:r w:rsidRPr="006E2E05">
        <w:rPr>
          <w:sz w:val="20"/>
        </w:rPr>
        <w:t>constante d'une génération à l'autre s'il n'y a pas de sélection, si</w:t>
      </w:r>
      <w:r>
        <w:rPr>
          <w:sz w:val="20"/>
        </w:rPr>
        <w:t xml:space="preserve"> </w:t>
      </w:r>
      <w:r w:rsidRPr="006E2E05">
        <w:rPr>
          <w:sz w:val="20"/>
        </w:rPr>
        <w:t>la</w:t>
      </w:r>
      <w:r>
        <w:rPr>
          <w:sz w:val="20"/>
        </w:rPr>
        <w:t xml:space="preserve"> </w:t>
      </w:r>
      <w:r w:rsidRPr="006E2E05">
        <w:rPr>
          <w:sz w:val="20"/>
        </w:rPr>
        <w:t>population est grande, s'il n'y a ni mutation</w:t>
      </w:r>
      <w:r>
        <w:rPr>
          <w:sz w:val="20"/>
        </w:rPr>
        <w:t xml:space="preserve"> </w:t>
      </w:r>
      <w:r w:rsidRPr="006E2E05">
        <w:rPr>
          <w:sz w:val="20"/>
        </w:rPr>
        <w:t>de novo, ni migration et</w:t>
      </w:r>
      <w:r>
        <w:rPr>
          <w:sz w:val="20"/>
        </w:rPr>
        <w:t xml:space="preserve"> </w:t>
      </w:r>
      <w:r w:rsidRPr="006E2E05">
        <w:rPr>
          <w:sz w:val="20"/>
        </w:rPr>
        <w:t>si</w:t>
      </w:r>
      <w:r>
        <w:rPr>
          <w:sz w:val="20"/>
        </w:rPr>
        <w:t xml:space="preserve"> </w:t>
      </w:r>
      <w:r w:rsidRPr="006E2E05">
        <w:rPr>
          <w:sz w:val="20"/>
        </w:rPr>
        <w:t>les</w:t>
      </w:r>
      <w:r>
        <w:rPr>
          <w:sz w:val="20"/>
        </w:rPr>
        <w:t xml:space="preserve"> </w:t>
      </w:r>
      <w:r w:rsidRPr="006E2E05">
        <w:rPr>
          <w:sz w:val="20"/>
        </w:rPr>
        <w:t>unions</w:t>
      </w:r>
      <w:r>
        <w:rPr>
          <w:sz w:val="20"/>
        </w:rPr>
        <w:t xml:space="preserve"> </w:t>
      </w:r>
      <w:r w:rsidRPr="006E2E05">
        <w:rPr>
          <w:sz w:val="20"/>
        </w:rPr>
        <w:t>se</w:t>
      </w:r>
      <w:r>
        <w:rPr>
          <w:sz w:val="20"/>
        </w:rPr>
        <w:t xml:space="preserve"> </w:t>
      </w:r>
      <w:r w:rsidRPr="006E2E05">
        <w:rPr>
          <w:sz w:val="20"/>
        </w:rPr>
        <w:t>font</w:t>
      </w:r>
      <w:r>
        <w:rPr>
          <w:sz w:val="20"/>
        </w:rPr>
        <w:t xml:space="preserve"> </w:t>
      </w:r>
      <w:r w:rsidRPr="006E2E05">
        <w:rPr>
          <w:sz w:val="20"/>
        </w:rPr>
        <w:t>au</w:t>
      </w:r>
      <w:r>
        <w:rPr>
          <w:sz w:val="20"/>
        </w:rPr>
        <w:t xml:space="preserve"> </w:t>
      </w:r>
      <w:r w:rsidRPr="006E2E05">
        <w:rPr>
          <w:sz w:val="20"/>
        </w:rPr>
        <w:t>hasard.</w:t>
      </w:r>
      <w:r>
        <w:rPr>
          <w:sz w:val="20"/>
        </w:rPr>
        <w:t xml:space="preserve"> </w:t>
      </w:r>
      <w:r w:rsidRPr="006E2E05">
        <w:rPr>
          <w:sz w:val="20"/>
          <w:szCs w:val="20"/>
        </w:rPr>
        <w:t xml:space="preserve">La fréquences génomiques </w:t>
      </w:r>
      <w:r w:rsidRPr="006E2E05">
        <w:rPr>
          <w:rFonts w:cstheme="minorHAnsi"/>
          <w:sz w:val="20"/>
          <w:szCs w:val="20"/>
        </w:rPr>
        <w:t>≠</w:t>
      </w:r>
      <w:r w:rsidR="00BA6B46">
        <w:rPr>
          <w:rFonts w:cstheme="minorHAnsi"/>
          <w:sz w:val="20"/>
          <w:szCs w:val="20"/>
        </w:rPr>
        <w:t xml:space="preserve"> </w:t>
      </w:r>
      <w:r w:rsidRPr="006E2E05">
        <w:rPr>
          <w:sz w:val="20"/>
          <w:szCs w:val="20"/>
        </w:rPr>
        <w:t>fréquences phénotypiques !</w:t>
      </w:r>
    </w:p>
    <w:p w:rsidR="004B3A0B" w:rsidRPr="004B3A0B" w:rsidRDefault="006E2E05" w:rsidP="004B3A0B">
      <w:pPr>
        <w:pStyle w:val="ListParagraph"/>
        <w:numPr>
          <w:ilvl w:val="0"/>
          <w:numId w:val="1"/>
        </w:numPr>
        <w:spacing w:after="0"/>
        <w:rPr>
          <w:sz w:val="20"/>
          <w:szCs w:val="20"/>
        </w:rPr>
      </w:pPr>
      <w:r w:rsidRPr="004B3A0B">
        <w:rPr>
          <w:sz w:val="20"/>
          <w:szCs w:val="20"/>
        </w:rPr>
        <w:t xml:space="preserve">p = f(A) = fréquence </w:t>
      </w:r>
      <w:proofErr w:type="spellStart"/>
      <w:r w:rsidRPr="004B3A0B">
        <w:rPr>
          <w:sz w:val="20"/>
          <w:szCs w:val="20"/>
        </w:rPr>
        <w:t>allélique</w:t>
      </w:r>
      <w:proofErr w:type="spellEnd"/>
      <w:r w:rsidRPr="004B3A0B">
        <w:rPr>
          <w:sz w:val="20"/>
          <w:szCs w:val="20"/>
        </w:rPr>
        <w:t xml:space="preserve"> de A</w:t>
      </w:r>
      <w:r w:rsidR="004B3A0B">
        <w:rPr>
          <w:sz w:val="20"/>
          <w:szCs w:val="20"/>
        </w:rPr>
        <w:t>,</w:t>
      </w:r>
      <w:r w:rsidR="004B3A0B">
        <w:rPr>
          <w:sz w:val="20"/>
          <w:szCs w:val="20"/>
        </w:rPr>
        <w:tab/>
        <w:t xml:space="preserve"> </w:t>
      </w:r>
      <w:r w:rsidRPr="004B3A0B">
        <w:rPr>
          <w:sz w:val="20"/>
          <w:szCs w:val="20"/>
        </w:rPr>
        <w:t xml:space="preserve">q = </w:t>
      </w:r>
      <w:r w:rsidR="004B3A0B" w:rsidRPr="004B3A0B">
        <w:rPr>
          <w:sz w:val="20"/>
          <w:szCs w:val="20"/>
        </w:rPr>
        <w:t xml:space="preserve">f(a) = fréquence </w:t>
      </w:r>
      <w:proofErr w:type="spellStart"/>
      <w:r w:rsidR="004B3A0B" w:rsidRPr="004B3A0B">
        <w:rPr>
          <w:sz w:val="20"/>
          <w:szCs w:val="20"/>
        </w:rPr>
        <w:t>allélique</w:t>
      </w:r>
      <w:proofErr w:type="spellEnd"/>
      <w:r w:rsidR="004B3A0B" w:rsidRPr="004B3A0B">
        <w:rPr>
          <w:sz w:val="20"/>
          <w:szCs w:val="20"/>
        </w:rPr>
        <w:t xml:space="preserve"> de a</w:t>
      </w:r>
    </w:p>
    <w:p w:rsidR="004B3A0B" w:rsidRPr="004B3A0B" w:rsidRDefault="006E2E05" w:rsidP="004B3A0B">
      <w:pPr>
        <w:pStyle w:val="ListParagraph"/>
        <w:numPr>
          <w:ilvl w:val="0"/>
          <w:numId w:val="1"/>
        </w:numPr>
        <w:rPr>
          <w:sz w:val="20"/>
          <w:szCs w:val="20"/>
        </w:rPr>
      </w:pPr>
      <w:r w:rsidRPr="004B3A0B">
        <w:rPr>
          <w:sz w:val="20"/>
          <w:szCs w:val="20"/>
        </w:rPr>
        <w:t>p+q = 1, donc (p+q)</w:t>
      </w:r>
      <w:r w:rsidRPr="004B3A0B">
        <w:rPr>
          <w:sz w:val="20"/>
          <w:szCs w:val="20"/>
          <w:vertAlign w:val="superscript"/>
        </w:rPr>
        <w:t>2</w:t>
      </w:r>
      <w:r w:rsidRPr="004B3A0B">
        <w:rPr>
          <w:sz w:val="20"/>
          <w:szCs w:val="20"/>
        </w:rPr>
        <w:t>= p</w:t>
      </w:r>
      <w:r w:rsidRPr="004B3A0B">
        <w:rPr>
          <w:sz w:val="20"/>
          <w:szCs w:val="20"/>
          <w:vertAlign w:val="superscript"/>
        </w:rPr>
        <w:t>2</w:t>
      </w:r>
      <w:r w:rsidRPr="004B3A0B">
        <w:rPr>
          <w:sz w:val="20"/>
          <w:szCs w:val="20"/>
        </w:rPr>
        <w:t xml:space="preserve"> + 2pq + q</w:t>
      </w:r>
      <w:r w:rsidRPr="004B3A0B">
        <w:rPr>
          <w:sz w:val="20"/>
          <w:szCs w:val="20"/>
          <w:vertAlign w:val="superscript"/>
        </w:rPr>
        <w:t>2</w:t>
      </w:r>
    </w:p>
    <w:p w:rsidR="004B3A0B" w:rsidRDefault="004B3A0B" w:rsidP="004B3A0B">
      <w:pPr>
        <w:pStyle w:val="ListParagraph"/>
        <w:numPr>
          <w:ilvl w:val="0"/>
          <w:numId w:val="1"/>
        </w:numPr>
        <w:jc w:val="both"/>
        <w:rPr>
          <w:sz w:val="20"/>
          <w:szCs w:val="20"/>
        </w:rPr>
      </w:pPr>
      <w:r w:rsidRPr="004B3A0B">
        <w:rPr>
          <w:sz w:val="20"/>
          <w:szCs w:val="20"/>
        </w:rPr>
        <w:t>L</w:t>
      </w:r>
      <w:r w:rsidR="006E2E05" w:rsidRPr="004B3A0B">
        <w:rPr>
          <w:sz w:val="20"/>
          <w:szCs w:val="20"/>
        </w:rPr>
        <w:t>’incidence</w:t>
      </w:r>
      <w:r>
        <w:rPr>
          <w:sz w:val="20"/>
          <w:szCs w:val="20"/>
        </w:rPr>
        <w:t xml:space="preserve"> (i.e. fréquence d’homozygote </w:t>
      </w:r>
      <w:proofErr w:type="spellStart"/>
      <w:r>
        <w:rPr>
          <w:sz w:val="20"/>
          <w:szCs w:val="20"/>
        </w:rPr>
        <w:t>aa</w:t>
      </w:r>
      <w:proofErr w:type="spellEnd"/>
      <w:r>
        <w:rPr>
          <w:sz w:val="20"/>
          <w:szCs w:val="20"/>
        </w:rPr>
        <w:t>)</w:t>
      </w:r>
      <w:r w:rsidR="006E2E05" w:rsidRPr="004B3A0B">
        <w:rPr>
          <w:sz w:val="20"/>
          <w:szCs w:val="20"/>
        </w:rPr>
        <w:t xml:space="preserve"> = q</w:t>
      </w:r>
      <w:r w:rsidR="006E2E05" w:rsidRPr="004B3A0B">
        <w:rPr>
          <w:sz w:val="20"/>
          <w:szCs w:val="20"/>
          <w:vertAlign w:val="superscript"/>
        </w:rPr>
        <w:t>2</w:t>
      </w:r>
      <w:r w:rsidR="006E2E05" w:rsidRPr="004B3A0B">
        <w:rPr>
          <w:sz w:val="20"/>
          <w:szCs w:val="20"/>
        </w:rPr>
        <w:t xml:space="preserve"> (donc on peut </w:t>
      </w:r>
      <w:r>
        <w:rPr>
          <w:sz w:val="20"/>
          <w:szCs w:val="20"/>
        </w:rPr>
        <w:t xml:space="preserve">en </w:t>
      </w:r>
      <w:r w:rsidR="006E2E05" w:rsidRPr="004B3A0B">
        <w:rPr>
          <w:sz w:val="20"/>
          <w:szCs w:val="20"/>
        </w:rPr>
        <w:t>déduire p et q</w:t>
      </w:r>
      <w:r>
        <w:rPr>
          <w:sz w:val="20"/>
          <w:szCs w:val="20"/>
        </w:rPr>
        <w:t>).</w:t>
      </w:r>
    </w:p>
    <w:p w:rsidR="00F32E46" w:rsidRDefault="00A8708B" w:rsidP="00A8708B">
      <w:pPr>
        <w:spacing w:after="0"/>
        <w:jc w:val="both"/>
        <w:rPr>
          <w:sz w:val="20"/>
          <w:szCs w:val="20"/>
        </w:rPr>
      </w:pPr>
      <w:r>
        <w:rPr>
          <w:noProof/>
          <w:sz w:val="20"/>
          <w:szCs w:val="20"/>
          <w:lang w:eastAsia="fr-CH"/>
        </w:rPr>
        <w:drawing>
          <wp:anchor distT="0" distB="0" distL="114300" distR="114300" simplePos="0" relativeHeight="251660288" behindDoc="0" locked="0" layoutInCell="1" allowOverlap="1">
            <wp:simplePos x="0" y="0"/>
            <wp:positionH relativeFrom="column">
              <wp:posOffset>3145155</wp:posOffset>
            </wp:positionH>
            <wp:positionV relativeFrom="paragraph">
              <wp:posOffset>137795</wp:posOffset>
            </wp:positionV>
            <wp:extent cx="3296920" cy="2101215"/>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3296920" cy="2101215"/>
                    </a:xfrm>
                    <a:prstGeom prst="rect">
                      <a:avLst/>
                    </a:prstGeom>
                    <a:noFill/>
                    <a:ln w="9525">
                      <a:noFill/>
                      <a:miter lim="800000"/>
                      <a:headEnd/>
                      <a:tailEnd/>
                    </a:ln>
                  </pic:spPr>
                </pic:pic>
              </a:graphicData>
            </a:graphic>
          </wp:anchor>
        </w:drawing>
      </w:r>
      <w:r w:rsidR="00F32E46">
        <w:rPr>
          <w:sz w:val="20"/>
          <w:szCs w:val="20"/>
        </w:rPr>
        <w:t>Exemple</w:t>
      </w:r>
      <w:r>
        <w:rPr>
          <w:sz w:val="20"/>
          <w:szCs w:val="20"/>
        </w:rPr>
        <w:t>s</w:t>
      </w:r>
      <w:r w:rsidR="00F32E46">
        <w:rPr>
          <w:sz w:val="20"/>
          <w:szCs w:val="20"/>
        </w:rPr>
        <w:t xml:space="preserve"> d’exercice</w:t>
      </w:r>
      <w:r>
        <w:rPr>
          <w:sz w:val="20"/>
          <w:szCs w:val="20"/>
        </w:rPr>
        <w:t>s</w:t>
      </w:r>
      <w:r w:rsidR="00F32E46">
        <w:rPr>
          <w:sz w:val="20"/>
          <w:szCs w:val="20"/>
        </w:rPr>
        <w:t> :</w:t>
      </w:r>
    </w:p>
    <w:p w:rsidR="00F32E46" w:rsidRPr="00F32E46" w:rsidRDefault="00F32E46" w:rsidP="00A8708B">
      <w:pPr>
        <w:spacing w:after="0"/>
        <w:jc w:val="both"/>
        <w:rPr>
          <w:sz w:val="20"/>
          <w:szCs w:val="20"/>
        </w:rPr>
      </w:pPr>
      <w:r w:rsidRPr="00F32E46">
        <w:rPr>
          <w:noProof/>
          <w:szCs w:val="20"/>
          <w:lang w:eastAsia="fr-CH"/>
        </w:rPr>
        <w:drawing>
          <wp:inline distT="0" distB="0" distL="0" distR="0">
            <wp:extent cx="2618947" cy="184927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623212" cy="1852284"/>
                    </a:xfrm>
                    <a:prstGeom prst="rect">
                      <a:avLst/>
                    </a:prstGeom>
                    <a:noFill/>
                    <a:ln w="9525">
                      <a:noFill/>
                      <a:miter lim="800000"/>
                      <a:headEnd/>
                      <a:tailEnd/>
                    </a:ln>
                  </pic:spPr>
                </pic:pic>
              </a:graphicData>
            </a:graphic>
          </wp:inline>
        </w:drawing>
      </w:r>
      <w:r w:rsidRPr="00F32E46">
        <w:rPr>
          <w:sz w:val="20"/>
          <w:szCs w:val="20"/>
        </w:rPr>
        <w:t xml:space="preserve"> </w:t>
      </w:r>
    </w:p>
    <w:p w:rsidR="00A8708B" w:rsidRDefault="00A8708B" w:rsidP="00A8708B">
      <w:pPr>
        <w:spacing w:line="240" w:lineRule="auto"/>
        <w:rPr>
          <w:b/>
          <w:sz w:val="20"/>
        </w:rPr>
      </w:pPr>
      <w:r>
        <w:rPr>
          <w:b/>
          <w:noProof/>
          <w:sz w:val="20"/>
          <w:lang w:eastAsia="fr-CH"/>
        </w:rPr>
        <w:drawing>
          <wp:anchor distT="0" distB="0" distL="114300" distR="114300" simplePos="0" relativeHeight="251661312" behindDoc="0" locked="0" layoutInCell="1" allowOverlap="1">
            <wp:simplePos x="0" y="0"/>
            <wp:positionH relativeFrom="column">
              <wp:posOffset>1207135</wp:posOffset>
            </wp:positionH>
            <wp:positionV relativeFrom="paragraph">
              <wp:posOffset>271145</wp:posOffset>
            </wp:positionV>
            <wp:extent cx="3283585" cy="2312670"/>
            <wp:effectExtent l="1905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283585" cy="2312670"/>
                    </a:xfrm>
                    <a:prstGeom prst="rect">
                      <a:avLst/>
                    </a:prstGeom>
                    <a:noFill/>
                    <a:ln w="9525">
                      <a:noFill/>
                      <a:miter lim="800000"/>
                      <a:headEnd/>
                      <a:tailEnd/>
                    </a:ln>
                  </pic:spPr>
                </pic:pic>
              </a:graphicData>
            </a:graphic>
          </wp:anchor>
        </w:drawing>
      </w:r>
    </w:p>
    <w:p w:rsidR="00A8708B" w:rsidRDefault="00A8708B">
      <w:pPr>
        <w:rPr>
          <w:b/>
          <w:sz w:val="20"/>
        </w:rPr>
      </w:pPr>
      <w:r>
        <w:rPr>
          <w:b/>
          <w:sz w:val="20"/>
        </w:rPr>
        <w:br w:type="page"/>
      </w:r>
    </w:p>
    <w:p w:rsidR="000A4D00" w:rsidRDefault="000A4D00" w:rsidP="00A8708B">
      <w:pPr>
        <w:spacing w:after="0" w:line="240" w:lineRule="auto"/>
        <w:rPr>
          <w:sz w:val="20"/>
        </w:rPr>
      </w:pPr>
      <w:r w:rsidRPr="005508C6">
        <w:rPr>
          <w:b/>
          <w:sz w:val="20"/>
        </w:rPr>
        <w:lastRenderedPageBreak/>
        <w:t>Récessive liée à X</w:t>
      </w:r>
      <w:r w:rsidRPr="005508C6">
        <w:rPr>
          <w:sz w:val="20"/>
        </w:rPr>
        <w:t> :</w:t>
      </w:r>
    </w:p>
    <w:p w:rsidR="00A8708B" w:rsidRPr="00A8708B" w:rsidRDefault="00A8708B" w:rsidP="00A8708B">
      <w:pPr>
        <w:pStyle w:val="ListParagraph"/>
        <w:numPr>
          <w:ilvl w:val="0"/>
          <w:numId w:val="1"/>
        </w:numPr>
        <w:spacing w:after="0" w:line="240" w:lineRule="auto"/>
        <w:rPr>
          <w:sz w:val="20"/>
        </w:rPr>
      </w:pPr>
      <w:r w:rsidRPr="00A8708B">
        <w:rPr>
          <w:sz w:val="20"/>
        </w:rPr>
        <w:t xml:space="preserve">Si mère </w:t>
      </w:r>
      <w:r w:rsidR="00C63D29">
        <w:rPr>
          <w:sz w:val="20"/>
        </w:rPr>
        <w:t>porteus</w:t>
      </w:r>
      <w:r w:rsidRPr="00A8708B">
        <w:rPr>
          <w:sz w:val="20"/>
        </w:rPr>
        <w:t>e</w:t>
      </w:r>
      <w:r>
        <w:rPr>
          <w:sz w:val="20"/>
        </w:rPr>
        <w:t>: 50% des garçons atteints, 50</w:t>
      </w:r>
      <w:r w:rsidRPr="00A8708B">
        <w:rPr>
          <w:sz w:val="20"/>
        </w:rPr>
        <w:t xml:space="preserve">% des filles </w:t>
      </w:r>
      <w:r w:rsidR="00E70BBF">
        <w:rPr>
          <w:sz w:val="20"/>
        </w:rPr>
        <w:t>porteuse</w:t>
      </w:r>
      <w:r w:rsidRPr="00A8708B">
        <w:rPr>
          <w:sz w:val="20"/>
        </w:rPr>
        <w:t>s</w:t>
      </w:r>
    </w:p>
    <w:p w:rsidR="00A8708B" w:rsidRDefault="00A8708B" w:rsidP="00A8708B">
      <w:pPr>
        <w:pStyle w:val="ListParagraph"/>
        <w:numPr>
          <w:ilvl w:val="0"/>
          <w:numId w:val="1"/>
        </w:numPr>
        <w:spacing w:line="240" w:lineRule="auto"/>
        <w:rPr>
          <w:sz w:val="20"/>
        </w:rPr>
      </w:pPr>
      <w:r w:rsidRPr="00A8708B">
        <w:rPr>
          <w:sz w:val="20"/>
        </w:rPr>
        <w:t>Si père atteint: 100</w:t>
      </w:r>
      <w:r>
        <w:rPr>
          <w:sz w:val="20"/>
        </w:rPr>
        <w:t>% des garçons sains, 100</w:t>
      </w:r>
      <w:r w:rsidRPr="00A8708B">
        <w:rPr>
          <w:sz w:val="20"/>
        </w:rPr>
        <w:t>% des filles conductrices</w:t>
      </w:r>
    </w:p>
    <w:p w:rsidR="00A8708B" w:rsidRDefault="00A8708B" w:rsidP="00A8708B">
      <w:pPr>
        <w:pStyle w:val="ListParagraph"/>
        <w:numPr>
          <w:ilvl w:val="0"/>
          <w:numId w:val="1"/>
        </w:numPr>
        <w:spacing w:line="240" w:lineRule="auto"/>
        <w:rPr>
          <w:sz w:val="20"/>
        </w:rPr>
      </w:pPr>
      <w:r>
        <w:rPr>
          <w:sz w:val="20"/>
        </w:rPr>
        <w:t>Cas où filles atteintes :</w:t>
      </w:r>
    </w:p>
    <w:p w:rsidR="00A8708B" w:rsidRPr="00A8708B" w:rsidRDefault="00A8708B" w:rsidP="00A8708B">
      <w:pPr>
        <w:pStyle w:val="ListParagraph"/>
        <w:numPr>
          <w:ilvl w:val="0"/>
          <w:numId w:val="8"/>
        </w:numPr>
        <w:spacing w:line="240" w:lineRule="auto"/>
        <w:rPr>
          <w:sz w:val="20"/>
        </w:rPr>
      </w:pPr>
      <w:r w:rsidRPr="00A8708B">
        <w:rPr>
          <w:sz w:val="20"/>
        </w:rPr>
        <w:t>Monosomie X</w:t>
      </w:r>
      <w:r w:rsidR="00E70BBF">
        <w:rPr>
          <w:sz w:val="20"/>
        </w:rPr>
        <w:t xml:space="preserve"> (Turner)</w:t>
      </w:r>
    </w:p>
    <w:p w:rsidR="00A8708B" w:rsidRPr="00A8708B" w:rsidRDefault="00A8708B" w:rsidP="00A8708B">
      <w:pPr>
        <w:pStyle w:val="ListParagraph"/>
        <w:numPr>
          <w:ilvl w:val="0"/>
          <w:numId w:val="8"/>
        </w:numPr>
        <w:spacing w:line="240" w:lineRule="auto"/>
        <w:rPr>
          <w:sz w:val="20"/>
        </w:rPr>
      </w:pPr>
      <w:r w:rsidRPr="00A8708B">
        <w:rPr>
          <w:sz w:val="20"/>
        </w:rPr>
        <w:t>Biais d’inactivation</w:t>
      </w:r>
    </w:p>
    <w:p w:rsidR="00A8708B" w:rsidRPr="00A8708B" w:rsidRDefault="00A8708B" w:rsidP="00A8708B">
      <w:pPr>
        <w:pStyle w:val="ListParagraph"/>
        <w:numPr>
          <w:ilvl w:val="0"/>
          <w:numId w:val="8"/>
        </w:numPr>
        <w:spacing w:line="240" w:lineRule="auto"/>
        <w:rPr>
          <w:sz w:val="20"/>
        </w:rPr>
      </w:pPr>
      <w:r w:rsidRPr="00A8708B">
        <w:rPr>
          <w:sz w:val="20"/>
        </w:rPr>
        <w:t>Mutation sur l’allèle homologue (homozygote)</w:t>
      </w:r>
    </w:p>
    <w:p w:rsidR="000A4D00" w:rsidRDefault="000A4D00" w:rsidP="007837C2">
      <w:pPr>
        <w:spacing w:after="0" w:line="240" w:lineRule="auto"/>
        <w:rPr>
          <w:sz w:val="20"/>
        </w:rPr>
      </w:pPr>
      <w:r w:rsidRPr="005508C6">
        <w:rPr>
          <w:b/>
          <w:sz w:val="20"/>
        </w:rPr>
        <w:t>Dominante liée à X</w:t>
      </w:r>
      <w:r w:rsidRPr="005508C6">
        <w:rPr>
          <w:sz w:val="20"/>
        </w:rPr>
        <w:t> :</w:t>
      </w:r>
    </w:p>
    <w:p w:rsidR="007837C2" w:rsidRPr="007837C2" w:rsidRDefault="007837C2" w:rsidP="007837C2">
      <w:pPr>
        <w:pStyle w:val="ListParagraph"/>
        <w:numPr>
          <w:ilvl w:val="0"/>
          <w:numId w:val="1"/>
        </w:numPr>
        <w:spacing w:after="0" w:line="240" w:lineRule="auto"/>
        <w:rPr>
          <w:sz w:val="20"/>
        </w:rPr>
      </w:pPr>
      <w:r w:rsidRPr="007837C2">
        <w:rPr>
          <w:sz w:val="20"/>
        </w:rPr>
        <w:t>Mère atteinte : 50 % des garçons atteints, 50 % des filles atteintes</w:t>
      </w:r>
    </w:p>
    <w:p w:rsidR="007837C2" w:rsidRPr="007837C2" w:rsidRDefault="007837C2" w:rsidP="007837C2">
      <w:pPr>
        <w:pStyle w:val="ListParagraph"/>
        <w:numPr>
          <w:ilvl w:val="0"/>
          <w:numId w:val="1"/>
        </w:numPr>
        <w:spacing w:after="0" w:line="240" w:lineRule="auto"/>
        <w:rPr>
          <w:sz w:val="20"/>
        </w:rPr>
      </w:pPr>
      <w:r w:rsidRPr="007837C2">
        <w:rPr>
          <w:sz w:val="20"/>
        </w:rPr>
        <w:t>Père atteint : 100 % des filles atteintes, 100% des garçons sains</w:t>
      </w:r>
    </w:p>
    <w:p w:rsidR="007837C2" w:rsidRPr="007837C2" w:rsidRDefault="00E70BBF" w:rsidP="007837C2">
      <w:pPr>
        <w:pStyle w:val="ListParagraph"/>
        <w:numPr>
          <w:ilvl w:val="0"/>
          <w:numId w:val="1"/>
        </w:numPr>
        <w:spacing w:line="240" w:lineRule="auto"/>
        <w:rPr>
          <w:sz w:val="20"/>
        </w:rPr>
      </w:pPr>
      <w:r>
        <w:rPr>
          <w:sz w:val="20"/>
        </w:rPr>
        <w:t>E</w:t>
      </w:r>
      <w:r w:rsidR="007837C2" w:rsidRPr="007837C2">
        <w:rPr>
          <w:sz w:val="20"/>
        </w:rPr>
        <w:t xml:space="preserve">n général l’atteinte des garçons est plus sévère </w:t>
      </w:r>
    </w:p>
    <w:p w:rsidR="007837C2" w:rsidRDefault="007837C2" w:rsidP="007837C2">
      <w:pPr>
        <w:pStyle w:val="ListParagraph"/>
        <w:numPr>
          <w:ilvl w:val="0"/>
          <w:numId w:val="1"/>
        </w:numPr>
        <w:spacing w:line="240" w:lineRule="auto"/>
        <w:rPr>
          <w:sz w:val="20"/>
        </w:rPr>
      </w:pPr>
      <w:r w:rsidRPr="007837C2">
        <w:rPr>
          <w:sz w:val="20"/>
        </w:rPr>
        <w:t>Ex</w:t>
      </w:r>
      <w:r>
        <w:rPr>
          <w:sz w:val="20"/>
        </w:rPr>
        <w:t>emples :</w:t>
      </w:r>
    </w:p>
    <w:p w:rsidR="007837C2" w:rsidRDefault="007837C2" w:rsidP="007837C2">
      <w:pPr>
        <w:pStyle w:val="ListParagraph"/>
        <w:numPr>
          <w:ilvl w:val="0"/>
          <w:numId w:val="10"/>
        </w:numPr>
        <w:spacing w:line="240" w:lineRule="auto"/>
        <w:rPr>
          <w:sz w:val="20"/>
        </w:rPr>
      </w:pPr>
      <w:r>
        <w:rPr>
          <w:sz w:val="20"/>
        </w:rPr>
        <w:t>r</w:t>
      </w:r>
      <w:r w:rsidRPr="007837C2">
        <w:rPr>
          <w:sz w:val="20"/>
        </w:rPr>
        <w:t xml:space="preserve">achitisme </w:t>
      </w:r>
      <w:proofErr w:type="spellStart"/>
      <w:r w:rsidRPr="007837C2">
        <w:rPr>
          <w:sz w:val="20"/>
        </w:rPr>
        <w:t>vitamino</w:t>
      </w:r>
      <w:proofErr w:type="spellEnd"/>
      <w:r w:rsidRPr="007837C2">
        <w:rPr>
          <w:sz w:val="20"/>
        </w:rPr>
        <w:t>-résistant lié à l’X (PHEX)</w:t>
      </w:r>
    </w:p>
    <w:p w:rsidR="007837C2" w:rsidRPr="007837C2" w:rsidRDefault="007837C2" w:rsidP="007837C2">
      <w:pPr>
        <w:pStyle w:val="ListParagraph"/>
        <w:numPr>
          <w:ilvl w:val="0"/>
          <w:numId w:val="10"/>
        </w:numPr>
        <w:spacing w:line="240" w:lineRule="auto"/>
        <w:rPr>
          <w:sz w:val="20"/>
          <w:lang w:val="en-GB"/>
        </w:rPr>
      </w:pPr>
      <w:r w:rsidRPr="007837C2">
        <w:rPr>
          <w:sz w:val="20"/>
          <w:lang w:val="en-GB"/>
        </w:rPr>
        <w:t xml:space="preserve">syndrome </w:t>
      </w:r>
      <w:proofErr w:type="spellStart"/>
      <w:r w:rsidRPr="007837C2">
        <w:rPr>
          <w:sz w:val="20"/>
          <w:lang w:val="en-GB"/>
        </w:rPr>
        <w:t>oculo</w:t>
      </w:r>
      <w:proofErr w:type="spellEnd"/>
      <w:r w:rsidRPr="007837C2">
        <w:rPr>
          <w:sz w:val="20"/>
          <w:lang w:val="en-GB"/>
        </w:rPr>
        <w:t>-</w:t>
      </w:r>
      <w:proofErr w:type="spellStart"/>
      <w:r w:rsidRPr="007837C2">
        <w:rPr>
          <w:sz w:val="20"/>
          <w:lang w:val="en-GB"/>
        </w:rPr>
        <w:t>facio</w:t>
      </w:r>
      <w:proofErr w:type="spellEnd"/>
      <w:r w:rsidRPr="007837C2">
        <w:rPr>
          <w:sz w:val="20"/>
          <w:lang w:val="en-GB"/>
        </w:rPr>
        <w:t>-cardio-dental (OFCD)</w:t>
      </w:r>
    </w:p>
    <w:p w:rsidR="000A4D00" w:rsidRPr="005508C6" w:rsidRDefault="000A4D00" w:rsidP="007837C2">
      <w:pPr>
        <w:spacing w:line="240" w:lineRule="auto"/>
        <w:rPr>
          <w:sz w:val="20"/>
        </w:rPr>
      </w:pPr>
      <w:r w:rsidRPr="005508C6">
        <w:rPr>
          <w:b/>
          <w:sz w:val="20"/>
        </w:rPr>
        <w:t>Transmission holandrique</w:t>
      </w:r>
      <w:r w:rsidRPr="005508C6">
        <w:rPr>
          <w:sz w:val="20"/>
        </w:rPr>
        <w:t> :</w:t>
      </w:r>
      <w:r w:rsidR="007837C2" w:rsidRPr="007837C2">
        <w:rPr>
          <w:sz w:val="20"/>
        </w:rPr>
        <w:t xml:space="preserve"> </w:t>
      </w:r>
      <w:r w:rsidR="007837C2">
        <w:rPr>
          <w:sz w:val="20"/>
        </w:rPr>
        <w:t>gène/</w:t>
      </w:r>
      <w:r w:rsidR="007837C2" w:rsidRPr="007837C2">
        <w:rPr>
          <w:sz w:val="20"/>
        </w:rPr>
        <w:t>caractère porté et transmi</w:t>
      </w:r>
      <w:r w:rsidR="007837C2">
        <w:rPr>
          <w:sz w:val="20"/>
        </w:rPr>
        <w:t>s exclusivement par le sexe masculin</w:t>
      </w:r>
      <w:r w:rsidR="00E70BBF">
        <w:rPr>
          <w:sz w:val="20"/>
        </w:rPr>
        <w:t xml:space="preserve"> sur chromosome</w:t>
      </w:r>
      <w:r w:rsidR="007837C2">
        <w:rPr>
          <w:sz w:val="20"/>
        </w:rPr>
        <w:t>. En gros, 100</w:t>
      </w:r>
      <w:r w:rsidR="007837C2" w:rsidRPr="007837C2">
        <w:rPr>
          <w:sz w:val="20"/>
        </w:rPr>
        <w:t>% des garçons atteints</w:t>
      </w:r>
      <w:r w:rsidR="007837C2">
        <w:rPr>
          <w:sz w:val="20"/>
        </w:rPr>
        <w:t>, p</w:t>
      </w:r>
      <w:r w:rsidR="007837C2" w:rsidRPr="007837C2">
        <w:rPr>
          <w:sz w:val="20"/>
        </w:rPr>
        <w:t>as de fille atteinte</w:t>
      </w:r>
      <w:r w:rsidR="007837C2">
        <w:rPr>
          <w:sz w:val="20"/>
        </w:rPr>
        <w:t>.</w:t>
      </w:r>
    </w:p>
    <w:p w:rsidR="009F3B55" w:rsidRPr="005508C6" w:rsidRDefault="009F3B55">
      <w:pPr>
        <w:spacing w:line="240" w:lineRule="auto"/>
        <w:rPr>
          <w:sz w:val="20"/>
        </w:rPr>
      </w:pPr>
    </w:p>
    <w:sectPr w:rsidR="009F3B55" w:rsidRPr="005508C6" w:rsidSect="00E04D7C">
      <w:footerReference w:type="default" r:id="rId12"/>
      <w:pgSz w:w="11906" w:h="16838"/>
      <w:pgMar w:top="1135"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16C8" w:rsidRDefault="001516C8" w:rsidP="000A4D00">
      <w:pPr>
        <w:spacing w:after="0" w:line="240" w:lineRule="auto"/>
      </w:pPr>
      <w:r>
        <w:separator/>
      </w:r>
    </w:p>
  </w:endnote>
  <w:endnote w:type="continuationSeparator" w:id="0">
    <w:p w:rsidR="001516C8" w:rsidRDefault="001516C8" w:rsidP="000A4D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738529092"/>
      <w:docPartObj>
        <w:docPartGallery w:val="Page Numbers (Bottom of Page)"/>
        <w:docPartUnique/>
      </w:docPartObj>
    </w:sdtPr>
    <w:sdtContent>
      <w:p w:rsidR="00BE2DB6" w:rsidRPr="000A4D00" w:rsidRDefault="0010423B">
        <w:pPr>
          <w:pStyle w:val="Footer"/>
          <w:jc w:val="right"/>
          <w:rPr>
            <w:sz w:val="18"/>
          </w:rPr>
        </w:pPr>
        <w:r w:rsidRPr="000A4D00">
          <w:rPr>
            <w:sz w:val="18"/>
          </w:rPr>
          <w:fldChar w:fldCharType="begin"/>
        </w:r>
        <w:r w:rsidR="00BE2DB6" w:rsidRPr="000A4D00">
          <w:rPr>
            <w:sz w:val="18"/>
          </w:rPr>
          <w:instrText xml:space="preserve"> PAGE   \* MERGEFORMAT </w:instrText>
        </w:r>
        <w:r w:rsidRPr="000A4D00">
          <w:rPr>
            <w:sz w:val="18"/>
          </w:rPr>
          <w:fldChar w:fldCharType="separate"/>
        </w:r>
        <w:r w:rsidR="00E70BBF">
          <w:rPr>
            <w:noProof/>
            <w:sz w:val="18"/>
          </w:rPr>
          <w:t>4</w:t>
        </w:r>
        <w:r w:rsidRPr="000A4D00">
          <w:rPr>
            <w:sz w:val="18"/>
          </w:rPr>
          <w:fldChar w:fldCharType="end"/>
        </w:r>
      </w:p>
    </w:sdtContent>
  </w:sdt>
  <w:p w:rsidR="00BE2DB6" w:rsidRPr="000A4D00" w:rsidRDefault="00BE2DB6">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16C8" w:rsidRDefault="001516C8" w:rsidP="000A4D00">
      <w:pPr>
        <w:spacing w:after="0" w:line="240" w:lineRule="auto"/>
      </w:pPr>
      <w:r>
        <w:separator/>
      </w:r>
    </w:p>
  </w:footnote>
  <w:footnote w:type="continuationSeparator" w:id="0">
    <w:p w:rsidR="001516C8" w:rsidRDefault="001516C8" w:rsidP="000A4D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60CF5"/>
    <w:multiLevelType w:val="hybridMultilevel"/>
    <w:tmpl w:val="75666EB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FF3720E"/>
    <w:multiLevelType w:val="hybridMultilevel"/>
    <w:tmpl w:val="D87E1414"/>
    <w:lvl w:ilvl="0" w:tplc="0ABE7B40">
      <w:start w:val="1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30363FA5"/>
    <w:multiLevelType w:val="hybridMultilevel"/>
    <w:tmpl w:val="DADA8852"/>
    <w:lvl w:ilvl="0" w:tplc="664A8094">
      <w:start w:val="1"/>
      <w:numFmt w:val="bullet"/>
      <w:lvlText w:val=""/>
      <w:lvlJc w:val="left"/>
      <w:pPr>
        <w:ind w:left="2160" w:hanging="360"/>
      </w:pPr>
      <w:rPr>
        <w:rFonts w:ascii="Symbol" w:hAnsi="Symbol"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
    <w:nsid w:val="3F013A22"/>
    <w:multiLevelType w:val="hybridMultilevel"/>
    <w:tmpl w:val="AE84A91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42992F41"/>
    <w:multiLevelType w:val="hybridMultilevel"/>
    <w:tmpl w:val="0C6E511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4ACD4F48"/>
    <w:multiLevelType w:val="hybridMultilevel"/>
    <w:tmpl w:val="34DE874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4CD41E6C"/>
    <w:multiLevelType w:val="hybridMultilevel"/>
    <w:tmpl w:val="9FA2A4DC"/>
    <w:lvl w:ilvl="0" w:tplc="664A8094">
      <w:start w:val="1"/>
      <w:numFmt w:val="bullet"/>
      <w:lvlText w:val=""/>
      <w:lvlJc w:val="left"/>
      <w:pPr>
        <w:ind w:left="2160" w:hanging="360"/>
      </w:pPr>
      <w:rPr>
        <w:rFonts w:ascii="Symbol" w:hAnsi="Symbol"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7">
    <w:nsid w:val="589E7537"/>
    <w:multiLevelType w:val="hybridMultilevel"/>
    <w:tmpl w:val="0A68B4E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68153278"/>
    <w:multiLevelType w:val="hybridMultilevel"/>
    <w:tmpl w:val="AAC27E5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7505095F"/>
    <w:multiLevelType w:val="hybridMultilevel"/>
    <w:tmpl w:val="6FDA9902"/>
    <w:lvl w:ilvl="0" w:tplc="3BF815AA">
      <w:start w:val="21"/>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8"/>
  </w:num>
  <w:num w:numId="4">
    <w:abstractNumId w:val="5"/>
  </w:num>
  <w:num w:numId="5">
    <w:abstractNumId w:val="6"/>
  </w:num>
  <w:num w:numId="6">
    <w:abstractNumId w:val="1"/>
  </w:num>
  <w:num w:numId="7">
    <w:abstractNumId w:val="2"/>
  </w:num>
  <w:num w:numId="8">
    <w:abstractNumId w:val="0"/>
  </w:num>
  <w:num w:numId="9">
    <w:abstractNumId w:val="4"/>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A4D00"/>
    <w:rsid w:val="00031EBA"/>
    <w:rsid w:val="00051280"/>
    <w:rsid w:val="000A4D00"/>
    <w:rsid w:val="000D3B2B"/>
    <w:rsid w:val="000D7320"/>
    <w:rsid w:val="000F4ECA"/>
    <w:rsid w:val="0010423B"/>
    <w:rsid w:val="00124101"/>
    <w:rsid w:val="001516C8"/>
    <w:rsid w:val="0033620D"/>
    <w:rsid w:val="003D6701"/>
    <w:rsid w:val="0046504F"/>
    <w:rsid w:val="004B3A0B"/>
    <w:rsid w:val="00500BF7"/>
    <w:rsid w:val="005508C6"/>
    <w:rsid w:val="00644704"/>
    <w:rsid w:val="006D1DE6"/>
    <w:rsid w:val="006E2E05"/>
    <w:rsid w:val="00754324"/>
    <w:rsid w:val="00764B21"/>
    <w:rsid w:val="007837C2"/>
    <w:rsid w:val="00894350"/>
    <w:rsid w:val="009F3B55"/>
    <w:rsid w:val="00A8708B"/>
    <w:rsid w:val="00B2414C"/>
    <w:rsid w:val="00BA6B46"/>
    <w:rsid w:val="00BE2DB6"/>
    <w:rsid w:val="00C206BE"/>
    <w:rsid w:val="00C52F1C"/>
    <w:rsid w:val="00C63D29"/>
    <w:rsid w:val="00C8168E"/>
    <w:rsid w:val="00C87740"/>
    <w:rsid w:val="00DC0EFD"/>
    <w:rsid w:val="00E04D7C"/>
    <w:rsid w:val="00E70BBF"/>
    <w:rsid w:val="00F32E46"/>
    <w:rsid w:val="00F541FC"/>
    <w:rsid w:val="00F83718"/>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E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4D0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0A4D00"/>
  </w:style>
  <w:style w:type="paragraph" w:styleId="Footer">
    <w:name w:val="footer"/>
    <w:basedOn w:val="Normal"/>
    <w:link w:val="FooterChar"/>
    <w:uiPriority w:val="99"/>
    <w:unhideWhenUsed/>
    <w:rsid w:val="000A4D00"/>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D00"/>
  </w:style>
  <w:style w:type="paragraph" w:styleId="ListParagraph">
    <w:name w:val="List Paragraph"/>
    <w:basedOn w:val="Normal"/>
    <w:uiPriority w:val="34"/>
    <w:qFormat/>
    <w:rsid w:val="00051280"/>
    <w:pPr>
      <w:ind w:left="720"/>
      <w:contextualSpacing/>
    </w:pPr>
  </w:style>
  <w:style w:type="paragraph" w:styleId="BalloonText">
    <w:name w:val="Balloon Text"/>
    <w:basedOn w:val="Normal"/>
    <w:link w:val="BalloonTextChar"/>
    <w:uiPriority w:val="99"/>
    <w:semiHidden/>
    <w:unhideWhenUsed/>
    <w:rsid w:val="00E04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D7C"/>
    <w:rPr>
      <w:rFonts w:ascii="Tahoma" w:hAnsi="Tahoma" w:cs="Tahoma"/>
      <w:sz w:val="16"/>
      <w:szCs w:val="16"/>
    </w:rPr>
  </w:style>
  <w:style w:type="character" w:customStyle="1" w:styleId="apple-converted-space">
    <w:name w:val="apple-converted-space"/>
    <w:basedOn w:val="DefaultParagraphFont"/>
    <w:rsid w:val="000D7320"/>
  </w:style>
  <w:style w:type="character" w:styleId="Hyperlink">
    <w:name w:val="Hyperlink"/>
    <w:basedOn w:val="DefaultParagraphFont"/>
    <w:uiPriority w:val="99"/>
    <w:semiHidden/>
    <w:unhideWhenUsed/>
    <w:rsid w:val="000D7320"/>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1426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17</cp:revision>
  <dcterms:created xsi:type="dcterms:W3CDTF">2014-04-29T21:04:00Z</dcterms:created>
  <dcterms:modified xsi:type="dcterms:W3CDTF">2014-09-12T12:12:00Z</dcterms:modified>
</cp:coreProperties>
</file>