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78C5" w:rsidRPr="00BE78C5" w:rsidRDefault="00BE78C5" w:rsidP="00BE78C5">
      <w:pPr>
        <w:spacing w:after="0"/>
        <w:jc w:val="center"/>
        <w:rPr>
          <w:b/>
        </w:rPr>
      </w:pPr>
      <w:r w:rsidRPr="00BE78C5">
        <w:rPr>
          <w:b/>
        </w:rPr>
        <w:t>Puberté</w:t>
      </w:r>
    </w:p>
    <w:p w:rsidR="00BE78C5" w:rsidRDefault="00BE78C5" w:rsidP="00BE78C5">
      <w:pPr>
        <w:spacing w:after="0"/>
        <w:rPr>
          <w:b/>
          <w:sz w:val="20"/>
          <w:u w:val="single"/>
        </w:rPr>
      </w:pPr>
    </w:p>
    <w:p w:rsidR="00BE78C5" w:rsidRDefault="00BE78C5" w:rsidP="00BE78C5">
      <w:pPr>
        <w:spacing w:after="0"/>
        <w:rPr>
          <w:sz w:val="20"/>
        </w:rPr>
      </w:pPr>
      <w:r>
        <w:rPr>
          <w:b/>
          <w:sz w:val="20"/>
          <w:u w:val="single"/>
        </w:rPr>
        <w:t>Rappels</w:t>
      </w:r>
      <w:r>
        <w:rPr>
          <w:sz w:val="20"/>
        </w:rPr>
        <w:t> :</w:t>
      </w:r>
    </w:p>
    <w:p w:rsidR="00BE78C5" w:rsidRDefault="00BE78C5" w:rsidP="00BE78C5">
      <w:pPr>
        <w:spacing w:after="0"/>
        <w:rPr>
          <w:sz w:val="20"/>
        </w:rPr>
      </w:pPr>
    </w:p>
    <w:p w:rsidR="00BE78C5" w:rsidRDefault="00BE78C5" w:rsidP="00BE78C5">
      <w:pPr>
        <w:spacing w:after="0"/>
        <w:rPr>
          <w:sz w:val="20"/>
        </w:rPr>
      </w:pPr>
      <w:r w:rsidRPr="00BE78C5">
        <w:rPr>
          <w:b/>
          <w:sz w:val="20"/>
        </w:rPr>
        <w:t>Axe gonadotrope</w:t>
      </w:r>
      <w:r>
        <w:rPr>
          <w:sz w:val="20"/>
        </w:rPr>
        <w:t xml:space="preserve"> : </w:t>
      </w:r>
    </w:p>
    <w:p w:rsidR="00BE78C5" w:rsidRDefault="00BE78C5" w:rsidP="00BE78C5">
      <w:pPr>
        <w:pStyle w:val="ListParagraph"/>
        <w:numPr>
          <w:ilvl w:val="0"/>
          <w:numId w:val="1"/>
        </w:numPr>
        <w:spacing w:after="0"/>
        <w:rPr>
          <w:sz w:val="20"/>
        </w:rPr>
      </w:pPr>
      <w:proofErr w:type="spellStart"/>
      <w:r>
        <w:rPr>
          <w:sz w:val="20"/>
        </w:rPr>
        <w:t>GnRH</w:t>
      </w:r>
      <w:proofErr w:type="spellEnd"/>
      <w:r>
        <w:rPr>
          <w:sz w:val="20"/>
        </w:rPr>
        <w:t xml:space="preserve"> : produite dans le noyau arqué de l’hypothalamus. </w:t>
      </w:r>
      <w:proofErr w:type="spellStart"/>
      <w:r>
        <w:rPr>
          <w:sz w:val="20"/>
        </w:rPr>
        <w:t>GnRH</w:t>
      </w:r>
      <w:proofErr w:type="spellEnd"/>
      <w:r>
        <w:rPr>
          <w:sz w:val="20"/>
        </w:rPr>
        <w:t xml:space="preserve"> a exactement la même composition chez tous les mammifères.</w:t>
      </w:r>
    </w:p>
    <w:p w:rsidR="00BE78C5" w:rsidRDefault="00BE78C5" w:rsidP="00BE78C5">
      <w:pPr>
        <w:pStyle w:val="ListParagraph"/>
        <w:numPr>
          <w:ilvl w:val="0"/>
          <w:numId w:val="1"/>
        </w:numPr>
        <w:spacing w:after="0"/>
        <w:rPr>
          <w:sz w:val="20"/>
        </w:rPr>
      </w:pPr>
      <w:r>
        <w:rPr>
          <w:sz w:val="20"/>
        </w:rPr>
        <w:t>Hypophyse : produit LH et FSH</w:t>
      </w:r>
    </w:p>
    <w:p w:rsidR="00BE78C5" w:rsidRDefault="00BE78C5" w:rsidP="00BE78C5">
      <w:pPr>
        <w:pStyle w:val="ListParagraph"/>
        <w:numPr>
          <w:ilvl w:val="0"/>
          <w:numId w:val="1"/>
        </w:numPr>
        <w:spacing w:after="0"/>
        <w:rPr>
          <w:sz w:val="20"/>
        </w:rPr>
      </w:pPr>
      <w:r>
        <w:rPr>
          <w:sz w:val="20"/>
        </w:rPr>
        <w:t xml:space="preserve">Périphérie : FSH et LH induisent </w:t>
      </w:r>
      <w:proofErr w:type="spellStart"/>
      <w:r>
        <w:rPr>
          <w:sz w:val="20"/>
        </w:rPr>
        <w:t>folliculogenèse</w:t>
      </w:r>
      <w:proofErr w:type="spellEnd"/>
      <w:r>
        <w:rPr>
          <w:sz w:val="20"/>
        </w:rPr>
        <w:t xml:space="preserve">, ovulation, </w:t>
      </w:r>
      <w:proofErr w:type="spellStart"/>
      <w:r>
        <w:rPr>
          <w:sz w:val="20"/>
        </w:rPr>
        <w:t>stéroïdogenèse</w:t>
      </w:r>
      <w:proofErr w:type="spellEnd"/>
      <w:r>
        <w:rPr>
          <w:sz w:val="20"/>
        </w:rPr>
        <w:t xml:space="preserve"> (E2 et T) et sécrétion de protéines, ex les </w:t>
      </w:r>
      <w:proofErr w:type="spellStart"/>
      <w:r>
        <w:rPr>
          <w:sz w:val="20"/>
        </w:rPr>
        <w:t>inhibines</w:t>
      </w:r>
      <w:proofErr w:type="spellEnd"/>
      <w:r>
        <w:rPr>
          <w:sz w:val="20"/>
        </w:rPr>
        <w:t xml:space="preserve"> (= hormones polypeptidiques produites par cellules folliculaires).</w:t>
      </w:r>
    </w:p>
    <w:p w:rsidR="00BE78C5" w:rsidRDefault="00BE78C5" w:rsidP="00BE78C5">
      <w:pPr>
        <w:pStyle w:val="ListParagraph"/>
        <w:numPr>
          <w:ilvl w:val="0"/>
          <w:numId w:val="1"/>
        </w:numPr>
        <w:spacing w:after="0"/>
        <w:rPr>
          <w:sz w:val="20"/>
        </w:rPr>
      </w:pPr>
      <w:r>
        <w:rPr>
          <w:sz w:val="20"/>
        </w:rPr>
        <w:t>Rétrocontrôle :</w:t>
      </w:r>
    </w:p>
    <w:p w:rsidR="00BE78C5" w:rsidRDefault="00BE78C5" w:rsidP="00BE78C5">
      <w:pPr>
        <w:pStyle w:val="ListParagraph"/>
        <w:numPr>
          <w:ilvl w:val="0"/>
          <w:numId w:val="2"/>
        </w:numPr>
        <w:spacing w:after="0"/>
        <w:rPr>
          <w:sz w:val="20"/>
        </w:rPr>
      </w:pPr>
      <w:r>
        <w:rPr>
          <w:sz w:val="20"/>
        </w:rPr>
        <w:t xml:space="preserve">Négatif : les œstrogènes, androgènes et </w:t>
      </w:r>
      <w:proofErr w:type="spellStart"/>
      <w:r>
        <w:rPr>
          <w:sz w:val="20"/>
        </w:rPr>
        <w:t>inhibines</w:t>
      </w:r>
      <w:proofErr w:type="spellEnd"/>
      <w:r>
        <w:rPr>
          <w:sz w:val="20"/>
        </w:rPr>
        <w:t xml:space="preserve">. Chez la femme, </w:t>
      </w:r>
      <w:proofErr w:type="spellStart"/>
      <w:r>
        <w:rPr>
          <w:sz w:val="20"/>
        </w:rPr>
        <w:t>inhibine</w:t>
      </w:r>
      <w:proofErr w:type="spellEnd"/>
      <w:r>
        <w:rPr>
          <w:sz w:val="20"/>
        </w:rPr>
        <w:t xml:space="preserve"> A est produite dans la 1</w:t>
      </w:r>
      <w:r w:rsidRPr="0019492A">
        <w:rPr>
          <w:sz w:val="20"/>
          <w:vertAlign w:val="superscript"/>
        </w:rPr>
        <w:t>ère</w:t>
      </w:r>
      <w:r>
        <w:rPr>
          <w:sz w:val="20"/>
        </w:rPr>
        <w:t xml:space="preserve"> moitié du cycle (phase folliculaire), </w:t>
      </w:r>
      <w:proofErr w:type="spellStart"/>
      <w:r>
        <w:rPr>
          <w:sz w:val="20"/>
        </w:rPr>
        <w:t>inhibine</w:t>
      </w:r>
      <w:proofErr w:type="spellEnd"/>
      <w:r>
        <w:rPr>
          <w:sz w:val="20"/>
        </w:rPr>
        <w:t xml:space="preserve"> B est produite dans la 2</w:t>
      </w:r>
      <w:r w:rsidRPr="0019492A">
        <w:rPr>
          <w:sz w:val="20"/>
          <w:vertAlign w:val="superscript"/>
        </w:rPr>
        <w:t>ème</w:t>
      </w:r>
      <w:r>
        <w:rPr>
          <w:sz w:val="20"/>
        </w:rPr>
        <w:t xml:space="preserve"> moitié (phase lutéale)</w:t>
      </w:r>
    </w:p>
    <w:p w:rsidR="00BE78C5" w:rsidRDefault="00BE78C5" w:rsidP="00BE78C5">
      <w:pPr>
        <w:pStyle w:val="ListParagraph"/>
        <w:numPr>
          <w:ilvl w:val="0"/>
          <w:numId w:val="2"/>
        </w:numPr>
        <w:spacing w:after="0"/>
        <w:rPr>
          <w:sz w:val="20"/>
        </w:rPr>
      </w:pPr>
      <w:r>
        <w:rPr>
          <w:sz w:val="20"/>
        </w:rPr>
        <w:t>Positif (unique en endocrinologie !) : par les œstrogènes lors du pic ovulatoire chez la femme</w:t>
      </w:r>
    </w:p>
    <w:p w:rsidR="009962D4" w:rsidRPr="009962D4" w:rsidRDefault="009962D4" w:rsidP="009962D4">
      <w:pPr>
        <w:pStyle w:val="ListParagraph"/>
        <w:numPr>
          <w:ilvl w:val="0"/>
          <w:numId w:val="2"/>
        </w:numPr>
        <w:spacing w:after="0"/>
        <w:rPr>
          <w:sz w:val="20"/>
        </w:rPr>
      </w:pPr>
      <w:r>
        <w:rPr>
          <w:sz w:val="20"/>
        </w:rPr>
        <w:t xml:space="preserve">Autres régulateurs de la sécrétion </w:t>
      </w:r>
      <w:proofErr w:type="spellStart"/>
      <w:r>
        <w:rPr>
          <w:sz w:val="20"/>
        </w:rPr>
        <w:t>GnRH</w:t>
      </w:r>
      <w:proofErr w:type="spellEnd"/>
      <w:r>
        <w:rPr>
          <w:sz w:val="20"/>
        </w:rPr>
        <w:t> : stress, nutrition, exercice, variation saisonnière, rythme circadien, fonction thyroïdienne et autres.</w:t>
      </w:r>
    </w:p>
    <w:p w:rsidR="00BE78C5" w:rsidRDefault="00BE78C5" w:rsidP="00BE78C5">
      <w:pPr>
        <w:spacing w:after="0"/>
        <w:rPr>
          <w:sz w:val="20"/>
        </w:rPr>
      </w:pPr>
    </w:p>
    <w:p w:rsidR="00BE78C5" w:rsidRDefault="00BE78C5" w:rsidP="00BE78C5">
      <w:pPr>
        <w:spacing w:after="0"/>
        <w:rPr>
          <w:sz w:val="20"/>
        </w:rPr>
      </w:pPr>
      <w:r w:rsidRPr="006D0812">
        <w:rPr>
          <w:sz w:val="20"/>
        </w:rPr>
        <w:t>Activité de l’axe gonadotrope au cours de la vie</w:t>
      </w:r>
      <w:r>
        <w:rPr>
          <w:sz w:val="20"/>
        </w:rPr>
        <w:t> : mesurée par taux de LH</w:t>
      </w:r>
    </w:p>
    <w:p w:rsidR="00BE78C5" w:rsidRDefault="00BE78C5" w:rsidP="00BE78C5">
      <w:pPr>
        <w:pStyle w:val="ListParagraph"/>
        <w:numPr>
          <w:ilvl w:val="0"/>
          <w:numId w:val="3"/>
        </w:numPr>
        <w:spacing w:after="0"/>
        <w:rPr>
          <w:sz w:val="20"/>
        </w:rPr>
      </w:pPr>
      <w:r w:rsidRPr="00D6544D">
        <w:rPr>
          <w:sz w:val="20"/>
        </w:rPr>
        <w:t>Période fœtale : aussi élevée que chez l’adulte</w:t>
      </w:r>
    </w:p>
    <w:p w:rsidR="00BE78C5" w:rsidRDefault="00BE78C5" w:rsidP="00BE78C5">
      <w:pPr>
        <w:pStyle w:val="ListParagraph"/>
        <w:numPr>
          <w:ilvl w:val="0"/>
          <w:numId w:val="3"/>
        </w:numPr>
        <w:spacing w:after="0"/>
        <w:rPr>
          <w:sz w:val="20"/>
        </w:rPr>
      </w:pPr>
      <w:r w:rsidRPr="00D6544D">
        <w:rPr>
          <w:sz w:val="20"/>
        </w:rPr>
        <w:t>Période néonatale : élevée, importante pour la descente testiculaire et développement du pénis chez les garçons. On ne sait pas très bien à quoi elle sert chez les filles.</w:t>
      </w:r>
    </w:p>
    <w:p w:rsidR="00BE78C5" w:rsidRDefault="00BE78C5" w:rsidP="00BE78C5">
      <w:pPr>
        <w:pStyle w:val="ListParagraph"/>
        <w:numPr>
          <w:ilvl w:val="0"/>
          <w:numId w:val="3"/>
        </w:numPr>
        <w:spacing w:after="0"/>
        <w:rPr>
          <w:sz w:val="20"/>
        </w:rPr>
      </w:pPr>
      <w:r w:rsidRPr="00D6544D">
        <w:rPr>
          <w:sz w:val="20"/>
        </w:rPr>
        <w:t>Enfance (dès 6 mois) : éteinte</w:t>
      </w:r>
    </w:p>
    <w:p w:rsidR="00BE78C5" w:rsidRDefault="00BE78C5" w:rsidP="00BE78C5">
      <w:pPr>
        <w:pStyle w:val="ListParagraph"/>
        <w:numPr>
          <w:ilvl w:val="0"/>
          <w:numId w:val="3"/>
        </w:numPr>
        <w:spacing w:after="0"/>
        <w:rPr>
          <w:sz w:val="20"/>
        </w:rPr>
      </w:pPr>
      <w:r w:rsidRPr="00D6544D">
        <w:rPr>
          <w:sz w:val="20"/>
        </w:rPr>
        <w:t xml:space="preserve">Puberté : </w:t>
      </w:r>
      <w:proofErr w:type="spellStart"/>
      <w:r w:rsidRPr="00D6544D">
        <w:rPr>
          <w:sz w:val="20"/>
        </w:rPr>
        <w:t>GnRH</w:t>
      </w:r>
      <w:proofErr w:type="spellEnd"/>
      <w:r w:rsidRPr="00D6544D">
        <w:rPr>
          <w:sz w:val="20"/>
        </w:rPr>
        <w:t xml:space="preserve"> commence par être pulsé que la nuit. Puis 1-2 ans après il est aussi pulsé le jour.</w:t>
      </w:r>
    </w:p>
    <w:p w:rsidR="00CF1FB8" w:rsidRPr="00BE78C5" w:rsidRDefault="00BE78C5" w:rsidP="0077712B">
      <w:pPr>
        <w:pStyle w:val="ListParagraph"/>
        <w:numPr>
          <w:ilvl w:val="0"/>
          <w:numId w:val="3"/>
        </w:numPr>
        <w:spacing w:after="0"/>
        <w:rPr>
          <w:sz w:val="20"/>
        </w:rPr>
      </w:pPr>
      <w:r w:rsidRPr="00D6544D">
        <w:rPr>
          <w:sz w:val="20"/>
        </w:rPr>
        <w:t>Adulte : summum </w:t>
      </w:r>
      <w:r w:rsidRPr="004A0A31">
        <w:sym w:font="Wingdings" w:char="F04A"/>
      </w:r>
    </w:p>
    <w:p w:rsidR="00BE78C5" w:rsidRDefault="00BE78C5" w:rsidP="00BE78C5">
      <w:pPr>
        <w:spacing w:after="0"/>
        <w:rPr>
          <w:sz w:val="20"/>
        </w:rPr>
      </w:pPr>
    </w:p>
    <w:p w:rsidR="00BE78C5" w:rsidRPr="00BE78C5" w:rsidRDefault="00BE78C5" w:rsidP="00BE78C5">
      <w:pPr>
        <w:spacing w:after="0"/>
        <w:rPr>
          <w:sz w:val="20"/>
        </w:rPr>
      </w:pPr>
      <w:r>
        <w:rPr>
          <w:sz w:val="20"/>
        </w:rPr>
        <w:t xml:space="preserve">Les cellules de </w:t>
      </w:r>
      <w:proofErr w:type="spellStart"/>
      <w:r>
        <w:rPr>
          <w:sz w:val="20"/>
        </w:rPr>
        <w:t>Leydig</w:t>
      </w:r>
      <w:proofErr w:type="spellEnd"/>
      <w:r>
        <w:rPr>
          <w:sz w:val="20"/>
        </w:rPr>
        <w:t xml:space="preserve"> répondent à LH  et produisent la testostérone ; équivalentes aux cellules de la thèque interne chez la femme. Les cellules de </w:t>
      </w:r>
      <w:proofErr w:type="spellStart"/>
      <w:r>
        <w:rPr>
          <w:sz w:val="20"/>
        </w:rPr>
        <w:t>Sertoli</w:t>
      </w:r>
      <w:proofErr w:type="spellEnd"/>
      <w:r>
        <w:rPr>
          <w:sz w:val="20"/>
        </w:rPr>
        <w:t xml:space="preserve"> sont des cellules nourricières (répondent à FSH) ; équivalentes aux cellules granulocytaires qui assurent le développement et la survie des follicules.</w:t>
      </w:r>
    </w:p>
    <w:p w:rsidR="00BE78C5" w:rsidRPr="00BE78C5" w:rsidRDefault="00BE78C5" w:rsidP="00BE78C5">
      <w:pPr>
        <w:pStyle w:val="ListParagraph"/>
        <w:spacing w:after="0"/>
        <w:rPr>
          <w:sz w:val="20"/>
        </w:rPr>
      </w:pPr>
    </w:p>
    <w:p w:rsidR="00BE78C5" w:rsidRDefault="00BE78C5" w:rsidP="00BE78C5">
      <w:pPr>
        <w:spacing w:after="0"/>
        <w:rPr>
          <w:sz w:val="20"/>
        </w:rPr>
      </w:pPr>
      <w:proofErr w:type="spellStart"/>
      <w:r w:rsidRPr="00BE78C5">
        <w:rPr>
          <w:b/>
          <w:sz w:val="20"/>
        </w:rPr>
        <w:t>GnRH</w:t>
      </w:r>
      <w:proofErr w:type="spellEnd"/>
      <w:r w:rsidRPr="00BE78C5">
        <w:rPr>
          <w:b/>
          <w:sz w:val="20"/>
        </w:rPr>
        <w:t>, LH et FSH</w:t>
      </w:r>
      <w:r>
        <w:rPr>
          <w:sz w:val="20"/>
        </w:rPr>
        <w:t> :</w:t>
      </w:r>
    </w:p>
    <w:p w:rsidR="00BE78C5" w:rsidRDefault="00BE78C5" w:rsidP="00BE78C5">
      <w:pPr>
        <w:pStyle w:val="ListParagraph"/>
        <w:numPr>
          <w:ilvl w:val="0"/>
          <w:numId w:val="4"/>
        </w:numPr>
        <w:spacing w:after="0"/>
        <w:rPr>
          <w:sz w:val="20"/>
        </w:rPr>
      </w:pPr>
      <w:proofErr w:type="spellStart"/>
      <w:r w:rsidRPr="0019492A">
        <w:rPr>
          <w:b/>
          <w:sz w:val="20"/>
        </w:rPr>
        <w:t>GnRH</w:t>
      </w:r>
      <w:proofErr w:type="spellEnd"/>
      <w:r>
        <w:rPr>
          <w:sz w:val="20"/>
        </w:rPr>
        <w:t xml:space="preserve"> : sécrétion doit absolument être pulsatile pour l’axe reproducteur, une sécrétion continue fait baisser les taux de LH et FSH. On fait des administrations continues de </w:t>
      </w:r>
      <w:proofErr w:type="spellStart"/>
      <w:r>
        <w:rPr>
          <w:sz w:val="20"/>
        </w:rPr>
        <w:t>GnRH</w:t>
      </w:r>
      <w:proofErr w:type="spellEnd"/>
      <w:r>
        <w:rPr>
          <w:sz w:val="20"/>
        </w:rPr>
        <w:t xml:space="preserve"> en clinique pour traiter CA prostate (pour diminuer production de T) et freiner puberté précoce (ex seins et règles chez fillettes de 6 ans). Le </w:t>
      </w:r>
      <w:proofErr w:type="spellStart"/>
      <w:r>
        <w:rPr>
          <w:sz w:val="20"/>
        </w:rPr>
        <w:t>GnRH</w:t>
      </w:r>
      <w:proofErr w:type="spellEnd"/>
      <w:r>
        <w:rPr>
          <w:sz w:val="20"/>
        </w:rPr>
        <w:t xml:space="preserve"> a une durée de vie très courte car clivé 2 min après sa sécrétion (rend dosage difficile !).</w:t>
      </w:r>
    </w:p>
    <w:p w:rsidR="00BE78C5" w:rsidRDefault="00BE78C5" w:rsidP="00BE78C5">
      <w:pPr>
        <w:pStyle w:val="ListParagraph"/>
        <w:numPr>
          <w:ilvl w:val="0"/>
          <w:numId w:val="4"/>
        </w:numPr>
        <w:spacing w:after="0"/>
        <w:rPr>
          <w:sz w:val="20"/>
        </w:rPr>
      </w:pPr>
      <w:r w:rsidRPr="0019492A">
        <w:rPr>
          <w:b/>
          <w:sz w:val="20"/>
        </w:rPr>
        <w:t>LH</w:t>
      </w:r>
      <w:r>
        <w:rPr>
          <w:sz w:val="20"/>
        </w:rPr>
        <w:t xml:space="preserve"> : </w:t>
      </w:r>
      <w:proofErr w:type="spellStart"/>
      <w:r>
        <w:rPr>
          <w:sz w:val="20"/>
        </w:rPr>
        <w:t>glycosylation</w:t>
      </w:r>
      <w:proofErr w:type="spellEnd"/>
      <w:r>
        <w:rPr>
          <w:sz w:val="20"/>
        </w:rPr>
        <w:t xml:space="preserve"> lui donne durée de vie intermédiaire (20min), aussi sécrété de manière pulsatile. Le LH est dosé comme reflet de la sécrétion de GnRH.</w:t>
      </w:r>
    </w:p>
    <w:p w:rsidR="00BE78C5" w:rsidRDefault="00BE78C5" w:rsidP="00BE78C5">
      <w:pPr>
        <w:pStyle w:val="ListParagraph"/>
        <w:numPr>
          <w:ilvl w:val="0"/>
          <w:numId w:val="4"/>
        </w:numPr>
        <w:spacing w:after="0"/>
        <w:rPr>
          <w:sz w:val="20"/>
        </w:rPr>
      </w:pPr>
      <w:r>
        <w:rPr>
          <w:b/>
          <w:sz w:val="20"/>
        </w:rPr>
        <w:t>FSH </w:t>
      </w:r>
      <w:r w:rsidRPr="00F1452E">
        <w:rPr>
          <w:sz w:val="20"/>
        </w:rPr>
        <w:t>:</w:t>
      </w:r>
      <w:r>
        <w:rPr>
          <w:sz w:val="20"/>
        </w:rPr>
        <w:t xml:space="preserve"> </w:t>
      </w:r>
      <w:proofErr w:type="spellStart"/>
      <w:r>
        <w:rPr>
          <w:sz w:val="20"/>
        </w:rPr>
        <w:t>glycosylation</w:t>
      </w:r>
      <w:proofErr w:type="spellEnd"/>
      <w:r>
        <w:rPr>
          <w:sz w:val="20"/>
        </w:rPr>
        <w:t xml:space="preserve"> encore plus importante que le LH lui donne une durée de vie longue (2-3h) ; de ce fait on ne voit pas bien les pulsations pendant le dosage.</w:t>
      </w:r>
    </w:p>
    <w:p w:rsidR="00BE78C5" w:rsidRDefault="00BE78C5" w:rsidP="00BE78C5">
      <w:pPr>
        <w:spacing w:after="0"/>
        <w:rPr>
          <w:sz w:val="20"/>
        </w:rPr>
      </w:pPr>
    </w:p>
    <w:p w:rsidR="00BE78C5" w:rsidRDefault="00BE78C5" w:rsidP="00BE78C5">
      <w:pPr>
        <w:rPr>
          <w:sz w:val="20"/>
        </w:rPr>
      </w:pPr>
      <w:r>
        <w:rPr>
          <w:sz w:val="20"/>
        </w:rPr>
        <w:t>La LH et FSH sont produites par les mêmes cellules. Mais la f</w:t>
      </w:r>
      <w:r w:rsidRPr="008F0693">
        <w:rPr>
          <w:sz w:val="20"/>
        </w:rPr>
        <w:t>réquence d</w:t>
      </w:r>
      <w:r>
        <w:rPr>
          <w:sz w:val="20"/>
        </w:rPr>
        <w:t xml:space="preserve">es pulses à </w:t>
      </w:r>
      <w:proofErr w:type="spellStart"/>
      <w:r>
        <w:rPr>
          <w:sz w:val="20"/>
        </w:rPr>
        <w:t>GnRH</w:t>
      </w:r>
      <w:proofErr w:type="spellEnd"/>
      <w:r>
        <w:rPr>
          <w:sz w:val="20"/>
        </w:rPr>
        <w:t xml:space="preserve"> résulte en une s</w:t>
      </w:r>
      <w:r w:rsidRPr="008F0693">
        <w:rPr>
          <w:sz w:val="20"/>
        </w:rPr>
        <w:t>écr</w:t>
      </w:r>
      <w:r>
        <w:rPr>
          <w:sz w:val="20"/>
        </w:rPr>
        <w:t>é</w:t>
      </w:r>
      <w:r w:rsidRPr="008F0693">
        <w:rPr>
          <w:sz w:val="20"/>
        </w:rPr>
        <w:t>tion divergente de LH et FSH</w:t>
      </w:r>
      <w:r>
        <w:rPr>
          <w:sz w:val="20"/>
        </w:rPr>
        <w:t xml:space="preserve">. Des pulses de </w:t>
      </w:r>
      <w:proofErr w:type="spellStart"/>
      <w:r>
        <w:rPr>
          <w:sz w:val="20"/>
        </w:rPr>
        <w:t>GnRH</w:t>
      </w:r>
      <w:proofErr w:type="spellEnd"/>
      <w:r>
        <w:rPr>
          <w:sz w:val="20"/>
        </w:rPr>
        <w:t xml:space="preserve"> rapides (toutes les 60-90min) induisent plutôt la synthèse + sécrétion de LH, alors que des pulses de </w:t>
      </w:r>
      <w:proofErr w:type="spellStart"/>
      <w:r>
        <w:rPr>
          <w:sz w:val="20"/>
        </w:rPr>
        <w:t>GnRH</w:t>
      </w:r>
      <w:proofErr w:type="spellEnd"/>
      <w:r>
        <w:rPr>
          <w:sz w:val="20"/>
        </w:rPr>
        <w:t xml:space="preserve"> lentes (toutes les 4h) favorisent la production de FSH</w:t>
      </w:r>
    </w:p>
    <w:p w:rsidR="00E10D4B" w:rsidRDefault="00E10D4B">
      <w:pPr>
        <w:rPr>
          <w:b/>
          <w:sz w:val="20"/>
        </w:rPr>
      </w:pPr>
      <w:r>
        <w:rPr>
          <w:b/>
          <w:sz w:val="20"/>
        </w:rPr>
        <w:br w:type="page"/>
      </w:r>
    </w:p>
    <w:p w:rsidR="00FE3FFB" w:rsidRDefault="00FE3FFB" w:rsidP="00FE3FFB">
      <w:pPr>
        <w:spacing w:after="0"/>
        <w:rPr>
          <w:sz w:val="20"/>
        </w:rPr>
      </w:pPr>
      <w:r w:rsidRPr="00FE3FFB">
        <w:rPr>
          <w:b/>
          <w:sz w:val="20"/>
        </w:rPr>
        <w:lastRenderedPageBreak/>
        <w:t>Les œstrogènes</w:t>
      </w:r>
      <w:r>
        <w:rPr>
          <w:sz w:val="20"/>
        </w:rPr>
        <w:t xml:space="preserve"> : </w:t>
      </w:r>
      <w:r w:rsidRPr="00327DD7">
        <w:rPr>
          <w:sz w:val="20"/>
        </w:rPr>
        <w:t xml:space="preserve">produits par les follicules ovariens, le corps jaune (corpus </w:t>
      </w:r>
      <w:proofErr w:type="spellStart"/>
      <w:r w:rsidRPr="00327DD7">
        <w:rPr>
          <w:sz w:val="20"/>
        </w:rPr>
        <w:t>luteum</w:t>
      </w:r>
      <w:proofErr w:type="spellEnd"/>
      <w:r w:rsidRPr="00327DD7">
        <w:rPr>
          <w:sz w:val="20"/>
        </w:rPr>
        <w:t>) et le placenta. Certains œstrogènes sont également produits par le foie, la surrénale, et le tissu adip</w:t>
      </w:r>
      <w:r>
        <w:rPr>
          <w:sz w:val="20"/>
        </w:rPr>
        <w:t xml:space="preserve">eux, </w:t>
      </w:r>
      <w:r w:rsidRPr="00327DD7">
        <w:rPr>
          <w:sz w:val="20"/>
        </w:rPr>
        <w:t xml:space="preserve">sources importantes d’œstrogènes </w:t>
      </w:r>
      <w:r>
        <w:rPr>
          <w:sz w:val="20"/>
        </w:rPr>
        <w:t>a</w:t>
      </w:r>
      <w:r w:rsidRPr="00327DD7">
        <w:rPr>
          <w:sz w:val="20"/>
        </w:rPr>
        <w:t>pr</w:t>
      </w:r>
      <w:r>
        <w:rPr>
          <w:sz w:val="20"/>
        </w:rPr>
        <w:t>è</w:t>
      </w:r>
      <w:r w:rsidRPr="00327DD7">
        <w:rPr>
          <w:sz w:val="20"/>
        </w:rPr>
        <w:t>s la ménopause.</w:t>
      </w:r>
    </w:p>
    <w:p w:rsidR="00FE3FFB" w:rsidRPr="00327DD7" w:rsidRDefault="00FE3FFB" w:rsidP="00FE3FFB">
      <w:pPr>
        <w:pStyle w:val="ListParagraph"/>
        <w:numPr>
          <w:ilvl w:val="0"/>
          <w:numId w:val="6"/>
        </w:numPr>
        <w:spacing w:after="0"/>
        <w:rPr>
          <w:sz w:val="20"/>
        </w:rPr>
      </w:pPr>
      <w:r w:rsidRPr="00327DD7">
        <w:rPr>
          <w:sz w:val="20"/>
        </w:rPr>
        <w:t>Effets sur les caractères sexuels secondaires :</w:t>
      </w:r>
    </w:p>
    <w:p w:rsidR="00FE3FFB" w:rsidRPr="00327DD7" w:rsidRDefault="00FE3FFB" w:rsidP="00FE3FFB">
      <w:pPr>
        <w:pStyle w:val="ListParagraph"/>
        <w:numPr>
          <w:ilvl w:val="1"/>
          <w:numId w:val="5"/>
        </w:numPr>
        <w:spacing w:after="0"/>
        <w:rPr>
          <w:sz w:val="20"/>
        </w:rPr>
      </w:pPr>
      <w:r w:rsidRPr="00327DD7">
        <w:rPr>
          <w:sz w:val="20"/>
        </w:rPr>
        <w:t>Développement des seins</w:t>
      </w:r>
    </w:p>
    <w:p w:rsidR="00FE3FFB" w:rsidRPr="00327DD7" w:rsidRDefault="00FE3FFB" w:rsidP="00FE3FFB">
      <w:pPr>
        <w:pStyle w:val="ListParagraph"/>
        <w:numPr>
          <w:ilvl w:val="1"/>
          <w:numId w:val="5"/>
        </w:numPr>
        <w:spacing w:after="0"/>
        <w:rPr>
          <w:sz w:val="20"/>
        </w:rPr>
      </w:pPr>
      <w:r>
        <w:rPr>
          <w:sz w:val="20"/>
        </w:rPr>
        <w:t>Distribution de la pilosité (un peu ; se fait surtout par androgènes)</w:t>
      </w:r>
    </w:p>
    <w:p w:rsidR="00FE3FFB" w:rsidRDefault="00FE3FFB" w:rsidP="00FE3FFB">
      <w:pPr>
        <w:pStyle w:val="ListParagraph"/>
        <w:numPr>
          <w:ilvl w:val="1"/>
          <w:numId w:val="5"/>
        </w:numPr>
        <w:spacing w:after="0"/>
        <w:rPr>
          <w:sz w:val="20"/>
        </w:rPr>
      </w:pPr>
      <w:r w:rsidRPr="00327DD7">
        <w:rPr>
          <w:sz w:val="20"/>
        </w:rPr>
        <w:t>Pic de croissance</w:t>
      </w:r>
      <w:r>
        <w:rPr>
          <w:sz w:val="20"/>
        </w:rPr>
        <w:t>, c</w:t>
      </w:r>
      <w:r w:rsidRPr="00FE3FFB">
        <w:rPr>
          <w:sz w:val="20"/>
        </w:rPr>
        <w:t>hangement de distribution des graisses</w:t>
      </w:r>
    </w:p>
    <w:p w:rsidR="00FE3FFB" w:rsidRDefault="00FE3FFB" w:rsidP="00FE3FFB">
      <w:pPr>
        <w:pStyle w:val="ListParagraph"/>
        <w:numPr>
          <w:ilvl w:val="0"/>
          <w:numId w:val="6"/>
        </w:numPr>
        <w:spacing w:after="0"/>
        <w:rPr>
          <w:sz w:val="20"/>
        </w:rPr>
      </w:pPr>
      <w:r>
        <w:rPr>
          <w:sz w:val="20"/>
        </w:rPr>
        <w:t>Œstrogène plasmatique :</w:t>
      </w:r>
      <w:r w:rsidR="00655B77">
        <w:rPr>
          <w:sz w:val="20"/>
        </w:rPr>
        <w:t xml:space="preserve"> taux augmentent avec chaque phase pubertaire, et on verra une variation interindividuelle de plus en plus importante.</w:t>
      </w:r>
    </w:p>
    <w:p w:rsidR="00FE3FFB" w:rsidRDefault="00FE3FFB" w:rsidP="00FE3FFB">
      <w:pPr>
        <w:pStyle w:val="ListParagraph"/>
        <w:numPr>
          <w:ilvl w:val="0"/>
          <w:numId w:val="5"/>
        </w:numPr>
        <w:spacing w:after="0"/>
        <w:ind w:left="1418"/>
        <w:rPr>
          <w:sz w:val="20"/>
        </w:rPr>
      </w:pPr>
      <w:r>
        <w:rPr>
          <w:sz w:val="20"/>
        </w:rPr>
        <w:t>E2 liée à l’albumine : affinité faible donc biologiquement active (54%)</w:t>
      </w:r>
    </w:p>
    <w:p w:rsidR="00FE3FFB" w:rsidRDefault="00FE3FFB" w:rsidP="00FE3FFB">
      <w:pPr>
        <w:pStyle w:val="ListParagraph"/>
        <w:numPr>
          <w:ilvl w:val="0"/>
          <w:numId w:val="5"/>
        </w:numPr>
        <w:spacing w:after="0"/>
        <w:ind w:left="1418"/>
        <w:rPr>
          <w:sz w:val="20"/>
        </w:rPr>
      </w:pPr>
      <w:r w:rsidRPr="00FE3FFB">
        <w:rPr>
          <w:sz w:val="20"/>
        </w:rPr>
        <w:t>E2 liée à SHBG (</w:t>
      </w:r>
      <w:proofErr w:type="spellStart"/>
      <w:r w:rsidRPr="00FE3FFB">
        <w:rPr>
          <w:sz w:val="20"/>
        </w:rPr>
        <w:t>steroid</w:t>
      </w:r>
      <w:proofErr w:type="spellEnd"/>
      <w:r w:rsidRPr="00FE3FFB">
        <w:rPr>
          <w:sz w:val="20"/>
        </w:rPr>
        <w:t xml:space="preserve"> hormone </w:t>
      </w:r>
      <w:proofErr w:type="spellStart"/>
      <w:r w:rsidRPr="00FE3FFB">
        <w:rPr>
          <w:sz w:val="20"/>
        </w:rPr>
        <w:t>binding</w:t>
      </w:r>
      <w:proofErr w:type="spellEnd"/>
      <w:r w:rsidRPr="00FE3FFB">
        <w:rPr>
          <w:sz w:val="20"/>
        </w:rPr>
        <w:t xml:space="preserve"> globulin) : affinité forte et probablement biologiquement inactive (44%)</w:t>
      </w:r>
    </w:p>
    <w:p w:rsidR="00FE3FFB" w:rsidRDefault="00FE3FFB" w:rsidP="00FE3FFB">
      <w:pPr>
        <w:pStyle w:val="ListParagraph"/>
        <w:numPr>
          <w:ilvl w:val="0"/>
          <w:numId w:val="5"/>
        </w:numPr>
        <w:spacing w:after="0"/>
        <w:ind w:left="1418"/>
        <w:rPr>
          <w:sz w:val="20"/>
        </w:rPr>
      </w:pPr>
      <w:r w:rsidRPr="00FE3FFB">
        <w:rPr>
          <w:sz w:val="20"/>
        </w:rPr>
        <w:t>E2 libre (acti</w:t>
      </w:r>
      <w:r w:rsidR="00D72597">
        <w:rPr>
          <w:sz w:val="20"/>
        </w:rPr>
        <w:t>ve</w:t>
      </w:r>
      <w:r w:rsidRPr="00FE3FFB">
        <w:rPr>
          <w:sz w:val="20"/>
        </w:rPr>
        <w:t>, 2%)</w:t>
      </w:r>
    </w:p>
    <w:p w:rsidR="00FE3FFB" w:rsidRDefault="00FE3FFB" w:rsidP="00FE3FFB">
      <w:pPr>
        <w:spacing w:after="0"/>
        <w:rPr>
          <w:sz w:val="20"/>
        </w:rPr>
      </w:pPr>
    </w:p>
    <w:p w:rsidR="00FE3FFB" w:rsidRDefault="00FE3FFB" w:rsidP="00FE3FFB">
      <w:pPr>
        <w:spacing w:after="0"/>
        <w:rPr>
          <w:sz w:val="20"/>
        </w:rPr>
      </w:pPr>
      <w:r w:rsidRPr="00FE3FFB">
        <w:rPr>
          <w:b/>
          <w:sz w:val="20"/>
        </w:rPr>
        <w:t>Testostérone</w:t>
      </w:r>
      <w:r>
        <w:rPr>
          <w:sz w:val="20"/>
        </w:rPr>
        <w:t> : contrôle de la fonction testiculaire</w:t>
      </w:r>
    </w:p>
    <w:p w:rsidR="00FE3FFB" w:rsidRDefault="00FE3FFB" w:rsidP="00FE3FFB">
      <w:pPr>
        <w:pStyle w:val="ListParagraph"/>
        <w:numPr>
          <w:ilvl w:val="0"/>
          <w:numId w:val="7"/>
        </w:numPr>
        <w:spacing w:after="0"/>
        <w:rPr>
          <w:sz w:val="20"/>
        </w:rPr>
      </w:pPr>
      <w:r w:rsidRPr="00FE3FFB">
        <w:rPr>
          <w:sz w:val="20"/>
        </w:rPr>
        <w:t>Vie fœtale</w:t>
      </w:r>
      <w:r>
        <w:rPr>
          <w:sz w:val="20"/>
        </w:rPr>
        <w:t xml:space="preserve"> : manque de T peut causer hypospadias </w:t>
      </w:r>
      <w:r w:rsidRPr="00BA0583">
        <w:rPr>
          <w:sz w:val="20"/>
        </w:rPr>
        <w:t>(</w:t>
      </w:r>
      <w:r>
        <w:rPr>
          <w:sz w:val="20"/>
        </w:rPr>
        <w:t>l</w:t>
      </w:r>
      <w:r w:rsidRPr="00BA0583">
        <w:rPr>
          <w:sz w:val="20"/>
        </w:rPr>
        <w:t>'hypospadias est une malformation du fœtus masculin, qui se manifeste par l'ouverture de l'urètre dans la face inférieure du pénis au lieu de son extrémité).</w:t>
      </w:r>
    </w:p>
    <w:p w:rsidR="00FE3FFB" w:rsidRPr="004F3888" w:rsidRDefault="00FE3FFB" w:rsidP="00FE3FFB">
      <w:pPr>
        <w:pStyle w:val="ListParagraph"/>
        <w:numPr>
          <w:ilvl w:val="0"/>
          <w:numId w:val="8"/>
        </w:numPr>
        <w:spacing w:after="0"/>
        <w:rPr>
          <w:sz w:val="20"/>
        </w:rPr>
      </w:pPr>
      <w:r w:rsidRPr="004F3888">
        <w:rPr>
          <w:sz w:val="20"/>
        </w:rPr>
        <w:t>DHT</w:t>
      </w:r>
      <w:r>
        <w:rPr>
          <w:sz w:val="20"/>
        </w:rPr>
        <w:t xml:space="preserve"> (</w:t>
      </w:r>
      <w:proofErr w:type="spellStart"/>
      <w:r>
        <w:rPr>
          <w:sz w:val="20"/>
        </w:rPr>
        <w:t>dihydrotestostérone</w:t>
      </w:r>
      <w:proofErr w:type="spellEnd"/>
      <w:r>
        <w:rPr>
          <w:sz w:val="20"/>
        </w:rPr>
        <w:t>) important</w:t>
      </w:r>
      <w:r w:rsidRPr="004F3888">
        <w:rPr>
          <w:sz w:val="20"/>
        </w:rPr>
        <w:t xml:space="preserve"> pour différentiation des organes génitaux externes</w:t>
      </w:r>
    </w:p>
    <w:p w:rsidR="00FE3FFB" w:rsidRDefault="00FE3FFB" w:rsidP="00FE3FFB">
      <w:pPr>
        <w:pStyle w:val="ListParagraph"/>
        <w:numPr>
          <w:ilvl w:val="0"/>
          <w:numId w:val="8"/>
        </w:numPr>
        <w:spacing w:after="0"/>
        <w:rPr>
          <w:sz w:val="20"/>
        </w:rPr>
      </w:pPr>
      <w:r>
        <w:rPr>
          <w:sz w:val="20"/>
        </w:rPr>
        <w:t>2 premiers trimestres : s</w:t>
      </w:r>
      <w:r w:rsidRPr="004F3888">
        <w:rPr>
          <w:sz w:val="20"/>
        </w:rPr>
        <w:t>timulation de la sécrétion de T par HCG (placenta)</w:t>
      </w:r>
    </w:p>
    <w:p w:rsidR="00FE3FFB" w:rsidRDefault="00FE3FFB" w:rsidP="00FE3FFB">
      <w:pPr>
        <w:pStyle w:val="ListParagraph"/>
        <w:numPr>
          <w:ilvl w:val="0"/>
          <w:numId w:val="8"/>
        </w:numPr>
        <w:spacing w:after="0"/>
        <w:rPr>
          <w:sz w:val="20"/>
        </w:rPr>
      </w:pPr>
      <w:r>
        <w:rPr>
          <w:sz w:val="20"/>
        </w:rPr>
        <w:t>3</w:t>
      </w:r>
      <w:r w:rsidRPr="004F3888">
        <w:rPr>
          <w:sz w:val="20"/>
          <w:vertAlign w:val="superscript"/>
        </w:rPr>
        <w:t>ème</w:t>
      </w:r>
      <w:r>
        <w:rPr>
          <w:sz w:val="20"/>
        </w:rPr>
        <w:t xml:space="preserve"> trimestre </w:t>
      </w:r>
      <w:r w:rsidRPr="004F3888">
        <w:rPr>
          <w:sz w:val="20"/>
        </w:rPr>
        <w:t>: stimulation de la sécrétion de T par la LH endogène</w:t>
      </w:r>
      <w:r>
        <w:rPr>
          <w:sz w:val="20"/>
        </w:rPr>
        <w:t>.</w:t>
      </w:r>
    </w:p>
    <w:p w:rsidR="00FE3FFB" w:rsidRDefault="00FE3FFB" w:rsidP="00FE3FFB">
      <w:pPr>
        <w:pStyle w:val="ListParagraph"/>
        <w:numPr>
          <w:ilvl w:val="0"/>
          <w:numId w:val="7"/>
        </w:numPr>
        <w:spacing w:after="0"/>
        <w:rPr>
          <w:sz w:val="20"/>
        </w:rPr>
      </w:pPr>
      <w:r w:rsidRPr="00FE3FFB">
        <w:rPr>
          <w:sz w:val="20"/>
        </w:rPr>
        <w:t>Puberté </w:t>
      </w:r>
      <w:r>
        <w:rPr>
          <w:sz w:val="20"/>
        </w:rPr>
        <w:t>:</w:t>
      </w:r>
      <w:r w:rsidRPr="00BA0583">
        <w:t xml:space="preserve"> </w:t>
      </w:r>
    </w:p>
    <w:p w:rsidR="00FE3FFB" w:rsidRDefault="00FE3FFB" w:rsidP="00FE3FFB">
      <w:pPr>
        <w:pStyle w:val="ListParagraph"/>
        <w:numPr>
          <w:ilvl w:val="0"/>
          <w:numId w:val="9"/>
        </w:numPr>
        <w:spacing w:after="0"/>
        <w:rPr>
          <w:sz w:val="20"/>
        </w:rPr>
      </w:pPr>
      <w:r w:rsidRPr="00BA0583">
        <w:rPr>
          <w:sz w:val="20"/>
        </w:rPr>
        <w:t xml:space="preserve">Augmentation de la sécrétion de </w:t>
      </w:r>
      <w:proofErr w:type="spellStart"/>
      <w:r w:rsidRPr="00BA0583">
        <w:rPr>
          <w:sz w:val="20"/>
        </w:rPr>
        <w:t>GnRH</w:t>
      </w:r>
      <w:proofErr w:type="spellEnd"/>
    </w:p>
    <w:p w:rsidR="00FE3FFB" w:rsidRDefault="00FE3FFB" w:rsidP="00FE3FFB">
      <w:pPr>
        <w:pStyle w:val="ListParagraph"/>
        <w:numPr>
          <w:ilvl w:val="0"/>
          <w:numId w:val="9"/>
        </w:numPr>
        <w:spacing w:after="0"/>
        <w:rPr>
          <w:sz w:val="20"/>
        </w:rPr>
      </w:pPr>
      <w:r w:rsidRPr="00BA0583">
        <w:rPr>
          <w:sz w:val="20"/>
        </w:rPr>
        <w:t>Augmentation de la sécrétion de LH et FSH</w:t>
      </w:r>
    </w:p>
    <w:p w:rsidR="00FE3FFB" w:rsidRDefault="00FE3FFB" w:rsidP="00FE3FFB">
      <w:pPr>
        <w:pStyle w:val="ListParagraph"/>
        <w:numPr>
          <w:ilvl w:val="0"/>
          <w:numId w:val="9"/>
        </w:numPr>
        <w:spacing w:after="0"/>
        <w:rPr>
          <w:sz w:val="20"/>
        </w:rPr>
      </w:pPr>
      <w:r w:rsidRPr="00BA0583">
        <w:rPr>
          <w:sz w:val="20"/>
        </w:rPr>
        <w:t>Augmentation du volume testiculaire</w:t>
      </w:r>
      <w:r>
        <w:rPr>
          <w:sz w:val="20"/>
        </w:rPr>
        <w:t xml:space="preserve"> (peut se mesurer par </w:t>
      </w:r>
      <w:proofErr w:type="spellStart"/>
      <w:r>
        <w:rPr>
          <w:sz w:val="20"/>
        </w:rPr>
        <w:t>orchidomètre</w:t>
      </w:r>
      <w:proofErr w:type="spellEnd"/>
      <w:r>
        <w:rPr>
          <w:sz w:val="20"/>
        </w:rPr>
        <w:t>). Testicules font en moyenne 3ml chez un jeune garçon, 25ml chez homme adulte.</w:t>
      </w:r>
    </w:p>
    <w:p w:rsidR="00FE3FFB" w:rsidRDefault="00FE3FFB" w:rsidP="00FE3FFB">
      <w:pPr>
        <w:pStyle w:val="ListParagraph"/>
        <w:numPr>
          <w:ilvl w:val="0"/>
          <w:numId w:val="9"/>
        </w:numPr>
        <w:spacing w:after="0"/>
        <w:rPr>
          <w:sz w:val="20"/>
        </w:rPr>
      </w:pPr>
      <w:r w:rsidRPr="00BA0583">
        <w:rPr>
          <w:sz w:val="20"/>
        </w:rPr>
        <w:t>Développement des caractères sexuels secondaires</w:t>
      </w:r>
    </w:p>
    <w:p w:rsidR="00FE3FFB" w:rsidRDefault="00FE3FFB" w:rsidP="00FE3FFB">
      <w:pPr>
        <w:pStyle w:val="ListParagraph"/>
        <w:numPr>
          <w:ilvl w:val="0"/>
          <w:numId w:val="9"/>
        </w:numPr>
        <w:spacing w:after="0"/>
        <w:rPr>
          <w:sz w:val="20"/>
        </w:rPr>
      </w:pPr>
      <w:r w:rsidRPr="00BA0583">
        <w:rPr>
          <w:sz w:val="20"/>
        </w:rPr>
        <w:t>Début de la spermatogenèse</w:t>
      </w:r>
    </w:p>
    <w:p w:rsidR="00FE3FFB" w:rsidRDefault="00FE3FFB" w:rsidP="00FE3FFB">
      <w:pPr>
        <w:pStyle w:val="ListParagraph"/>
        <w:numPr>
          <w:ilvl w:val="0"/>
          <w:numId w:val="7"/>
        </w:numPr>
        <w:spacing w:after="0"/>
        <w:rPr>
          <w:sz w:val="20"/>
        </w:rPr>
      </w:pPr>
      <w:r>
        <w:rPr>
          <w:sz w:val="20"/>
        </w:rPr>
        <w:t>Testostérone plasmatique : transport identique à celui des œstrogènes</w:t>
      </w:r>
      <w:r w:rsidR="00655B77">
        <w:rPr>
          <w:sz w:val="20"/>
        </w:rPr>
        <w:t>. Les taux et la variabilité interindividuelle de testostérone sont globalement plus élevés que ceux des œstrogènes.</w:t>
      </w:r>
    </w:p>
    <w:p w:rsidR="00FE3FFB" w:rsidRDefault="00FE3FFB" w:rsidP="00FE3FFB">
      <w:pPr>
        <w:spacing w:after="0"/>
        <w:rPr>
          <w:sz w:val="20"/>
        </w:rPr>
      </w:pPr>
    </w:p>
    <w:p w:rsidR="00FE3FFB" w:rsidRDefault="00FE3FFB" w:rsidP="00FE3FFB">
      <w:pPr>
        <w:spacing w:after="0"/>
        <w:rPr>
          <w:sz w:val="20"/>
        </w:rPr>
      </w:pPr>
      <w:r>
        <w:rPr>
          <w:b/>
          <w:sz w:val="20"/>
          <w:u w:val="single"/>
        </w:rPr>
        <w:t>A</w:t>
      </w:r>
      <w:r w:rsidRPr="004A0A31">
        <w:rPr>
          <w:b/>
          <w:sz w:val="20"/>
          <w:u w:val="single"/>
        </w:rPr>
        <w:t>pparition de la puberté</w:t>
      </w:r>
      <w:r>
        <w:rPr>
          <w:sz w:val="20"/>
        </w:rPr>
        <w:t xml:space="preserve"> : </w:t>
      </w:r>
    </w:p>
    <w:p w:rsidR="00FE3FFB" w:rsidRDefault="00FE3FFB" w:rsidP="00FE3FFB">
      <w:pPr>
        <w:spacing w:after="0"/>
        <w:rPr>
          <w:sz w:val="20"/>
        </w:rPr>
      </w:pPr>
    </w:p>
    <w:p w:rsidR="00FE3FFB" w:rsidRDefault="00FE3FFB" w:rsidP="00FE3FFB">
      <w:pPr>
        <w:spacing w:after="0"/>
        <w:rPr>
          <w:rFonts w:eastAsiaTheme="minorEastAsia"/>
          <w:sz w:val="20"/>
        </w:rPr>
      </w:pPr>
      <w:r w:rsidRPr="00FE3FFB">
        <w:rPr>
          <w:b/>
          <w:sz w:val="20"/>
        </w:rPr>
        <w:t>Filles </w:t>
      </w:r>
      <w:r>
        <w:rPr>
          <w:sz w:val="20"/>
        </w:rPr>
        <w:t xml:space="preserve">: </w:t>
      </w:r>
      <w:proofErr w:type="spellStart"/>
      <w:r w:rsidRPr="002C634C">
        <w:rPr>
          <w:sz w:val="20"/>
          <w:highlight w:val="yellow"/>
        </w:rPr>
        <w:t>ménarche</w:t>
      </w:r>
      <w:proofErr w:type="spellEnd"/>
      <w:r>
        <w:rPr>
          <w:sz w:val="20"/>
        </w:rPr>
        <w:t xml:space="preserve"> (apparition des premières règles) à 12,5 ans en moyenne. 95% des filles les ont entre 10 et 15 ans (</w:t>
      </w:r>
      <m:oMath>
        <m:r>
          <w:rPr>
            <w:rFonts w:ascii="Cambria Math" w:hAnsi="Cambria Math"/>
            <w:sz w:val="20"/>
          </w:rPr>
          <m:t>μ±</m:t>
        </m:r>
      </m:oMath>
      <w:r>
        <w:rPr>
          <w:rFonts w:eastAsiaTheme="minorEastAsia"/>
          <w:sz w:val="20"/>
        </w:rPr>
        <w:t xml:space="preserve"> 2SD). On dit généralement qu’il faut 2 ans pour que les menstruations deviennent régulières. Les cycles deviennent à nouveau erratiques à la pré-ménopause. Un cycle fait généralement 28 jours avec une phase folliculaire et lutéale de 14 jours chacune. Dans la réalité la longueur du cycle peut varier. C’est la phase lutéale qui reste constante (12-14 jours) et la phase folliculaire qui change selon la durée du cycle.</w:t>
      </w:r>
    </w:p>
    <w:p w:rsidR="00FE3FFB" w:rsidRPr="00FE3FFB" w:rsidRDefault="00FE3FFB" w:rsidP="00FE3FFB">
      <w:pPr>
        <w:spacing w:after="0"/>
        <w:rPr>
          <w:sz w:val="20"/>
        </w:rPr>
      </w:pPr>
    </w:p>
    <w:p w:rsidR="00FE3FFB" w:rsidRDefault="00FE3FFB" w:rsidP="00FE3FFB">
      <w:pPr>
        <w:spacing w:after="0"/>
        <w:rPr>
          <w:sz w:val="20"/>
        </w:rPr>
      </w:pPr>
      <w:r w:rsidRPr="00FE3FFB">
        <w:rPr>
          <w:b/>
          <w:sz w:val="20"/>
        </w:rPr>
        <w:t>Garçons</w:t>
      </w:r>
      <w:r>
        <w:rPr>
          <w:sz w:val="20"/>
        </w:rPr>
        <w:t xml:space="preserve"> : la </w:t>
      </w:r>
      <w:proofErr w:type="spellStart"/>
      <w:r>
        <w:rPr>
          <w:sz w:val="20"/>
        </w:rPr>
        <w:t>ménarche</w:t>
      </w:r>
      <w:proofErr w:type="spellEnd"/>
      <w:r>
        <w:rPr>
          <w:sz w:val="20"/>
        </w:rPr>
        <w:t xml:space="preserve"> sert de repère chez la femme. Chez l’homme on se fie au pic de croissance. On dit généralement que la puberté se complète sur une période de 5 ans chez le garçon, se produit un peu</w:t>
      </w:r>
      <w:r w:rsidR="00D72597">
        <w:rPr>
          <w:sz w:val="20"/>
        </w:rPr>
        <w:t xml:space="preserve"> plus tard que chez les filles.</w:t>
      </w:r>
    </w:p>
    <w:p w:rsidR="00FE3FFB" w:rsidRDefault="00FE3FFB" w:rsidP="00FE3FFB">
      <w:pPr>
        <w:spacing w:after="0"/>
        <w:rPr>
          <w:sz w:val="20"/>
        </w:rPr>
      </w:pPr>
    </w:p>
    <w:p w:rsidR="00FE3FFB" w:rsidRDefault="00FE3FFB" w:rsidP="00FE3FFB">
      <w:pPr>
        <w:spacing w:after="0"/>
        <w:rPr>
          <w:sz w:val="20"/>
        </w:rPr>
      </w:pPr>
      <w:r>
        <w:rPr>
          <w:sz w:val="20"/>
        </w:rPr>
        <w:t>Des études sur jumeaux monozygotes et dizygotes suggèrent que 60% de la variabilité d’arrivée pubertaire dépend de la génétique. D’autres facteurs peuvent cependant intervenir. Exemples :</w:t>
      </w:r>
    </w:p>
    <w:p w:rsidR="00FE3FFB" w:rsidRDefault="00FE3FFB" w:rsidP="00FE3FFB">
      <w:pPr>
        <w:pStyle w:val="ListParagraph"/>
        <w:numPr>
          <w:ilvl w:val="0"/>
          <w:numId w:val="6"/>
        </w:numPr>
        <w:spacing w:after="0"/>
        <w:rPr>
          <w:sz w:val="20"/>
        </w:rPr>
      </w:pPr>
      <w:r>
        <w:rPr>
          <w:sz w:val="20"/>
        </w:rPr>
        <w:t xml:space="preserve">Nutrition : on voit facilement une </w:t>
      </w:r>
      <w:r w:rsidR="00655B77">
        <w:rPr>
          <w:sz w:val="20"/>
        </w:rPr>
        <w:t xml:space="preserve">survenue plus tardive des </w:t>
      </w:r>
      <w:proofErr w:type="spellStart"/>
      <w:r w:rsidR="00655B77">
        <w:rPr>
          <w:sz w:val="20"/>
        </w:rPr>
        <w:t>ménarches</w:t>
      </w:r>
      <w:proofErr w:type="spellEnd"/>
      <w:r w:rsidR="00655B77">
        <w:rPr>
          <w:sz w:val="20"/>
        </w:rPr>
        <w:t xml:space="preserve"> chez les filles anorexiques. Réciproquement, la puberté survient globalement plus tôt chez les adolescents en surpoids.</w:t>
      </w:r>
    </w:p>
    <w:p w:rsidR="00823CE6" w:rsidRDefault="00655B77" w:rsidP="00FE3FFB">
      <w:pPr>
        <w:pStyle w:val="ListParagraph"/>
        <w:numPr>
          <w:ilvl w:val="0"/>
          <w:numId w:val="6"/>
        </w:numPr>
        <w:spacing w:after="0"/>
        <w:rPr>
          <w:sz w:val="20"/>
        </w:rPr>
      </w:pPr>
      <w:r>
        <w:rPr>
          <w:sz w:val="20"/>
        </w:rPr>
        <w:t>Activité physique : les grandes sportives ont généralement leurs règles plus tard.</w:t>
      </w:r>
    </w:p>
    <w:p w:rsidR="00823CE6" w:rsidRDefault="00823CE6">
      <w:pPr>
        <w:rPr>
          <w:sz w:val="20"/>
        </w:rPr>
      </w:pPr>
      <w:r>
        <w:rPr>
          <w:sz w:val="20"/>
        </w:rPr>
        <w:br w:type="page"/>
      </w:r>
    </w:p>
    <w:p w:rsidR="00655B77" w:rsidRDefault="00823CE6" w:rsidP="00823CE6">
      <w:pPr>
        <w:spacing w:after="0"/>
        <w:rPr>
          <w:sz w:val="20"/>
        </w:rPr>
      </w:pPr>
      <w:r w:rsidRPr="00823CE6">
        <w:rPr>
          <w:b/>
          <w:sz w:val="20"/>
          <w:u w:val="single"/>
        </w:rPr>
        <w:lastRenderedPageBreak/>
        <w:t>Hypogonadisme</w:t>
      </w:r>
      <w:r>
        <w:rPr>
          <w:sz w:val="20"/>
        </w:rPr>
        <w:t> :</w:t>
      </w:r>
      <w:r w:rsidR="00780F53">
        <w:rPr>
          <w:sz w:val="20"/>
        </w:rPr>
        <w:t xml:space="preserve"> défaut d’ovulation chez la femme (dysfonctions menstruelles), de production de testostérone chez l’homme.</w:t>
      </w:r>
    </w:p>
    <w:p w:rsidR="00780F53" w:rsidRDefault="00780F53" w:rsidP="00823CE6">
      <w:pPr>
        <w:spacing w:after="0"/>
        <w:rPr>
          <w:sz w:val="20"/>
        </w:rPr>
      </w:pPr>
    </w:p>
    <w:p w:rsidR="00780F53" w:rsidRDefault="00780F53" w:rsidP="00780F53">
      <w:pPr>
        <w:spacing w:after="0"/>
        <w:rPr>
          <w:sz w:val="20"/>
        </w:rPr>
      </w:pPr>
      <w:r w:rsidRPr="00780F53">
        <w:rPr>
          <w:b/>
          <w:sz w:val="20"/>
        </w:rPr>
        <w:t>Femmes</w:t>
      </w:r>
      <w:r w:rsidRPr="00780F53">
        <w:rPr>
          <w:sz w:val="20"/>
        </w:rPr>
        <w:t> :</w:t>
      </w:r>
      <w:r>
        <w:rPr>
          <w:sz w:val="20"/>
        </w:rPr>
        <w:t xml:space="preserve"> se manifeste par</w:t>
      </w:r>
      <w:r w:rsidRPr="00780F53">
        <w:rPr>
          <w:sz w:val="20"/>
        </w:rPr>
        <w:t xml:space="preserve"> aménorrhée primaire ou secondaire, </w:t>
      </w:r>
      <w:proofErr w:type="spellStart"/>
      <w:r>
        <w:rPr>
          <w:sz w:val="20"/>
        </w:rPr>
        <w:t>oligoménorrhée</w:t>
      </w:r>
      <w:proofErr w:type="spellEnd"/>
      <w:r>
        <w:rPr>
          <w:sz w:val="20"/>
        </w:rPr>
        <w:t> (</w:t>
      </w:r>
      <w:r w:rsidRPr="00780F53">
        <w:rPr>
          <w:sz w:val="20"/>
        </w:rPr>
        <w:t>cycles &gt; 35-40 jours</w:t>
      </w:r>
      <w:r>
        <w:rPr>
          <w:sz w:val="20"/>
        </w:rPr>
        <w:t>), saignements intermittents (</w:t>
      </w:r>
      <w:r w:rsidRPr="00C05A28">
        <w:rPr>
          <w:sz w:val="20"/>
        </w:rPr>
        <w:t>&lt;21 jours d’intervalle ou &gt;7 jours de saignements</w:t>
      </w:r>
      <w:r>
        <w:rPr>
          <w:sz w:val="20"/>
        </w:rPr>
        <w:t>)</w:t>
      </w:r>
      <w:r w:rsidR="00926545">
        <w:rPr>
          <w:sz w:val="20"/>
        </w:rPr>
        <w:t>.</w:t>
      </w:r>
    </w:p>
    <w:p w:rsidR="00780F53" w:rsidRDefault="00780F53" w:rsidP="00780F53">
      <w:pPr>
        <w:pStyle w:val="ListParagraph"/>
        <w:numPr>
          <w:ilvl w:val="0"/>
          <w:numId w:val="6"/>
        </w:numPr>
        <w:spacing w:after="0"/>
        <w:rPr>
          <w:sz w:val="20"/>
        </w:rPr>
      </w:pPr>
      <w:r>
        <w:rPr>
          <w:sz w:val="20"/>
        </w:rPr>
        <w:t>Hypogonadisme 1° - ovarien</w:t>
      </w:r>
      <w:r w:rsidR="00926545">
        <w:rPr>
          <w:sz w:val="20"/>
        </w:rPr>
        <w:t> : se voit dans la ménopause précoce et le syndrome de Turner.</w:t>
      </w:r>
    </w:p>
    <w:p w:rsidR="00926545" w:rsidRDefault="00780F53" w:rsidP="00780F53">
      <w:pPr>
        <w:pStyle w:val="ListParagraph"/>
        <w:numPr>
          <w:ilvl w:val="0"/>
          <w:numId w:val="6"/>
        </w:numPr>
        <w:spacing w:after="0"/>
        <w:rPr>
          <w:sz w:val="20"/>
        </w:rPr>
      </w:pPr>
      <w:r>
        <w:rPr>
          <w:sz w:val="20"/>
        </w:rPr>
        <w:t xml:space="preserve">Hypogonadisme 2° - endocrinien : problèmes </w:t>
      </w:r>
      <w:r w:rsidR="00926545">
        <w:rPr>
          <w:sz w:val="20"/>
        </w:rPr>
        <w:t>affectant l’hypothalamus et hypophyse.</w:t>
      </w:r>
    </w:p>
    <w:p w:rsidR="00926545" w:rsidRDefault="00926545" w:rsidP="00926545">
      <w:pPr>
        <w:pStyle w:val="ListParagraph"/>
        <w:numPr>
          <w:ilvl w:val="0"/>
          <w:numId w:val="10"/>
        </w:numPr>
        <w:spacing w:after="0"/>
        <w:rPr>
          <w:sz w:val="20"/>
        </w:rPr>
      </w:pPr>
      <w:r>
        <w:rPr>
          <w:sz w:val="20"/>
        </w:rPr>
        <w:t>F</w:t>
      </w:r>
      <w:r w:rsidR="00780F53">
        <w:rPr>
          <w:sz w:val="20"/>
        </w:rPr>
        <w:t>onctionnels</w:t>
      </w:r>
      <w:r>
        <w:rPr>
          <w:sz w:val="20"/>
        </w:rPr>
        <w:t> : déficit d’énergie, médicaments</w:t>
      </w:r>
    </w:p>
    <w:p w:rsidR="00926545" w:rsidRDefault="00926545" w:rsidP="00926545">
      <w:pPr>
        <w:pStyle w:val="ListParagraph"/>
        <w:numPr>
          <w:ilvl w:val="0"/>
          <w:numId w:val="10"/>
        </w:numPr>
        <w:spacing w:after="0"/>
        <w:rPr>
          <w:sz w:val="20"/>
        </w:rPr>
      </w:pPr>
      <w:r>
        <w:rPr>
          <w:sz w:val="20"/>
        </w:rPr>
        <w:t>S</w:t>
      </w:r>
      <w:r w:rsidR="00780F53">
        <w:rPr>
          <w:sz w:val="20"/>
        </w:rPr>
        <w:t>tructure</w:t>
      </w:r>
      <w:r>
        <w:rPr>
          <w:sz w:val="20"/>
        </w:rPr>
        <w:t>l</w:t>
      </w:r>
      <w:r w:rsidR="00780F53">
        <w:rPr>
          <w:sz w:val="20"/>
        </w:rPr>
        <w:t>s</w:t>
      </w:r>
      <w:r>
        <w:rPr>
          <w:sz w:val="20"/>
        </w:rPr>
        <w:t xml:space="preserve"> : tumeurs, lésions, apoplexie pituitaire (ex par hémorragie), maladie </w:t>
      </w:r>
      <w:proofErr w:type="spellStart"/>
      <w:r>
        <w:rPr>
          <w:sz w:val="20"/>
        </w:rPr>
        <w:t>infiltrative</w:t>
      </w:r>
      <w:proofErr w:type="spellEnd"/>
      <w:r>
        <w:rPr>
          <w:sz w:val="20"/>
        </w:rPr>
        <w:t xml:space="preserve">. </w:t>
      </w:r>
    </w:p>
    <w:p w:rsidR="00780F53" w:rsidRPr="00780F53" w:rsidRDefault="00926545" w:rsidP="00926545">
      <w:pPr>
        <w:pStyle w:val="ListParagraph"/>
        <w:numPr>
          <w:ilvl w:val="0"/>
          <w:numId w:val="10"/>
        </w:numPr>
        <w:spacing w:after="0"/>
        <w:rPr>
          <w:sz w:val="20"/>
        </w:rPr>
      </w:pPr>
      <w:r>
        <w:rPr>
          <w:sz w:val="20"/>
        </w:rPr>
        <w:t>G</w:t>
      </w:r>
      <w:r w:rsidR="00780F53">
        <w:rPr>
          <w:sz w:val="20"/>
        </w:rPr>
        <w:t>énétiques</w:t>
      </w:r>
      <w:r>
        <w:rPr>
          <w:sz w:val="20"/>
        </w:rPr>
        <w:t xml:space="preserve"> : peut être idiopathique ou congénital (ex syndrome de </w:t>
      </w:r>
      <w:proofErr w:type="spellStart"/>
      <w:r>
        <w:rPr>
          <w:sz w:val="20"/>
        </w:rPr>
        <w:t>Kallmann</w:t>
      </w:r>
      <w:proofErr w:type="spellEnd"/>
      <w:r>
        <w:rPr>
          <w:sz w:val="20"/>
        </w:rPr>
        <w:t>).</w:t>
      </w:r>
    </w:p>
    <w:p w:rsidR="00780F53" w:rsidRDefault="00780F53" w:rsidP="00823CE6">
      <w:pPr>
        <w:spacing w:after="0"/>
        <w:rPr>
          <w:sz w:val="20"/>
        </w:rPr>
      </w:pPr>
    </w:p>
    <w:p w:rsidR="00780F53" w:rsidRDefault="00780F53" w:rsidP="00823CE6">
      <w:pPr>
        <w:spacing w:after="0"/>
        <w:rPr>
          <w:sz w:val="20"/>
        </w:rPr>
      </w:pPr>
      <w:r w:rsidRPr="00780F53">
        <w:rPr>
          <w:b/>
          <w:sz w:val="20"/>
        </w:rPr>
        <w:t>Hommes </w:t>
      </w:r>
      <w:r>
        <w:rPr>
          <w:sz w:val="20"/>
        </w:rPr>
        <w:t>:</w:t>
      </w:r>
    </w:p>
    <w:p w:rsidR="00780F53" w:rsidRDefault="00780F53" w:rsidP="00780F53">
      <w:pPr>
        <w:pStyle w:val="ListParagraph"/>
        <w:numPr>
          <w:ilvl w:val="0"/>
          <w:numId w:val="6"/>
        </w:numPr>
        <w:spacing w:after="0"/>
        <w:rPr>
          <w:sz w:val="20"/>
        </w:rPr>
      </w:pPr>
      <w:r>
        <w:rPr>
          <w:sz w:val="20"/>
        </w:rPr>
        <w:t>Hypogonadisme 1° </w:t>
      </w:r>
      <w:r w:rsidR="00926545">
        <w:rPr>
          <w:sz w:val="20"/>
        </w:rPr>
        <w:t>- testiculaire :</w:t>
      </w:r>
      <w:r w:rsidR="007D320F">
        <w:rPr>
          <w:sz w:val="20"/>
        </w:rPr>
        <w:t xml:space="preserve"> ex c</w:t>
      </w:r>
      <w:r w:rsidR="007D320F" w:rsidRPr="00BA4B29">
        <w:rPr>
          <w:sz w:val="20"/>
        </w:rPr>
        <w:t>ryptorchidie</w:t>
      </w:r>
      <w:r w:rsidR="007D320F">
        <w:rPr>
          <w:sz w:val="20"/>
        </w:rPr>
        <w:t>, délétion SRY, syndrome de Klinefelter (gynécomastie, testicules petits et fermes, azoospermie)…</w:t>
      </w:r>
    </w:p>
    <w:p w:rsidR="00780F53" w:rsidRDefault="00780F53" w:rsidP="00780F53">
      <w:pPr>
        <w:pStyle w:val="ListParagraph"/>
        <w:numPr>
          <w:ilvl w:val="0"/>
          <w:numId w:val="6"/>
        </w:numPr>
        <w:spacing w:after="0"/>
        <w:rPr>
          <w:sz w:val="20"/>
        </w:rPr>
      </w:pPr>
      <w:r>
        <w:rPr>
          <w:sz w:val="20"/>
        </w:rPr>
        <w:t>Hypogonadisme 2° </w:t>
      </w:r>
      <w:r w:rsidR="00926545">
        <w:rPr>
          <w:sz w:val="20"/>
        </w:rPr>
        <w:t>- endocrinien : causes identiques à l’hypogonadisme de la femme.</w:t>
      </w:r>
    </w:p>
    <w:p w:rsidR="00780F53" w:rsidRDefault="00780F53" w:rsidP="00823CE6">
      <w:pPr>
        <w:spacing w:after="0"/>
        <w:rPr>
          <w:sz w:val="20"/>
        </w:rPr>
      </w:pPr>
    </w:p>
    <w:p w:rsidR="007D320F" w:rsidRDefault="007D320F" w:rsidP="00823CE6">
      <w:pPr>
        <w:spacing w:after="0"/>
        <w:rPr>
          <w:sz w:val="20"/>
        </w:rPr>
      </w:pPr>
      <w:r>
        <w:rPr>
          <w:sz w:val="20"/>
        </w:rPr>
        <w:t>Présentation clinique chez l’homme :</w:t>
      </w:r>
    </w:p>
    <w:p w:rsidR="007D320F" w:rsidRPr="007D320F" w:rsidRDefault="007D320F" w:rsidP="007D320F">
      <w:pPr>
        <w:pStyle w:val="ListParagraph"/>
        <w:numPr>
          <w:ilvl w:val="0"/>
          <w:numId w:val="6"/>
        </w:numPr>
        <w:spacing w:after="0"/>
        <w:rPr>
          <w:sz w:val="20"/>
        </w:rPr>
      </w:pPr>
      <w:r>
        <w:rPr>
          <w:sz w:val="20"/>
        </w:rPr>
        <w:t xml:space="preserve">Enfant : </w:t>
      </w:r>
      <w:proofErr w:type="spellStart"/>
      <w:r>
        <w:rPr>
          <w:sz w:val="20"/>
        </w:rPr>
        <w:t>microphallus</w:t>
      </w:r>
      <w:proofErr w:type="spellEnd"/>
      <w:r>
        <w:rPr>
          <w:sz w:val="20"/>
        </w:rPr>
        <w:t xml:space="preserve">, cryptorchidie </w:t>
      </w:r>
    </w:p>
    <w:p w:rsidR="007D320F" w:rsidRDefault="007D320F" w:rsidP="007D320F">
      <w:pPr>
        <w:pStyle w:val="ListParagraph"/>
        <w:numPr>
          <w:ilvl w:val="0"/>
          <w:numId w:val="6"/>
        </w:numPr>
        <w:spacing w:after="0"/>
        <w:rPr>
          <w:sz w:val="20"/>
        </w:rPr>
      </w:pPr>
      <w:r>
        <w:rPr>
          <w:sz w:val="20"/>
        </w:rPr>
        <w:t xml:space="preserve">Adolescent : absence de caractères sexuels secondaires, </w:t>
      </w:r>
      <w:r w:rsidR="0085451E">
        <w:rPr>
          <w:sz w:val="20"/>
        </w:rPr>
        <w:t>libido diminuée, gynécomastie, défaut de développement testiculaire.</w:t>
      </w:r>
    </w:p>
    <w:p w:rsidR="0085451E" w:rsidRDefault="007D320F" w:rsidP="0085451E">
      <w:pPr>
        <w:pStyle w:val="ListParagraph"/>
        <w:numPr>
          <w:ilvl w:val="0"/>
          <w:numId w:val="6"/>
        </w:numPr>
        <w:spacing w:after="0"/>
        <w:rPr>
          <w:sz w:val="20"/>
        </w:rPr>
      </w:pPr>
      <w:r>
        <w:rPr>
          <w:sz w:val="20"/>
        </w:rPr>
        <w:t>Adulte :</w:t>
      </w:r>
      <w:r w:rsidR="0085451E">
        <w:rPr>
          <w:sz w:val="20"/>
        </w:rPr>
        <w:t xml:space="preserve"> défauts de libido/fertilité, pertes en masse musculaire et osseuse, baisse d’énergie.</w:t>
      </w:r>
    </w:p>
    <w:p w:rsidR="0085451E" w:rsidRDefault="0085451E" w:rsidP="0085451E">
      <w:pPr>
        <w:spacing w:after="0"/>
        <w:rPr>
          <w:sz w:val="20"/>
        </w:rPr>
      </w:pPr>
    </w:p>
    <w:p w:rsidR="0085451E" w:rsidRPr="0085451E" w:rsidRDefault="0085451E" w:rsidP="0085451E">
      <w:pPr>
        <w:spacing w:after="0"/>
        <w:rPr>
          <w:sz w:val="20"/>
        </w:rPr>
      </w:pPr>
      <w:r w:rsidRPr="0085451E">
        <w:rPr>
          <w:b/>
          <w:sz w:val="20"/>
          <w:u w:val="single"/>
          <w:lang w:val="en-GB"/>
        </w:rPr>
        <w:t>Constitutional delay of growth and puberty (CDGP)</w:t>
      </w:r>
      <w:r>
        <w:rPr>
          <w:sz w:val="20"/>
          <w:lang w:val="en-GB"/>
        </w:rPr>
        <w:t xml:space="preserve"> : retard </w:t>
      </w:r>
      <w:proofErr w:type="spellStart"/>
      <w:r>
        <w:rPr>
          <w:sz w:val="20"/>
          <w:lang w:val="en-GB"/>
        </w:rPr>
        <w:t>pubertaire</w:t>
      </w:r>
      <w:proofErr w:type="spellEnd"/>
      <w:r>
        <w:rPr>
          <w:sz w:val="20"/>
          <w:lang w:val="en-GB"/>
        </w:rPr>
        <w:t xml:space="preserve"> simple (&gt;P95), non </w:t>
      </w:r>
      <w:proofErr w:type="spellStart"/>
      <w:r>
        <w:rPr>
          <w:sz w:val="20"/>
          <w:lang w:val="en-GB"/>
        </w:rPr>
        <w:t>pathologique</w:t>
      </w:r>
      <w:proofErr w:type="spellEnd"/>
      <w:r>
        <w:rPr>
          <w:sz w:val="20"/>
          <w:lang w:val="en-GB"/>
        </w:rPr>
        <w:t xml:space="preserve">. </w:t>
      </w:r>
      <w:r w:rsidRPr="0085451E">
        <w:rPr>
          <w:sz w:val="20"/>
        </w:rPr>
        <w:t>Cause la plus fréquente de puberté retardée</w:t>
      </w:r>
      <w:r>
        <w:rPr>
          <w:sz w:val="20"/>
        </w:rPr>
        <w:t>, (&gt;60% chez les garçons, 30% chez les filles). À noter : diagnostic posé par exclusion</w:t>
      </w:r>
      <w:r w:rsidRPr="0085451E">
        <w:rPr>
          <w:sz w:val="20"/>
        </w:rPr>
        <w:t>. Affecte plus les g</w:t>
      </w:r>
      <w:r>
        <w:rPr>
          <w:sz w:val="20"/>
        </w:rPr>
        <w:t>arçons que les filles. On peut</w:t>
      </w:r>
      <w:r w:rsidR="00D72597">
        <w:rPr>
          <w:sz w:val="20"/>
        </w:rPr>
        <w:t xml:space="preserve"> (chez le garçon)</w:t>
      </w:r>
      <w:r>
        <w:rPr>
          <w:sz w:val="20"/>
        </w:rPr>
        <w:t xml:space="preserve"> dans ce cas envisager de provoquer la survenue pubertaire par injections de testostérone pendant 6 mois.</w:t>
      </w:r>
    </w:p>
    <w:sectPr w:rsidR="0085451E" w:rsidRPr="0085451E" w:rsidSect="0077712B">
      <w:footerReference w:type="default" r:id="rId7"/>
      <w:pgSz w:w="11906" w:h="16838"/>
      <w:pgMar w:top="1417" w:right="1417" w:bottom="1417" w:left="1417" w:header="708"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13D60" w:rsidRDefault="00113D60" w:rsidP="0077712B">
      <w:pPr>
        <w:spacing w:after="0" w:line="240" w:lineRule="auto"/>
      </w:pPr>
      <w:r>
        <w:separator/>
      </w:r>
    </w:p>
  </w:endnote>
  <w:endnote w:type="continuationSeparator" w:id="0">
    <w:p w:rsidR="00113D60" w:rsidRDefault="00113D60" w:rsidP="0077712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8"/>
      </w:rPr>
      <w:id w:val="959539998"/>
      <w:docPartObj>
        <w:docPartGallery w:val="Page Numbers (Bottom of Page)"/>
        <w:docPartUnique/>
      </w:docPartObj>
    </w:sdtPr>
    <w:sdtContent>
      <w:p w:rsidR="00823CE6" w:rsidRPr="0077712B" w:rsidRDefault="00C868A1">
        <w:pPr>
          <w:pStyle w:val="Footer"/>
          <w:jc w:val="right"/>
          <w:rPr>
            <w:sz w:val="18"/>
          </w:rPr>
        </w:pPr>
        <w:r w:rsidRPr="0077712B">
          <w:rPr>
            <w:sz w:val="18"/>
          </w:rPr>
          <w:fldChar w:fldCharType="begin"/>
        </w:r>
        <w:r w:rsidR="00823CE6" w:rsidRPr="0077712B">
          <w:rPr>
            <w:sz w:val="18"/>
          </w:rPr>
          <w:instrText xml:space="preserve"> PAGE   \* MERGEFORMAT </w:instrText>
        </w:r>
        <w:r w:rsidRPr="0077712B">
          <w:rPr>
            <w:sz w:val="18"/>
          </w:rPr>
          <w:fldChar w:fldCharType="separate"/>
        </w:r>
        <w:r w:rsidR="00D72597">
          <w:rPr>
            <w:noProof/>
            <w:sz w:val="18"/>
          </w:rPr>
          <w:t>3</w:t>
        </w:r>
        <w:r w:rsidRPr="0077712B">
          <w:rPr>
            <w:sz w:val="18"/>
          </w:rPr>
          <w:fldChar w:fldCharType="end"/>
        </w:r>
      </w:p>
    </w:sdtContent>
  </w:sdt>
  <w:p w:rsidR="00823CE6" w:rsidRPr="0077712B" w:rsidRDefault="00823CE6">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13D60" w:rsidRDefault="00113D60" w:rsidP="0077712B">
      <w:pPr>
        <w:spacing w:after="0" w:line="240" w:lineRule="auto"/>
      </w:pPr>
      <w:r>
        <w:separator/>
      </w:r>
    </w:p>
  </w:footnote>
  <w:footnote w:type="continuationSeparator" w:id="0">
    <w:p w:rsidR="00113D60" w:rsidRDefault="00113D60" w:rsidP="0077712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224951"/>
    <w:multiLevelType w:val="hybridMultilevel"/>
    <w:tmpl w:val="CDFE18E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
    <w:nsid w:val="0D3271AE"/>
    <w:multiLevelType w:val="hybridMultilevel"/>
    <w:tmpl w:val="D8A00C9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nsid w:val="0FF96CBA"/>
    <w:multiLevelType w:val="hybridMultilevel"/>
    <w:tmpl w:val="D220C2D0"/>
    <w:lvl w:ilvl="0" w:tplc="253CE866">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nsid w:val="1BBF366A"/>
    <w:multiLevelType w:val="hybridMultilevel"/>
    <w:tmpl w:val="79E00E2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4">
    <w:nsid w:val="22420076"/>
    <w:multiLevelType w:val="hybridMultilevel"/>
    <w:tmpl w:val="AD400F54"/>
    <w:lvl w:ilvl="0" w:tplc="26B2D05A">
      <w:start w:val="1"/>
      <w:numFmt w:val="bullet"/>
      <w:lvlText w:val="→"/>
      <w:lvlJc w:val="left"/>
      <w:pPr>
        <w:ind w:left="2160" w:hanging="360"/>
      </w:pPr>
      <w:rPr>
        <w:rFonts w:ascii="Times New Roman" w:hAnsi="Times New Roman" w:cs="Times New Roman" w:hint="default"/>
      </w:rPr>
    </w:lvl>
    <w:lvl w:ilvl="1" w:tplc="100C0003" w:tentative="1">
      <w:start w:val="1"/>
      <w:numFmt w:val="bullet"/>
      <w:lvlText w:val="o"/>
      <w:lvlJc w:val="left"/>
      <w:pPr>
        <w:ind w:left="2880" w:hanging="360"/>
      </w:pPr>
      <w:rPr>
        <w:rFonts w:ascii="Courier New" w:hAnsi="Courier New" w:cs="Courier New" w:hint="default"/>
      </w:rPr>
    </w:lvl>
    <w:lvl w:ilvl="2" w:tplc="100C0005" w:tentative="1">
      <w:start w:val="1"/>
      <w:numFmt w:val="bullet"/>
      <w:lvlText w:val=""/>
      <w:lvlJc w:val="left"/>
      <w:pPr>
        <w:ind w:left="3600" w:hanging="360"/>
      </w:pPr>
      <w:rPr>
        <w:rFonts w:ascii="Wingdings" w:hAnsi="Wingdings" w:hint="default"/>
      </w:rPr>
    </w:lvl>
    <w:lvl w:ilvl="3" w:tplc="100C0001" w:tentative="1">
      <w:start w:val="1"/>
      <w:numFmt w:val="bullet"/>
      <w:lvlText w:val=""/>
      <w:lvlJc w:val="left"/>
      <w:pPr>
        <w:ind w:left="4320" w:hanging="360"/>
      </w:pPr>
      <w:rPr>
        <w:rFonts w:ascii="Symbol" w:hAnsi="Symbol" w:hint="default"/>
      </w:rPr>
    </w:lvl>
    <w:lvl w:ilvl="4" w:tplc="100C0003" w:tentative="1">
      <w:start w:val="1"/>
      <w:numFmt w:val="bullet"/>
      <w:lvlText w:val="o"/>
      <w:lvlJc w:val="left"/>
      <w:pPr>
        <w:ind w:left="5040" w:hanging="360"/>
      </w:pPr>
      <w:rPr>
        <w:rFonts w:ascii="Courier New" w:hAnsi="Courier New" w:cs="Courier New" w:hint="default"/>
      </w:rPr>
    </w:lvl>
    <w:lvl w:ilvl="5" w:tplc="100C0005" w:tentative="1">
      <w:start w:val="1"/>
      <w:numFmt w:val="bullet"/>
      <w:lvlText w:val=""/>
      <w:lvlJc w:val="left"/>
      <w:pPr>
        <w:ind w:left="5760" w:hanging="360"/>
      </w:pPr>
      <w:rPr>
        <w:rFonts w:ascii="Wingdings" w:hAnsi="Wingdings" w:hint="default"/>
      </w:rPr>
    </w:lvl>
    <w:lvl w:ilvl="6" w:tplc="100C0001" w:tentative="1">
      <w:start w:val="1"/>
      <w:numFmt w:val="bullet"/>
      <w:lvlText w:val=""/>
      <w:lvlJc w:val="left"/>
      <w:pPr>
        <w:ind w:left="6480" w:hanging="360"/>
      </w:pPr>
      <w:rPr>
        <w:rFonts w:ascii="Symbol" w:hAnsi="Symbol" w:hint="default"/>
      </w:rPr>
    </w:lvl>
    <w:lvl w:ilvl="7" w:tplc="100C0003" w:tentative="1">
      <w:start w:val="1"/>
      <w:numFmt w:val="bullet"/>
      <w:lvlText w:val="o"/>
      <w:lvlJc w:val="left"/>
      <w:pPr>
        <w:ind w:left="7200" w:hanging="360"/>
      </w:pPr>
      <w:rPr>
        <w:rFonts w:ascii="Courier New" w:hAnsi="Courier New" w:cs="Courier New" w:hint="default"/>
      </w:rPr>
    </w:lvl>
    <w:lvl w:ilvl="8" w:tplc="100C0005" w:tentative="1">
      <w:start w:val="1"/>
      <w:numFmt w:val="bullet"/>
      <w:lvlText w:val=""/>
      <w:lvlJc w:val="left"/>
      <w:pPr>
        <w:ind w:left="7920" w:hanging="360"/>
      </w:pPr>
      <w:rPr>
        <w:rFonts w:ascii="Wingdings" w:hAnsi="Wingdings" w:hint="default"/>
      </w:rPr>
    </w:lvl>
  </w:abstractNum>
  <w:abstractNum w:abstractNumId="5">
    <w:nsid w:val="22572E67"/>
    <w:multiLevelType w:val="hybridMultilevel"/>
    <w:tmpl w:val="A422374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6">
    <w:nsid w:val="22857BA6"/>
    <w:multiLevelType w:val="hybridMultilevel"/>
    <w:tmpl w:val="955EC590"/>
    <w:lvl w:ilvl="0" w:tplc="253CE866">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nsid w:val="31012799"/>
    <w:multiLevelType w:val="hybridMultilevel"/>
    <w:tmpl w:val="C38A01D6"/>
    <w:lvl w:ilvl="0" w:tplc="664A8094">
      <w:start w:val="1"/>
      <w:numFmt w:val="bullet"/>
      <w:lvlText w:val=""/>
      <w:lvlJc w:val="left"/>
      <w:pPr>
        <w:ind w:left="1440" w:hanging="360"/>
      </w:pPr>
      <w:rPr>
        <w:rFonts w:ascii="Symbol" w:hAnsi="Symbol"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8">
    <w:nsid w:val="3501151A"/>
    <w:multiLevelType w:val="hybridMultilevel"/>
    <w:tmpl w:val="96B885AE"/>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9">
    <w:nsid w:val="373536E7"/>
    <w:multiLevelType w:val="hybridMultilevel"/>
    <w:tmpl w:val="9A9E3800"/>
    <w:lvl w:ilvl="0" w:tplc="253CE866">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nsid w:val="44134626"/>
    <w:multiLevelType w:val="hybridMultilevel"/>
    <w:tmpl w:val="860E65CC"/>
    <w:lvl w:ilvl="0" w:tplc="253CE866">
      <w:start w:val="3"/>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nsid w:val="44E53FBB"/>
    <w:multiLevelType w:val="hybridMultilevel"/>
    <w:tmpl w:val="374A5F00"/>
    <w:lvl w:ilvl="0" w:tplc="26B2D05A">
      <w:start w:val="1"/>
      <w:numFmt w:val="bullet"/>
      <w:lvlText w:val="→"/>
      <w:lvlJc w:val="left"/>
      <w:pPr>
        <w:ind w:left="1440" w:hanging="360"/>
      </w:pPr>
      <w:rPr>
        <w:rFonts w:ascii="Times New Roman" w:hAnsi="Times New Roman" w:cs="Times New Roman" w:hint="default"/>
      </w:rPr>
    </w:lvl>
    <w:lvl w:ilvl="1" w:tplc="100C0003" w:tentative="1">
      <w:start w:val="1"/>
      <w:numFmt w:val="bullet"/>
      <w:lvlText w:val="o"/>
      <w:lvlJc w:val="left"/>
      <w:pPr>
        <w:ind w:left="2160" w:hanging="360"/>
      </w:pPr>
      <w:rPr>
        <w:rFonts w:ascii="Courier New" w:hAnsi="Courier New" w:cs="Courier New" w:hint="default"/>
      </w:rPr>
    </w:lvl>
    <w:lvl w:ilvl="2" w:tplc="100C0005" w:tentative="1">
      <w:start w:val="1"/>
      <w:numFmt w:val="bullet"/>
      <w:lvlText w:val=""/>
      <w:lvlJc w:val="left"/>
      <w:pPr>
        <w:ind w:left="2880" w:hanging="360"/>
      </w:pPr>
      <w:rPr>
        <w:rFonts w:ascii="Wingdings" w:hAnsi="Wingdings" w:hint="default"/>
      </w:rPr>
    </w:lvl>
    <w:lvl w:ilvl="3" w:tplc="100C0001" w:tentative="1">
      <w:start w:val="1"/>
      <w:numFmt w:val="bullet"/>
      <w:lvlText w:val=""/>
      <w:lvlJc w:val="left"/>
      <w:pPr>
        <w:ind w:left="3600" w:hanging="360"/>
      </w:pPr>
      <w:rPr>
        <w:rFonts w:ascii="Symbol" w:hAnsi="Symbol" w:hint="default"/>
      </w:rPr>
    </w:lvl>
    <w:lvl w:ilvl="4" w:tplc="100C0003" w:tentative="1">
      <w:start w:val="1"/>
      <w:numFmt w:val="bullet"/>
      <w:lvlText w:val="o"/>
      <w:lvlJc w:val="left"/>
      <w:pPr>
        <w:ind w:left="4320" w:hanging="360"/>
      </w:pPr>
      <w:rPr>
        <w:rFonts w:ascii="Courier New" w:hAnsi="Courier New" w:cs="Courier New" w:hint="default"/>
      </w:rPr>
    </w:lvl>
    <w:lvl w:ilvl="5" w:tplc="100C0005" w:tentative="1">
      <w:start w:val="1"/>
      <w:numFmt w:val="bullet"/>
      <w:lvlText w:val=""/>
      <w:lvlJc w:val="left"/>
      <w:pPr>
        <w:ind w:left="5040" w:hanging="360"/>
      </w:pPr>
      <w:rPr>
        <w:rFonts w:ascii="Wingdings" w:hAnsi="Wingdings" w:hint="default"/>
      </w:rPr>
    </w:lvl>
    <w:lvl w:ilvl="6" w:tplc="100C0001" w:tentative="1">
      <w:start w:val="1"/>
      <w:numFmt w:val="bullet"/>
      <w:lvlText w:val=""/>
      <w:lvlJc w:val="left"/>
      <w:pPr>
        <w:ind w:left="5760" w:hanging="360"/>
      </w:pPr>
      <w:rPr>
        <w:rFonts w:ascii="Symbol" w:hAnsi="Symbol" w:hint="default"/>
      </w:rPr>
    </w:lvl>
    <w:lvl w:ilvl="7" w:tplc="100C0003" w:tentative="1">
      <w:start w:val="1"/>
      <w:numFmt w:val="bullet"/>
      <w:lvlText w:val="o"/>
      <w:lvlJc w:val="left"/>
      <w:pPr>
        <w:ind w:left="6480" w:hanging="360"/>
      </w:pPr>
      <w:rPr>
        <w:rFonts w:ascii="Courier New" w:hAnsi="Courier New" w:cs="Courier New" w:hint="default"/>
      </w:rPr>
    </w:lvl>
    <w:lvl w:ilvl="8" w:tplc="100C0005" w:tentative="1">
      <w:start w:val="1"/>
      <w:numFmt w:val="bullet"/>
      <w:lvlText w:val=""/>
      <w:lvlJc w:val="left"/>
      <w:pPr>
        <w:ind w:left="7200" w:hanging="360"/>
      </w:pPr>
      <w:rPr>
        <w:rFonts w:ascii="Wingdings" w:hAnsi="Wingdings" w:hint="default"/>
      </w:rPr>
    </w:lvl>
  </w:abstractNum>
  <w:abstractNum w:abstractNumId="12">
    <w:nsid w:val="73C64795"/>
    <w:multiLevelType w:val="hybridMultilevel"/>
    <w:tmpl w:val="80D4BF60"/>
    <w:lvl w:ilvl="0" w:tplc="26B2D05A">
      <w:start w:val="1"/>
      <w:numFmt w:val="bullet"/>
      <w:lvlText w:val="→"/>
      <w:lvlJc w:val="left"/>
      <w:pPr>
        <w:ind w:left="720" w:hanging="360"/>
      </w:pPr>
      <w:rPr>
        <w:rFonts w:ascii="Times New Roman" w:hAnsi="Times New Roman" w:cs="Times New Roman" w:hint="default"/>
      </w:rPr>
    </w:lvl>
    <w:lvl w:ilvl="1" w:tplc="26B2D05A">
      <w:start w:val="1"/>
      <w:numFmt w:val="bullet"/>
      <w:lvlText w:val="→"/>
      <w:lvlJc w:val="left"/>
      <w:pPr>
        <w:ind w:left="1440" w:hanging="360"/>
      </w:pPr>
      <w:rPr>
        <w:rFonts w:ascii="Times New Roman" w:hAnsi="Times New Roman" w:cs="Times New Roman"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9"/>
  </w:num>
  <w:num w:numId="2">
    <w:abstractNumId w:val="11"/>
  </w:num>
  <w:num w:numId="3">
    <w:abstractNumId w:val="1"/>
  </w:num>
  <w:num w:numId="4">
    <w:abstractNumId w:val="10"/>
  </w:num>
  <w:num w:numId="5">
    <w:abstractNumId w:val="12"/>
  </w:num>
  <w:num w:numId="6">
    <w:abstractNumId w:val="2"/>
  </w:num>
  <w:num w:numId="7">
    <w:abstractNumId w:val="6"/>
  </w:num>
  <w:num w:numId="8">
    <w:abstractNumId w:val="0"/>
  </w:num>
  <w:num w:numId="9">
    <w:abstractNumId w:val="3"/>
  </w:num>
  <w:num w:numId="10">
    <w:abstractNumId w:val="8"/>
  </w:num>
  <w:num w:numId="11">
    <w:abstractNumId w:val="7"/>
  </w:num>
  <w:num w:numId="12">
    <w:abstractNumId w:val="4"/>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77712B"/>
    <w:rsid w:val="00113D60"/>
    <w:rsid w:val="00562223"/>
    <w:rsid w:val="00655B77"/>
    <w:rsid w:val="006927B1"/>
    <w:rsid w:val="0077712B"/>
    <w:rsid w:val="00780F53"/>
    <w:rsid w:val="007D320F"/>
    <w:rsid w:val="00823CE6"/>
    <w:rsid w:val="0085451E"/>
    <w:rsid w:val="00926545"/>
    <w:rsid w:val="009962D4"/>
    <w:rsid w:val="00BE78C5"/>
    <w:rsid w:val="00C868A1"/>
    <w:rsid w:val="00CF1FB8"/>
    <w:rsid w:val="00D72597"/>
    <w:rsid w:val="00E10D4B"/>
    <w:rsid w:val="00ED2002"/>
    <w:rsid w:val="00FE3FFB"/>
  </w:rsids>
  <m:mathPr>
    <m:mathFont m:val="Cambria Math"/>
    <m:brkBin m:val="before"/>
    <m:brkBinSub m:val="--"/>
    <m:smallFrac m:val="off"/>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8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7712B"/>
    <w:pPr>
      <w:tabs>
        <w:tab w:val="center" w:pos="4536"/>
        <w:tab w:val="right" w:pos="9072"/>
      </w:tabs>
      <w:spacing w:after="0" w:line="240" w:lineRule="auto"/>
    </w:pPr>
  </w:style>
  <w:style w:type="character" w:customStyle="1" w:styleId="HeaderChar">
    <w:name w:val="Header Char"/>
    <w:basedOn w:val="DefaultParagraphFont"/>
    <w:link w:val="Header"/>
    <w:uiPriority w:val="99"/>
    <w:semiHidden/>
    <w:rsid w:val="0077712B"/>
  </w:style>
  <w:style w:type="paragraph" w:styleId="Footer">
    <w:name w:val="footer"/>
    <w:basedOn w:val="Normal"/>
    <w:link w:val="FooterChar"/>
    <w:uiPriority w:val="99"/>
    <w:unhideWhenUsed/>
    <w:rsid w:val="0077712B"/>
    <w:pPr>
      <w:tabs>
        <w:tab w:val="center" w:pos="4536"/>
        <w:tab w:val="right" w:pos="9072"/>
      </w:tabs>
      <w:spacing w:after="0" w:line="240" w:lineRule="auto"/>
    </w:pPr>
  </w:style>
  <w:style w:type="character" w:customStyle="1" w:styleId="FooterChar">
    <w:name w:val="Footer Char"/>
    <w:basedOn w:val="DefaultParagraphFont"/>
    <w:link w:val="Footer"/>
    <w:uiPriority w:val="99"/>
    <w:rsid w:val="0077712B"/>
  </w:style>
  <w:style w:type="paragraph" w:styleId="ListParagraph">
    <w:name w:val="List Paragraph"/>
    <w:basedOn w:val="Normal"/>
    <w:uiPriority w:val="34"/>
    <w:qFormat/>
    <w:rsid w:val="00BE78C5"/>
    <w:pPr>
      <w:ind w:left="720"/>
      <w:contextualSpacing/>
    </w:pPr>
  </w:style>
  <w:style w:type="paragraph" w:styleId="BalloonText">
    <w:name w:val="Balloon Text"/>
    <w:basedOn w:val="Normal"/>
    <w:link w:val="BalloonTextChar"/>
    <w:uiPriority w:val="99"/>
    <w:semiHidden/>
    <w:unhideWhenUsed/>
    <w:rsid w:val="00FE3F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3FF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1134</Words>
  <Characters>6239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dc:creator>
  <cp:keywords/>
  <dc:description/>
  <cp:lastModifiedBy>Ashley</cp:lastModifiedBy>
  <cp:revision>9</cp:revision>
  <dcterms:created xsi:type="dcterms:W3CDTF">2014-04-03T13:55:00Z</dcterms:created>
  <dcterms:modified xsi:type="dcterms:W3CDTF">2014-09-12T11:22:00Z</dcterms:modified>
</cp:coreProperties>
</file>