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40A7" w:rsidRPr="001B70A4" w:rsidRDefault="001B70A4" w:rsidP="001B70A4">
      <w:pPr>
        <w:jc w:val="center"/>
        <w:rPr>
          <w:b/>
        </w:rPr>
      </w:pPr>
      <w:bookmarkStart w:id="0" w:name="_GoBack"/>
      <w:bookmarkEnd w:id="0"/>
      <w:r w:rsidRPr="001B70A4">
        <w:rPr>
          <w:b/>
        </w:rPr>
        <w:t>Les analgésiques, anti-inflammatoires non-stéroïdiens</w:t>
      </w:r>
      <w:r w:rsidR="00C635F5">
        <w:rPr>
          <w:b/>
        </w:rPr>
        <w:t xml:space="preserve"> (AINS)</w:t>
      </w:r>
    </w:p>
    <w:p w:rsidR="001B70A4" w:rsidRPr="001B70A4" w:rsidRDefault="001B70A4">
      <w:pPr>
        <w:rPr>
          <w:sz w:val="20"/>
        </w:rPr>
      </w:pPr>
      <w:r>
        <w:rPr>
          <w:b/>
          <w:sz w:val="20"/>
          <w:u w:val="single"/>
        </w:rPr>
        <w:t>Rappel - c</w:t>
      </w:r>
      <w:r w:rsidRPr="001B70A4">
        <w:rPr>
          <w:b/>
          <w:sz w:val="20"/>
          <w:u w:val="single"/>
        </w:rPr>
        <w:t>lassification des analgésiques</w:t>
      </w:r>
      <w:r w:rsidRPr="001B70A4">
        <w:rPr>
          <w:sz w:val="20"/>
        </w:rPr>
        <w:t> :</w:t>
      </w:r>
    </w:p>
    <w:p w:rsidR="001B70A4" w:rsidRPr="001B70A4" w:rsidRDefault="001B70A4" w:rsidP="001B70A4">
      <w:pPr>
        <w:spacing w:after="0"/>
        <w:rPr>
          <w:sz w:val="20"/>
        </w:rPr>
      </w:pPr>
      <w:r w:rsidRPr="001B70A4">
        <w:rPr>
          <w:b/>
          <w:sz w:val="20"/>
        </w:rPr>
        <w:t>Analgésiques</w:t>
      </w:r>
      <w:r w:rsidRPr="001B70A4">
        <w:rPr>
          <w:sz w:val="20"/>
        </w:rPr>
        <w:t> :</w:t>
      </w:r>
    </w:p>
    <w:p w:rsidR="001B70A4" w:rsidRPr="001B70A4" w:rsidRDefault="001B70A4" w:rsidP="001B70A4">
      <w:pPr>
        <w:pStyle w:val="Paragraphedeliste"/>
        <w:numPr>
          <w:ilvl w:val="0"/>
          <w:numId w:val="1"/>
        </w:numPr>
        <w:spacing w:after="0"/>
        <w:rPr>
          <w:sz w:val="20"/>
        </w:rPr>
      </w:pPr>
      <w:r w:rsidRPr="001B70A4">
        <w:rPr>
          <w:sz w:val="20"/>
        </w:rPr>
        <w:t>AINS</w:t>
      </w:r>
    </w:p>
    <w:p w:rsidR="001B70A4" w:rsidRPr="001B70A4" w:rsidRDefault="001B70A4" w:rsidP="001B70A4">
      <w:pPr>
        <w:pStyle w:val="Paragraphedeliste"/>
        <w:numPr>
          <w:ilvl w:val="0"/>
          <w:numId w:val="1"/>
        </w:numPr>
        <w:spacing w:after="0"/>
        <w:rPr>
          <w:sz w:val="20"/>
        </w:rPr>
      </w:pPr>
      <w:r w:rsidRPr="001B70A4">
        <w:rPr>
          <w:sz w:val="20"/>
        </w:rPr>
        <w:t>Analgésiques morphiniques (opioïdes)</w:t>
      </w:r>
    </w:p>
    <w:p w:rsidR="001B70A4" w:rsidRPr="001B70A4" w:rsidRDefault="001B70A4" w:rsidP="001B70A4">
      <w:pPr>
        <w:spacing w:after="0"/>
        <w:rPr>
          <w:sz w:val="20"/>
        </w:rPr>
      </w:pPr>
      <w:r w:rsidRPr="001B70A4">
        <w:rPr>
          <w:b/>
          <w:sz w:val="20"/>
        </w:rPr>
        <w:t>Co-analgésiques</w:t>
      </w:r>
      <w:r w:rsidRPr="001B70A4">
        <w:rPr>
          <w:sz w:val="20"/>
        </w:rPr>
        <w:t> :</w:t>
      </w:r>
      <w:r>
        <w:rPr>
          <w:sz w:val="20"/>
        </w:rPr>
        <w:t xml:space="preserve"> notamment utiles pour douleurs neuropathiques</w:t>
      </w:r>
    </w:p>
    <w:p w:rsidR="001B70A4" w:rsidRPr="001B70A4" w:rsidRDefault="001B70A4" w:rsidP="001B70A4">
      <w:pPr>
        <w:pStyle w:val="Paragraphedeliste"/>
        <w:numPr>
          <w:ilvl w:val="0"/>
          <w:numId w:val="1"/>
        </w:numPr>
        <w:spacing w:after="0"/>
        <w:rPr>
          <w:sz w:val="20"/>
        </w:rPr>
      </w:pPr>
      <w:r w:rsidRPr="001B70A4">
        <w:rPr>
          <w:sz w:val="20"/>
        </w:rPr>
        <w:t>Antidépresseurs</w:t>
      </w:r>
      <w:r>
        <w:rPr>
          <w:sz w:val="20"/>
        </w:rPr>
        <w:t xml:space="preserve"> (système monoamines)</w:t>
      </w:r>
    </w:p>
    <w:p w:rsidR="001B70A4" w:rsidRPr="001B70A4" w:rsidRDefault="001B70A4" w:rsidP="001B70A4">
      <w:pPr>
        <w:pStyle w:val="Paragraphedeliste"/>
        <w:numPr>
          <w:ilvl w:val="0"/>
          <w:numId w:val="1"/>
        </w:numPr>
        <w:rPr>
          <w:sz w:val="20"/>
        </w:rPr>
      </w:pPr>
      <w:r w:rsidRPr="001B70A4">
        <w:rPr>
          <w:sz w:val="20"/>
        </w:rPr>
        <w:t>Anticonvulsants</w:t>
      </w:r>
      <w:r>
        <w:rPr>
          <w:sz w:val="20"/>
        </w:rPr>
        <w:t xml:space="preserve"> (système GABA)</w:t>
      </w:r>
    </w:p>
    <w:p w:rsidR="001B70A4" w:rsidRPr="001B70A4" w:rsidRDefault="001B70A4" w:rsidP="001B70A4">
      <w:pPr>
        <w:pStyle w:val="Paragraphedeliste"/>
        <w:numPr>
          <w:ilvl w:val="0"/>
          <w:numId w:val="1"/>
        </w:numPr>
        <w:rPr>
          <w:sz w:val="20"/>
        </w:rPr>
      </w:pPr>
      <w:r w:rsidRPr="001B70A4">
        <w:rPr>
          <w:sz w:val="20"/>
        </w:rPr>
        <w:t>Antagonistes du récepteur NMDA (N-méthyl D aspartate = récepteur du glutamate)</w:t>
      </w:r>
    </w:p>
    <w:p w:rsidR="001B70A4" w:rsidRDefault="001B70A4" w:rsidP="001B70A4">
      <w:pPr>
        <w:pStyle w:val="Paragraphedeliste"/>
        <w:numPr>
          <w:ilvl w:val="0"/>
          <w:numId w:val="1"/>
        </w:numPr>
        <w:rPr>
          <w:sz w:val="20"/>
        </w:rPr>
      </w:pPr>
      <w:r w:rsidRPr="001B70A4">
        <w:rPr>
          <w:sz w:val="20"/>
        </w:rPr>
        <w:t>Agonistes adrénergiques et sérotoninergiques</w:t>
      </w:r>
    </w:p>
    <w:p w:rsidR="001B70A4" w:rsidRDefault="00C635F5" w:rsidP="001B70A4">
      <w:pPr>
        <w:rPr>
          <w:sz w:val="20"/>
        </w:rPr>
      </w:pPr>
      <w:r>
        <w:rPr>
          <w:b/>
          <w:sz w:val="20"/>
          <w:u w:val="single"/>
        </w:rPr>
        <w:t>Les prostaglandines</w:t>
      </w:r>
      <w:r w:rsidR="001B70A4">
        <w:rPr>
          <w:sz w:val="20"/>
        </w:rPr>
        <w:t> : les AINS sont u</w:t>
      </w:r>
      <w:r w:rsidR="001B70A4" w:rsidRPr="001B70A4">
        <w:rPr>
          <w:sz w:val="20"/>
        </w:rPr>
        <w:t>tilisés dans le traitement de l’inflamm</w:t>
      </w:r>
      <w:r w:rsidR="001B70A4">
        <w:rPr>
          <w:sz w:val="20"/>
        </w:rPr>
        <w:t>ation, douleur, et de la fièvre.</w:t>
      </w:r>
      <w:r w:rsidR="001B70A4" w:rsidRPr="001B70A4">
        <w:rPr>
          <w:sz w:val="20"/>
        </w:rPr>
        <w:t xml:space="preserve"> Caractéristique commune: inhibition de la synthèse des prostanoïdes (prostaglandines)</w:t>
      </w:r>
      <w:r w:rsidR="00AA382F">
        <w:rPr>
          <w:sz w:val="20"/>
        </w:rPr>
        <w:t>.</w:t>
      </w:r>
    </w:p>
    <w:p w:rsidR="0080417B" w:rsidRPr="0080417B" w:rsidRDefault="00C635F5" w:rsidP="0080417B">
      <w:pPr>
        <w:spacing w:after="0"/>
        <w:rPr>
          <w:sz w:val="20"/>
        </w:rPr>
      </w:pPr>
      <w:r>
        <w:rPr>
          <w:b/>
          <w:sz w:val="20"/>
        </w:rPr>
        <w:t>Définition </w:t>
      </w:r>
      <w:r w:rsidRPr="00C635F5">
        <w:rPr>
          <w:sz w:val="20"/>
        </w:rPr>
        <w:t>:</w:t>
      </w:r>
      <w:r>
        <w:rPr>
          <w:b/>
          <w:sz w:val="20"/>
        </w:rPr>
        <w:t xml:space="preserve"> </w:t>
      </w:r>
      <w:r>
        <w:rPr>
          <w:sz w:val="20"/>
        </w:rPr>
        <w:t>l</w:t>
      </w:r>
      <w:r w:rsidR="0080417B" w:rsidRPr="00C635F5">
        <w:rPr>
          <w:sz w:val="20"/>
        </w:rPr>
        <w:t>es prostaglandines</w:t>
      </w:r>
      <w:r w:rsidR="0080417B" w:rsidRPr="0080417B">
        <w:rPr>
          <w:sz w:val="20"/>
        </w:rPr>
        <w:t> </w:t>
      </w:r>
      <w:r>
        <w:rPr>
          <w:sz w:val="20"/>
        </w:rPr>
        <w:t>sont</w:t>
      </w:r>
      <w:r w:rsidR="0080417B">
        <w:rPr>
          <w:sz w:val="20"/>
        </w:rPr>
        <w:t xml:space="preserve"> isomérases avec récepteurs spécifiques aux tissus (i.e. les différentes prostaglandines n’agissent pas tous au même endroit et n’ont pas forcément les mêmes effets !). PGD</w:t>
      </w:r>
      <w:r w:rsidR="0080417B" w:rsidRPr="0080417B">
        <w:rPr>
          <w:sz w:val="20"/>
          <w:vertAlign w:val="subscript"/>
        </w:rPr>
        <w:t>2</w:t>
      </w:r>
      <w:r w:rsidR="0080417B">
        <w:rPr>
          <w:sz w:val="20"/>
        </w:rPr>
        <w:t>, PGE</w:t>
      </w:r>
      <w:r w:rsidR="0080417B" w:rsidRPr="0080417B">
        <w:rPr>
          <w:sz w:val="20"/>
          <w:vertAlign w:val="subscript"/>
        </w:rPr>
        <w:t>2</w:t>
      </w:r>
      <w:r w:rsidR="0080417B">
        <w:rPr>
          <w:sz w:val="20"/>
        </w:rPr>
        <w:t>,</w:t>
      </w:r>
      <w:r w:rsidR="0080417B" w:rsidRPr="0080417B">
        <w:rPr>
          <w:sz w:val="20"/>
        </w:rPr>
        <w:t xml:space="preserve"> </w:t>
      </w:r>
      <w:r w:rsidR="0080417B">
        <w:rPr>
          <w:sz w:val="20"/>
        </w:rPr>
        <w:t>PGF</w:t>
      </w:r>
      <w:r w:rsidR="0080417B" w:rsidRPr="0080417B">
        <w:rPr>
          <w:sz w:val="20"/>
          <w:vertAlign w:val="subscript"/>
        </w:rPr>
        <w:t>2</w:t>
      </w:r>
      <w:r w:rsidR="0080417B">
        <w:rPr>
          <w:sz w:val="20"/>
          <w:vertAlign w:val="subscript"/>
        </w:rPr>
        <w:t>α</w:t>
      </w:r>
      <w:r w:rsidR="0080417B">
        <w:rPr>
          <w:sz w:val="20"/>
        </w:rPr>
        <w:t>, PGI</w:t>
      </w:r>
      <w:r w:rsidR="0080417B" w:rsidRPr="0080417B">
        <w:rPr>
          <w:sz w:val="20"/>
          <w:vertAlign w:val="subscript"/>
        </w:rPr>
        <w:t>2</w:t>
      </w:r>
      <w:r w:rsidR="0080417B">
        <w:rPr>
          <w:sz w:val="20"/>
        </w:rPr>
        <w:t xml:space="preserve"> (prostacycline) et TXA</w:t>
      </w:r>
      <w:r w:rsidR="0080417B" w:rsidRPr="0080417B">
        <w:rPr>
          <w:sz w:val="20"/>
          <w:vertAlign w:val="subscript"/>
        </w:rPr>
        <w:t>2</w:t>
      </w:r>
      <w:r w:rsidR="0080417B">
        <w:rPr>
          <w:sz w:val="20"/>
        </w:rPr>
        <w:t xml:space="preserve"> (thromboxane).</w:t>
      </w:r>
    </w:p>
    <w:p w:rsidR="0080417B" w:rsidRDefault="0080417B" w:rsidP="0080417B">
      <w:pPr>
        <w:spacing w:after="0"/>
        <w:rPr>
          <w:b/>
          <w:sz w:val="20"/>
        </w:rPr>
      </w:pPr>
    </w:p>
    <w:p w:rsidR="0080417B" w:rsidRDefault="001B70A4" w:rsidP="0080417B">
      <w:pPr>
        <w:spacing w:after="0"/>
        <w:rPr>
          <w:sz w:val="20"/>
        </w:rPr>
      </w:pPr>
      <w:r w:rsidRPr="001B70A4">
        <w:rPr>
          <w:b/>
          <w:sz w:val="20"/>
        </w:rPr>
        <w:t>Biosynthèse des prostaglandines</w:t>
      </w:r>
      <w:r>
        <w:rPr>
          <w:sz w:val="20"/>
        </w:rPr>
        <w:t> :</w:t>
      </w:r>
      <w:r w:rsidR="00565152">
        <w:rPr>
          <w:sz w:val="20"/>
        </w:rPr>
        <w:t xml:space="preserve"> </w:t>
      </w:r>
      <w:r w:rsidR="00AA382F">
        <w:rPr>
          <w:sz w:val="20"/>
        </w:rPr>
        <w:t xml:space="preserve">stimulus physique/chimique/mitogène/inflammatoire induit </w:t>
      </w:r>
      <w:r w:rsidR="00565152">
        <w:rPr>
          <w:sz w:val="20"/>
        </w:rPr>
        <w:t>l</w:t>
      </w:r>
      <w:r w:rsidR="00565152" w:rsidRPr="00565152">
        <w:rPr>
          <w:sz w:val="20"/>
        </w:rPr>
        <w:t>ibération d’acide arachidonique (AA) par hydrolyse des phopholipides de la membrane, sous contrôle de la phospholipase A2</w:t>
      </w:r>
      <w:r w:rsidR="0080417B">
        <w:rPr>
          <w:sz w:val="20"/>
        </w:rPr>
        <w:t>. L</w:t>
      </w:r>
      <w:r w:rsidR="0080417B" w:rsidRPr="0080417B">
        <w:rPr>
          <w:sz w:val="20"/>
        </w:rPr>
        <w:t xml:space="preserve">’AA </w:t>
      </w:r>
      <w:r w:rsidR="0080417B">
        <w:rPr>
          <w:sz w:val="20"/>
        </w:rPr>
        <w:t>est alors rapidement métabolisé par</w:t>
      </w:r>
    </w:p>
    <w:p w:rsidR="0080417B" w:rsidRPr="0080417B" w:rsidRDefault="0080417B" w:rsidP="0080417B">
      <w:pPr>
        <w:pStyle w:val="Paragraphedeliste"/>
        <w:numPr>
          <w:ilvl w:val="0"/>
          <w:numId w:val="1"/>
        </w:numPr>
        <w:spacing w:after="0"/>
        <w:rPr>
          <w:sz w:val="20"/>
        </w:rPr>
      </w:pPr>
      <w:r>
        <w:rPr>
          <w:sz w:val="20"/>
        </w:rPr>
        <w:t>Les cyclooxygénases (COX</w:t>
      </w:r>
      <w:r w:rsidR="00AA382F">
        <w:rPr>
          <w:sz w:val="20"/>
        </w:rPr>
        <w:t xml:space="preserve"> = cible des AINS</w:t>
      </w:r>
      <w:r>
        <w:rPr>
          <w:sz w:val="20"/>
        </w:rPr>
        <w:t xml:space="preserve">) : transforment l’AA en prostaglandines. </w:t>
      </w:r>
      <w:r w:rsidRPr="0080417B">
        <w:rPr>
          <w:sz w:val="20"/>
        </w:rPr>
        <w:t>2 isoformes</w:t>
      </w:r>
    </w:p>
    <w:p w:rsidR="00AA382F" w:rsidRDefault="0080417B" w:rsidP="00AA382F">
      <w:pPr>
        <w:pStyle w:val="Paragraphedeliste"/>
        <w:numPr>
          <w:ilvl w:val="0"/>
          <w:numId w:val="2"/>
        </w:numPr>
        <w:spacing w:after="0"/>
        <w:rPr>
          <w:sz w:val="20"/>
        </w:rPr>
      </w:pPr>
      <w:r w:rsidRPr="0080417B">
        <w:rPr>
          <w:sz w:val="20"/>
        </w:rPr>
        <w:t>COX1 : constitutive, ubiquitaire</w:t>
      </w:r>
    </w:p>
    <w:p w:rsidR="00AA382F" w:rsidRPr="00AA382F" w:rsidRDefault="0080417B" w:rsidP="00AA382F">
      <w:pPr>
        <w:pStyle w:val="Paragraphedeliste"/>
        <w:numPr>
          <w:ilvl w:val="0"/>
          <w:numId w:val="2"/>
        </w:numPr>
        <w:spacing w:after="0"/>
        <w:rPr>
          <w:sz w:val="20"/>
        </w:rPr>
      </w:pPr>
      <w:r w:rsidRPr="00AA382F">
        <w:rPr>
          <w:sz w:val="20"/>
        </w:rPr>
        <w:t xml:space="preserve">COX2 : tissu-spécifique, inductible par inflammation et CA (par cytokines, GF etc..) </w:t>
      </w:r>
    </w:p>
    <w:p w:rsidR="0080417B" w:rsidRPr="00AA382F" w:rsidRDefault="0080417B" w:rsidP="0080417B">
      <w:pPr>
        <w:pStyle w:val="Paragraphedeliste"/>
        <w:numPr>
          <w:ilvl w:val="0"/>
          <w:numId w:val="1"/>
        </w:numPr>
        <w:spacing w:after="0"/>
        <w:rPr>
          <w:sz w:val="20"/>
        </w:rPr>
      </w:pPr>
      <w:r w:rsidRPr="00AA382F">
        <w:rPr>
          <w:sz w:val="20"/>
        </w:rPr>
        <w:t>Les lipoxygénases (LOX) : transforment l’AA en leucotriènes</w:t>
      </w:r>
      <w:r w:rsidR="00A0452C">
        <w:rPr>
          <w:sz w:val="20"/>
        </w:rPr>
        <w:t xml:space="preserve"> (LT). Quand libérés par les neutrophiles, ces leucotriènes peuvent être transformés en lipoxines (LX) par les plaquettes.</w:t>
      </w:r>
    </w:p>
    <w:p w:rsidR="001B70A4" w:rsidRDefault="0080417B" w:rsidP="0080417B">
      <w:pPr>
        <w:pStyle w:val="Paragraphedeliste"/>
        <w:numPr>
          <w:ilvl w:val="0"/>
          <w:numId w:val="1"/>
        </w:numPr>
        <w:rPr>
          <w:sz w:val="20"/>
        </w:rPr>
      </w:pPr>
      <w:r>
        <w:rPr>
          <w:sz w:val="20"/>
        </w:rPr>
        <w:t>L</w:t>
      </w:r>
      <w:r w:rsidRPr="0080417B">
        <w:rPr>
          <w:sz w:val="20"/>
        </w:rPr>
        <w:t>es CYP</w:t>
      </w:r>
      <w:r>
        <w:rPr>
          <w:sz w:val="20"/>
        </w:rPr>
        <w:t> : transforment l’AA en acides eicosatriènes qui peuvent aussi donner TXA</w:t>
      </w:r>
    </w:p>
    <w:p w:rsidR="00AA382F" w:rsidRPr="00AA382F" w:rsidRDefault="00073AB1" w:rsidP="00AA382F">
      <w:pPr>
        <w:rPr>
          <w:sz w:val="20"/>
        </w:rPr>
      </w:pPr>
      <w:r w:rsidRPr="00073AB1">
        <w:rPr>
          <w:sz w:val="20"/>
        </w:rPr>
        <w:t>L</w:t>
      </w:r>
      <w:r w:rsidR="00AA382F">
        <w:rPr>
          <w:sz w:val="20"/>
        </w:rPr>
        <w:t xml:space="preserve">es AINS réduisent l’inflammation </w:t>
      </w:r>
      <w:r w:rsidR="00AA382F" w:rsidRPr="00AA382F">
        <w:rPr>
          <w:sz w:val="20"/>
        </w:rPr>
        <w:t xml:space="preserve">par inhibition des COX. Les glucocroticoïdes (AIS) </w:t>
      </w:r>
      <w:r w:rsidR="00AA382F">
        <w:rPr>
          <w:sz w:val="20"/>
        </w:rPr>
        <w:t>en revanche réduisent</w:t>
      </w:r>
      <w:r w:rsidR="00AA382F" w:rsidRPr="00AA382F">
        <w:rPr>
          <w:sz w:val="20"/>
        </w:rPr>
        <w:t xml:space="preserve"> l’inflammation par inhibition de la PLA2 et diminution de l’expression des COX.</w:t>
      </w:r>
    </w:p>
    <w:p w:rsidR="00C23BA9" w:rsidRPr="00C23BA9" w:rsidRDefault="00C23BA9" w:rsidP="00A0452C">
      <w:pPr>
        <w:spacing w:after="0"/>
        <w:rPr>
          <w:sz w:val="20"/>
        </w:rPr>
      </w:pPr>
      <w:r>
        <w:rPr>
          <w:b/>
          <w:sz w:val="20"/>
        </w:rPr>
        <w:t>Récepteurs des prostanoïdes</w:t>
      </w:r>
      <w:r w:rsidRPr="00C23BA9">
        <w:rPr>
          <w:sz w:val="20"/>
        </w:rPr>
        <w:t> :</w:t>
      </w:r>
      <w:r>
        <w:rPr>
          <w:sz w:val="20"/>
        </w:rPr>
        <w:t xml:space="preserve"> GPCR avec voies de signalisation différentes selon le récepteur. Certaines activent AC, d’autres l’inhibent.</w:t>
      </w:r>
    </w:p>
    <w:p w:rsidR="00C23BA9" w:rsidRDefault="00C23BA9" w:rsidP="00A0452C">
      <w:pPr>
        <w:spacing w:after="0"/>
        <w:rPr>
          <w:b/>
          <w:sz w:val="20"/>
        </w:rPr>
      </w:pPr>
    </w:p>
    <w:p w:rsidR="00AA382F" w:rsidRDefault="00073AB1" w:rsidP="00A0452C">
      <w:pPr>
        <w:spacing w:after="0"/>
        <w:rPr>
          <w:sz w:val="20"/>
        </w:rPr>
      </w:pPr>
      <w:r w:rsidRPr="00073AB1">
        <w:rPr>
          <w:b/>
          <w:sz w:val="20"/>
        </w:rPr>
        <w:t>Effets pharmacologiques des prostanoïdes</w:t>
      </w:r>
      <w:r>
        <w:rPr>
          <w:sz w:val="20"/>
        </w:rPr>
        <w:t> :</w:t>
      </w:r>
    </w:p>
    <w:p w:rsidR="00073AB1" w:rsidRDefault="00073AB1" w:rsidP="00A0452C">
      <w:pPr>
        <w:pStyle w:val="Paragraphedeliste"/>
        <w:numPr>
          <w:ilvl w:val="0"/>
          <w:numId w:val="1"/>
        </w:numPr>
        <w:spacing w:after="0"/>
        <w:rPr>
          <w:sz w:val="20"/>
        </w:rPr>
      </w:pPr>
      <w:r>
        <w:rPr>
          <w:sz w:val="20"/>
        </w:rPr>
        <w:t>Cardiovasculaires :</w:t>
      </w:r>
    </w:p>
    <w:p w:rsidR="00A0452C" w:rsidRDefault="00A0452C" w:rsidP="00A0452C">
      <w:pPr>
        <w:pStyle w:val="Paragraphedeliste"/>
        <w:numPr>
          <w:ilvl w:val="0"/>
          <w:numId w:val="3"/>
        </w:numPr>
        <w:rPr>
          <w:sz w:val="20"/>
        </w:rPr>
      </w:pPr>
      <w:r>
        <w:rPr>
          <w:sz w:val="20"/>
        </w:rPr>
        <w:t>Vasodilatation : PGD</w:t>
      </w:r>
      <w:r w:rsidRPr="00A0452C">
        <w:rPr>
          <w:sz w:val="20"/>
          <w:vertAlign w:val="subscript"/>
        </w:rPr>
        <w:t>2</w:t>
      </w:r>
      <w:r>
        <w:rPr>
          <w:sz w:val="20"/>
        </w:rPr>
        <w:t>, PGE</w:t>
      </w:r>
      <w:r w:rsidRPr="00A0452C">
        <w:rPr>
          <w:sz w:val="20"/>
          <w:vertAlign w:val="subscript"/>
        </w:rPr>
        <w:t>2</w:t>
      </w:r>
      <w:r>
        <w:rPr>
          <w:sz w:val="20"/>
        </w:rPr>
        <w:t>, PGI</w:t>
      </w:r>
      <w:r w:rsidRPr="00A0452C">
        <w:rPr>
          <w:sz w:val="20"/>
          <w:vertAlign w:val="subscript"/>
        </w:rPr>
        <w:t>2</w:t>
      </w:r>
      <w:r>
        <w:rPr>
          <w:sz w:val="20"/>
        </w:rPr>
        <w:t>, NO</w:t>
      </w:r>
    </w:p>
    <w:p w:rsidR="00A0452C" w:rsidRDefault="00A0452C" w:rsidP="00A0452C">
      <w:pPr>
        <w:pStyle w:val="Paragraphedeliste"/>
        <w:numPr>
          <w:ilvl w:val="0"/>
          <w:numId w:val="3"/>
        </w:numPr>
        <w:rPr>
          <w:sz w:val="20"/>
        </w:rPr>
      </w:pPr>
      <w:r>
        <w:rPr>
          <w:sz w:val="20"/>
        </w:rPr>
        <w:t>Vasoconstriction :  TXA</w:t>
      </w:r>
      <w:r w:rsidRPr="00A0452C">
        <w:rPr>
          <w:sz w:val="20"/>
          <w:vertAlign w:val="subscript"/>
        </w:rPr>
        <w:t>2</w:t>
      </w:r>
    </w:p>
    <w:p w:rsidR="00073AB1" w:rsidRDefault="00073AB1" w:rsidP="00073AB1">
      <w:pPr>
        <w:pStyle w:val="Paragraphedeliste"/>
        <w:numPr>
          <w:ilvl w:val="0"/>
          <w:numId w:val="1"/>
        </w:numPr>
        <w:rPr>
          <w:sz w:val="20"/>
        </w:rPr>
      </w:pPr>
      <w:r>
        <w:rPr>
          <w:sz w:val="20"/>
        </w:rPr>
        <w:t>Plaquettes :</w:t>
      </w:r>
    </w:p>
    <w:p w:rsidR="00A0452C" w:rsidRDefault="00A0452C" w:rsidP="00A0452C">
      <w:pPr>
        <w:pStyle w:val="Paragraphedeliste"/>
        <w:numPr>
          <w:ilvl w:val="0"/>
          <w:numId w:val="4"/>
        </w:numPr>
        <w:rPr>
          <w:sz w:val="20"/>
        </w:rPr>
      </w:pPr>
      <w:r>
        <w:rPr>
          <w:sz w:val="20"/>
        </w:rPr>
        <w:t>Agrégation :</w:t>
      </w:r>
      <w:r w:rsidRPr="00A0452C">
        <w:rPr>
          <w:sz w:val="20"/>
        </w:rPr>
        <w:t xml:space="preserve"> </w:t>
      </w:r>
      <w:r>
        <w:rPr>
          <w:sz w:val="20"/>
        </w:rPr>
        <w:t>TXA</w:t>
      </w:r>
      <w:r w:rsidRPr="00A0452C">
        <w:rPr>
          <w:sz w:val="20"/>
          <w:vertAlign w:val="subscript"/>
        </w:rPr>
        <w:t>2</w:t>
      </w:r>
    </w:p>
    <w:p w:rsidR="00A0452C" w:rsidRDefault="00A0452C" w:rsidP="00A0452C">
      <w:pPr>
        <w:pStyle w:val="Paragraphedeliste"/>
        <w:numPr>
          <w:ilvl w:val="0"/>
          <w:numId w:val="4"/>
        </w:numPr>
        <w:rPr>
          <w:sz w:val="20"/>
        </w:rPr>
      </w:pPr>
      <w:r>
        <w:rPr>
          <w:sz w:val="20"/>
        </w:rPr>
        <w:t>Inhibition : PGI</w:t>
      </w:r>
      <w:r w:rsidRPr="00A0452C">
        <w:rPr>
          <w:sz w:val="20"/>
          <w:vertAlign w:val="subscript"/>
        </w:rPr>
        <w:t>2</w:t>
      </w:r>
      <w:r>
        <w:rPr>
          <w:sz w:val="20"/>
        </w:rPr>
        <w:t xml:space="preserve"> et NO</w:t>
      </w:r>
    </w:p>
    <w:p w:rsidR="00073AB1" w:rsidRDefault="00A0452C" w:rsidP="00073AB1">
      <w:pPr>
        <w:pStyle w:val="Paragraphedeliste"/>
        <w:numPr>
          <w:ilvl w:val="0"/>
          <w:numId w:val="1"/>
        </w:numPr>
        <w:rPr>
          <w:sz w:val="20"/>
        </w:rPr>
      </w:pPr>
      <w:r>
        <w:rPr>
          <w:sz w:val="20"/>
        </w:rPr>
        <w:t>Inflammation :</w:t>
      </w:r>
    </w:p>
    <w:p w:rsidR="00A0452C" w:rsidRDefault="00A0452C" w:rsidP="00A0452C">
      <w:pPr>
        <w:pStyle w:val="Paragraphedeliste"/>
        <w:numPr>
          <w:ilvl w:val="0"/>
          <w:numId w:val="5"/>
        </w:numPr>
        <w:rPr>
          <w:sz w:val="20"/>
        </w:rPr>
      </w:pPr>
      <w:r w:rsidRPr="00A0452C">
        <w:rPr>
          <w:sz w:val="20"/>
        </w:rPr>
        <w:t>LTs = pro-inflammatoires, LXs = anti-inflammatoires</w:t>
      </w:r>
    </w:p>
    <w:p w:rsidR="00A0452C" w:rsidRPr="00A0452C" w:rsidRDefault="00A0452C" w:rsidP="00A0452C">
      <w:pPr>
        <w:pStyle w:val="Paragraphedeliste"/>
        <w:numPr>
          <w:ilvl w:val="0"/>
          <w:numId w:val="5"/>
        </w:numPr>
        <w:rPr>
          <w:sz w:val="20"/>
        </w:rPr>
      </w:pPr>
      <w:r>
        <w:rPr>
          <w:sz w:val="20"/>
        </w:rPr>
        <w:t>PGD</w:t>
      </w:r>
      <w:r w:rsidRPr="00A0452C">
        <w:rPr>
          <w:sz w:val="20"/>
          <w:vertAlign w:val="subscript"/>
        </w:rPr>
        <w:t>2</w:t>
      </w:r>
      <w:r>
        <w:rPr>
          <w:sz w:val="20"/>
        </w:rPr>
        <w:t>, PGE</w:t>
      </w:r>
      <w:r w:rsidRPr="00A0452C">
        <w:rPr>
          <w:sz w:val="20"/>
          <w:vertAlign w:val="subscript"/>
        </w:rPr>
        <w:t>2</w:t>
      </w:r>
      <w:r>
        <w:rPr>
          <w:sz w:val="20"/>
        </w:rPr>
        <w:t>, PGI</w:t>
      </w:r>
      <w:r w:rsidRPr="00A0452C">
        <w:rPr>
          <w:sz w:val="20"/>
          <w:vertAlign w:val="subscript"/>
        </w:rPr>
        <w:t>2</w:t>
      </w:r>
      <w:r>
        <w:rPr>
          <w:sz w:val="20"/>
        </w:rPr>
        <w:t xml:space="preserve"> sont des médiateurs de l’inflammation et augmentent la biosynthèse lors d’inflammation.</w:t>
      </w:r>
    </w:p>
    <w:p w:rsidR="00C23BA9" w:rsidRDefault="00C23BA9">
      <w:pPr>
        <w:rPr>
          <w:sz w:val="20"/>
        </w:rPr>
      </w:pPr>
      <w:r>
        <w:rPr>
          <w:sz w:val="20"/>
        </w:rPr>
        <w:br w:type="page"/>
      </w:r>
    </w:p>
    <w:p w:rsidR="00A0452C" w:rsidRDefault="00A0452C" w:rsidP="00073AB1">
      <w:pPr>
        <w:pStyle w:val="Paragraphedeliste"/>
        <w:numPr>
          <w:ilvl w:val="0"/>
          <w:numId w:val="1"/>
        </w:numPr>
        <w:rPr>
          <w:sz w:val="20"/>
        </w:rPr>
      </w:pPr>
      <w:r>
        <w:rPr>
          <w:sz w:val="20"/>
        </w:rPr>
        <w:lastRenderedPageBreak/>
        <w:t>Musculature li</w:t>
      </w:r>
      <w:r w:rsidR="00C062FF">
        <w:rPr>
          <w:sz w:val="20"/>
        </w:rPr>
        <w:t>s</w:t>
      </w:r>
      <w:r>
        <w:rPr>
          <w:sz w:val="20"/>
        </w:rPr>
        <w:t>se :</w:t>
      </w:r>
    </w:p>
    <w:p w:rsidR="00A0452C" w:rsidRDefault="00A0452C" w:rsidP="00A0452C">
      <w:pPr>
        <w:pStyle w:val="Paragraphedeliste"/>
        <w:numPr>
          <w:ilvl w:val="0"/>
          <w:numId w:val="6"/>
        </w:numPr>
        <w:rPr>
          <w:sz w:val="20"/>
        </w:rPr>
      </w:pPr>
      <w:r>
        <w:rPr>
          <w:sz w:val="20"/>
        </w:rPr>
        <w:t>Bronches et utérus :</w:t>
      </w:r>
    </w:p>
    <w:p w:rsidR="00C062FF" w:rsidRDefault="00C062FF" w:rsidP="00C062FF">
      <w:pPr>
        <w:pStyle w:val="Paragraphedeliste"/>
        <w:numPr>
          <w:ilvl w:val="0"/>
          <w:numId w:val="7"/>
        </w:numPr>
        <w:rPr>
          <w:sz w:val="20"/>
        </w:rPr>
      </w:pPr>
      <w:r>
        <w:rPr>
          <w:sz w:val="20"/>
        </w:rPr>
        <w:t xml:space="preserve">Contraction : </w:t>
      </w:r>
      <w:r w:rsidRPr="00C062FF">
        <w:rPr>
          <w:sz w:val="20"/>
        </w:rPr>
        <w:t>TXA</w:t>
      </w:r>
      <w:r w:rsidRPr="00C062FF">
        <w:rPr>
          <w:sz w:val="20"/>
          <w:vertAlign w:val="subscript"/>
        </w:rPr>
        <w:t>2</w:t>
      </w:r>
      <w:r>
        <w:rPr>
          <w:sz w:val="20"/>
        </w:rPr>
        <w:t xml:space="preserve">, </w:t>
      </w:r>
      <w:r w:rsidRPr="00C062FF">
        <w:rPr>
          <w:sz w:val="20"/>
        </w:rPr>
        <w:t>PGD</w:t>
      </w:r>
      <w:r w:rsidRPr="00C062FF">
        <w:rPr>
          <w:sz w:val="20"/>
          <w:vertAlign w:val="subscript"/>
        </w:rPr>
        <w:t>2</w:t>
      </w:r>
      <w:r>
        <w:rPr>
          <w:sz w:val="20"/>
        </w:rPr>
        <w:t>, PGE</w:t>
      </w:r>
      <w:r w:rsidRPr="00A0452C">
        <w:rPr>
          <w:sz w:val="20"/>
          <w:vertAlign w:val="subscript"/>
        </w:rPr>
        <w:t>2</w:t>
      </w:r>
      <w:r>
        <w:rPr>
          <w:sz w:val="20"/>
        </w:rPr>
        <w:t>, PGF</w:t>
      </w:r>
      <w:r w:rsidRPr="00A0452C">
        <w:rPr>
          <w:sz w:val="20"/>
          <w:vertAlign w:val="subscript"/>
        </w:rPr>
        <w:t>2</w:t>
      </w:r>
      <w:r w:rsidRPr="00C062FF">
        <w:rPr>
          <w:sz w:val="20"/>
        </w:rPr>
        <w:t xml:space="preserve"> </w:t>
      </w:r>
      <w:r>
        <w:rPr>
          <w:sz w:val="20"/>
        </w:rPr>
        <w:t>à basse concentration. Les LT sont aussi de puissants bronchoconstricteurs (AINS contrindiqués chez patients asthmatiques car plus d’AA est converti en LT et peut causer crises/aggraver l’asthme).</w:t>
      </w:r>
    </w:p>
    <w:p w:rsidR="00C062FF" w:rsidRDefault="00C062FF" w:rsidP="00C062FF">
      <w:pPr>
        <w:pStyle w:val="Paragraphedeliste"/>
        <w:numPr>
          <w:ilvl w:val="0"/>
          <w:numId w:val="7"/>
        </w:numPr>
        <w:rPr>
          <w:sz w:val="20"/>
        </w:rPr>
      </w:pPr>
      <w:r>
        <w:rPr>
          <w:sz w:val="20"/>
        </w:rPr>
        <w:t>Relaxation : PGI</w:t>
      </w:r>
      <w:r w:rsidRPr="00A0452C">
        <w:rPr>
          <w:sz w:val="20"/>
          <w:vertAlign w:val="subscript"/>
        </w:rPr>
        <w:t>2</w:t>
      </w:r>
      <w:r>
        <w:rPr>
          <w:sz w:val="20"/>
          <w:vertAlign w:val="subscript"/>
        </w:rPr>
        <w:t xml:space="preserve"> </w:t>
      </w:r>
      <w:r w:rsidRPr="00C062FF">
        <w:rPr>
          <w:sz w:val="20"/>
        </w:rPr>
        <w:t>et</w:t>
      </w:r>
      <w:r>
        <w:rPr>
          <w:sz w:val="20"/>
          <w:vertAlign w:val="subscript"/>
        </w:rPr>
        <w:t xml:space="preserve"> </w:t>
      </w:r>
      <w:r>
        <w:rPr>
          <w:sz w:val="20"/>
        </w:rPr>
        <w:t>PGE</w:t>
      </w:r>
      <w:r w:rsidRPr="00A0452C">
        <w:rPr>
          <w:sz w:val="20"/>
          <w:vertAlign w:val="subscript"/>
        </w:rPr>
        <w:t>2</w:t>
      </w:r>
      <w:r>
        <w:rPr>
          <w:sz w:val="20"/>
          <w:vertAlign w:val="subscript"/>
        </w:rPr>
        <w:t xml:space="preserve"> </w:t>
      </w:r>
      <w:r>
        <w:rPr>
          <w:sz w:val="20"/>
        </w:rPr>
        <w:t>à haute concentration</w:t>
      </w:r>
    </w:p>
    <w:p w:rsidR="00A0452C" w:rsidRPr="00C635F5" w:rsidRDefault="00A0452C" w:rsidP="00C635F5">
      <w:pPr>
        <w:pStyle w:val="Paragraphedeliste"/>
        <w:numPr>
          <w:ilvl w:val="0"/>
          <w:numId w:val="6"/>
        </w:numPr>
        <w:rPr>
          <w:sz w:val="20"/>
        </w:rPr>
      </w:pPr>
      <w:r w:rsidRPr="00C635F5">
        <w:rPr>
          <w:sz w:val="20"/>
        </w:rPr>
        <w:t xml:space="preserve">GI : contraction par </w:t>
      </w:r>
      <w:r w:rsidR="00C062FF" w:rsidRPr="00C635F5">
        <w:rPr>
          <w:sz w:val="20"/>
        </w:rPr>
        <w:t>PGEs et PGFs</w:t>
      </w:r>
    </w:p>
    <w:p w:rsidR="00C23BA9" w:rsidRDefault="00C062FF" w:rsidP="00C23BA9">
      <w:pPr>
        <w:pStyle w:val="Paragraphedeliste"/>
        <w:numPr>
          <w:ilvl w:val="0"/>
          <w:numId w:val="1"/>
        </w:numPr>
        <w:rPr>
          <w:sz w:val="20"/>
        </w:rPr>
      </w:pPr>
      <w:r w:rsidRPr="00C23BA9">
        <w:rPr>
          <w:sz w:val="20"/>
        </w:rPr>
        <w:t>Sécrétions gastriques (COX1/2) : ↑mucus et ↓H</w:t>
      </w:r>
      <w:r w:rsidRPr="00C23BA9">
        <w:rPr>
          <w:sz w:val="20"/>
          <w:vertAlign w:val="superscript"/>
        </w:rPr>
        <w:t>+</w:t>
      </w:r>
      <w:r w:rsidRPr="00C23BA9">
        <w:rPr>
          <w:sz w:val="20"/>
        </w:rPr>
        <w:t xml:space="preserve"> par PGE</w:t>
      </w:r>
      <w:r w:rsidRPr="00C23BA9">
        <w:rPr>
          <w:sz w:val="20"/>
          <w:vertAlign w:val="subscript"/>
        </w:rPr>
        <w:t>2</w:t>
      </w:r>
      <w:r w:rsidRPr="00C23BA9">
        <w:rPr>
          <w:sz w:val="20"/>
        </w:rPr>
        <w:t xml:space="preserve"> et PGI</w:t>
      </w:r>
      <w:r w:rsidRPr="00C23BA9">
        <w:rPr>
          <w:sz w:val="20"/>
          <w:vertAlign w:val="subscript"/>
        </w:rPr>
        <w:t>2</w:t>
      </w:r>
      <w:r w:rsidRPr="00C23BA9">
        <w:rPr>
          <w:sz w:val="20"/>
        </w:rPr>
        <w:t>.</w:t>
      </w:r>
    </w:p>
    <w:p w:rsidR="00C23BA9" w:rsidRDefault="00C062FF" w:rsidP="00C23BA9">
      <w:pPr>
        <w:pStyle w:val="Paragraphedeliste"/>
        <w:numPr>
          <w:ilvl w:val="0"/>
          <w:numId w:val="1"/>
        </w:numPr>
        <w:rPr>
          <w:sz w:val="20"/>
        </w:rPr>
      </w:pPr>
      <w:r w:rsidRPr="00C23BA9">
        <w:rPr>
          <w:sz w:val="20"/>
        </w:rPr>
        <w:t>Rein (COX2): ↑flux et donc GFR, ↓réabsorption Na</w:t>
      </w:r>
      <w:r w:rsidRPr="00C23BA9">
        <w:rPr>
          <w:sz w:val="20"/>
          <w:vertAlign w:val="superscript"/>
        </w:rPr>
        <w:t>+</w:t>
      </w:r>
      <w:r w:rsidRPr="00C23BA9">
        <w:rPr>
          <w:sz w:val="20"/>
        </w:rPr>
        <w:t xml:space="preserve"> par PGE</w:t>
      </w:r>
      <w:r w:rsidRPr="00C23BA9">
        <w:rPr>
          <w:sz w:val="20"/>
          <w:vertAlign w:val="subscript"/>
        </w:rPr>
        <w:t>2</w:t>
      </w:r>
      <w:r w:rsidRPr="00C23BA9">
        <w:rPr>
          <w:sz w:val="20"/>
        </w:rPr>
        <w:t xml:space="preserve"> et PGI</w:t>
      </w:r>
      <w:r w:rsidRPr="00C23BA9">
        <w:rPr>
          <w:sz w:val="20"/>
          <w:vertAlign w:val="subscript"/>
        </w:rPr>
        <w:t>2</w:t>
      </w:r>
      <w:r w:rsidRPr="00C23BA9">
        <w:rPr>
          <w:sz w:val="20"/>
        </w:rPr>
        <w:t>.</w:t>
      </w:r>
    </w:p>
    <w:p w:rsidR="00C23BA9" w:rsidRDefault="00C062FF" w:rsidP="00C23BA9">
      <w:pPr>
        <w:pStyle w:val="Paragraphedeliste"/>
        <w:numPr>
          <w:ilvl w:val="0"/>
          <w:numId w:val="1"/>
        </w:numPr>
        <w:rPr>
          <w:sz w:val="20"/>
        </w:rPr>
      </w:pPr>
      <w:r w:rsidRPr="00C23BA9">
        <w:rPr>
          <w:sz w:val="20"/>
        </w:rPr>
        <w:t>SNC : induction de fièvre (PGD</w:t>
      </w:r>
      <w:r w:rsidRPr="00C23BA9">
        <w:rPr>
          <w:sz w:val="20"/>
          <w:vertAlign w:val="subscript"/>
        </w:rPr>
        <w:t>2</w:t>
      </w:r>
      <w:r w:rsidRPr="00C23BA9">
        <w:rPr>
          <w:sz w:val="20"/>
        </w:rPr>
        <w:t xml:space="preserve"> et PGE</w:t>
      </w:r>
      <w:r w:rsidRPr="00C23BA9">
        <w:rPr>
          <w:sz w:val="20"/>
          <w:vertAlign w:val="subscript"/>
        </w:rPr>
        <w:t>2</w:t>
      </w:r>
      <w:r w:rsidRPr="00C23BA9">
        <w:rPr>
          <w:sz w:val="20"/>
        </w:rPr>
        <w:t>)</w:t>
      </w:r>
      <w:r w:rsidR="00C635F5" w:rsidRPr="00C23BA9">
        <w:rPr>
          <w:sz w:val="20"/>
        </w:rPr>
        <w:t xml:space="preserve"> </w:t>
      </w:r>
      <w:r w:rsidRPr="00C23BA9">
        <w:rPr>
          <w:sz w:val="20"/>
        </w:rPr>
        <w:t>et potentialisation des nocicepteurs (PGs + LTs)</w:t>
      </w:r>
    </w:p>
    <w:p w:rsidR="00C062FF" w:rsidRPr="00C23BA9" w:rsidRDefault="00C062FF" w:rsidP="00C23BA9">
      <w:pPr>
        <w:pStyle w:val="Paragraphedeliste"/>
        <w:numPr>
          <w:ilvl w:val="0"/>
          <w:numId w:val="1"/>
        </w:numPr>
        <w:rPr>
          <w:sz w:val="20"/>
        </w:rPr>
      </w:pPr>
      <w:r w:rsidRPr="00C23BA9">
        <w:rPr>
          <w:sz w:val="20"/>
        </w:rPr>
        <w:t>Système endocrinien :</w:t>
      </w:r>
      <w:r w:rsidR="00C635F5" w:rsidRPr="00C23BA9">
        <w:rPr>
          <w:sz w:val="20"/>
        </w:rPr>
        <w:t xml:space="preserve"> stimulation sécrétion d’ACTH, stéroïdes et insuline (PGE</w:t>
      </w:r>
      <w:r w:rsidR="00C635F5" w:rsidRPr="00C23BA9">
        <w:rPr>
          <w:sz w:val="20"/>
          <w:vertAlign w:val="subscript"/>
        </w:rPr>
        <w:t>2</w:t>
      </w:r>
      <w:r w:rsidR="00C635F5" w:rsidRPr="00C23BA9">
        <w:rPr>
          <w:sz w:val="20"/>
        </w:rPr>
        <w:t>)</w:t>
      </w:r>
    </w:p>
    <w:p w:rsidR="00C635F5" w:rsidRDefault="00C635F5" w:rsidP="00C635F5">
      <w:pPr>
        <w:spacing w:after="0"/>
        <w:rPr>
          <w:sz w:val="20"/>
        </w:rPr>
      </w:pPr>
      <w:r w:rsidRPr="00C635F5">
        <w:rPr>
          <w:b/>
          <w:sz w:val="20"/>
        </w:rPr>
        <w:t>Usages thérapeutiques des PGs</w:t>
      </w:r>
      <w:r>
        <w:rPr>
          <w:sz w:val="20"/>
        </w:rPr>
        <w:t> :</w:t>
      </w:r>
    </w:p>
    <w:p w:rsidR="00C635F5" w:rsidRDefault="00C635F5" w:rsidP="00C635F5">
      <w:pPr>
        <w:pStyle w:val="Paragraphedeliste"/>
        <w:numPr>
          <w:ilvl w:val="0"/>
          <w:numId w:val="1"/>
        </w:numPr>
        <w:spacing w:after="0"/>
        <w:rPr>
          <w:sz w:val="20"/>
        </w:rPr>
      </w:pPr>
      <w:r>
        <w:rPr>
          <w:sz w:val="20"/>
        </w:rPr>
        <w:t>Antagonsites : AINS</w:t>
      </w:r>
    </w:p>
    <w:p w:rsidR="00C635F5" w:rsidRDefault="00C635F5" w:rsidP="00C635F5">
      <w:pPr>
        <w:pStyle w:val="Paragraphedeliste"/>
        <w:numPr>
          <w:ilvl w:val="0"/>
          <w:numId w:val="1"/>
        </w:numPr>
        <w:rPr>
          <w:sz w:val="20"/>
        </w:rPr>
      </w:pPr>
      <w:r>
        <w:rPr>
          <w:sz w:val="20"/>
        </w:rPr>
        <w:t>Analogues :</w:t>
      </w:r>
    </w:p>
    <w:p w:rsidR="00C635F5" w:rsidRPr="00C635F5" w:rsidRDefault="00C635F5" w:rsidP="00C635F5">
      <w:pPr>
        <w:pStyle w:val="Paragraphedeliste"/>
        <w:numPr>
          <w:ilvl w:val="0"/>
          <w:numId w:val="8"/>
        </w:numPr>
        <w:rPr>
          <w:sz w:val="20"/>
        </w:rPr>
      </w:pPr>
      <w:r>
        <w:rPr>
          <w:sz w:val="20"/>
        </w:rPr>
        <w:t>I</w:t>
      </w:r>
      <w:r w:rsidRPr="00C635F5">
        <w:rPr>
          <w:sz w:val="20"/>
        </w:rPr>
        <w:t xml:space="preserve">nterruption de grossesse (PGEs, PGFs) </w:t>
      </w:r>
    </w:p>
    <w:p w:rsidR="00C635F5" w:rsidRPr="00C635F5" w:rsidRDefault="00C635F5" w:rsidP="00C635F5">
      <w:pPr>
        <w:pStyle w:val="Paragraphedeliste"/>
        <w:numPr>
          <w:ilvl w:val="0"/>
          <w:numId w:val="8"/>
        </w:numPr>
        <w:rPr>
          <w:sz w:val="20"/>
        </w:rPr>
      </w:pPr>
      <w:r w:rsidRPr="00C635F5">
        <w:rPr>
          <w:sz w:val="20"/>
        </w:rPr>
        <w:t xml:space="preserve">Protection gastrique: </w:t>
      </w:r>
      <w:r w:rsidRPr="00C635F5">
        <w:rPr>
          <w:sz w:val="20"/>
          <w:highlight w:val="yellow"/>
        </w:rPr>
        <w:t>misoprostol</w:t>
      </w:r>
      <w:r w:rsidRPr="00C635F5">
        <w:rPr>
          <w:sz w:val="20"/>
        </w:rPr>
        <w:t xml:space="preserve"> </w:t>
      </w:r>
      <w:r>
        <w:rPr>
          <w:sz w:val="20"/>
        </w:rPr>
        <w:t>= analogue synthétique de PGE1</w:t>
      </w:r>
    </w:p>
    <w:p w:rsidR="00C635F5" w:rsidRPr="00C635F5" w:rsidRDefault="00C635F5" w:rsidP="00C635F5">
      <w:pPr>
        <w:pStyle w:val="Paragraphedeliste"/>
        <w:numPr>
          <w:ilvl w:val="0"/>
          <w:numId w:val="8"/>
        </w:numPr>
        <w:rPr>
          <w:sz w:val="20"/>
        </w:rPr>
      </w:pPr>
      <w:r w:rsidRPr="00C635F5">
        <w:rPr>
          <w:sz w:val="20"/>
        </w:rPr>
        <w:t xml:space="preserve">Maintien du canal artériel ouvert (malformation cardiaque): vasodilatation par PGE1 </w:t>
      </w:r>
    </w:p>
    <w:p w:rsidR="00C635F5" w:rsidRDefault="00C635F5" w:rsidP="00C635F5">
      <w:pPr>
        <w:pStyle w:val="Paragraphedeliste"/>
        <w:numPr>
          <w:ilvl w:val="0"/>
          <w:numId w:val="8"/>
        </w:numPr>
        <w:rPr>
          <w:sz w:val="20"/>
        </w:rPr>
      </w:pPr>
      <w:r w:rsidRPr="00C635F5">
        <w:rPr>
          <w:sz w:val="20"/>
        </w:rPr>
        <w:t>Hypertension pulmonaire: analogues synthétiques de la PGI</w:t>
      </w:r>
      <w:r w:rsidRPr="00C635F5">
        <w:rPr>
          <w:sz w:val="20"/>
          <w:vertAlign w:val="subscript"/>
        </w:rPr>
        <w:t>2</w:t>
      </w:r>
      <w:r w:rsidRPr="00C635F5">
        <w:rPr>
          <w:sz w:val="20"/>
        </w:rPr>
        <w:t xml:space="preserve"> (</w:t>
      </w:r>
      <w:r>
        <w:rPr>
          <w:sz w:val="20"/>
          <w:highlight w:val="yellow"/>
        </w:rPr>
        <w:t>i</w:t>
      </w:r>
      <w:r w:rsidRPr="00C635F5">
        <w:rPr>
          <w:sz w:val="20"/>
          <w:highlight w:val="yellow"/>
        </w:rPr>
        <w:t>loprost</w:t>
      </w:r>
      <w:r w:rsidRPr="00C635F5">
        <w:rPr>
          <w:sz w:val="20"/>
        </w:rPr>
        <w:t>)</w:t>
      </w:r>
    </w:p>
    <w:p w:rsidR="00C635F5" w:rsidRDefault="00C635F5" w:rsidP="00C635F5">
      <w:pPr>
        <w:rPr>
          <w:sz w:val="20"/>
        </w:rPr>
      </w:pPr>
      <w:r w:rsidRPr="00C635F5">
        <w:rPr>
          <w:b/>
          <w:sz w:val="20"/>
          <w:u w:val="single"/>
        </w:rPr>
        <w:t>Les AINS</w:t>
      </w:r>
      <w:r>
        <w:rPr>
          <w:sz w:val="20"/>
        </w:rPr>
        <w:t> :</w:t>
      </w:r>
    </w:p>
    <w:p w:rsidR="008A612A" w:rsidRDefault="008A612A" w:rsidP="00C635F5">
      <w:pPr>
        <w:rPr>
          <w:sz w:val="20"/>
        </w:rPr>
      </w:pPr>
      <w:r w:rsidRPr="008A612A">
        <w:rPr>
          <w:b/>
          <w:sz w:val="20"/>
        </w:rPr>
        <w:t>Classification</w:t>
      </w:r>
      <w:r>
        <w:rPr>
          <w:sz w:val="20"/>
        </w:rPr>
        <w:t> :</w:t>
      </w:r>
      <w:r w:rsidR="005918ED">
        <w:rPr>
          <w:sz w:val="20"/>
        </w:rPr>
        <w:t xml:space="preserve"> se fait selon la structure chimique (structure conservée dans les AINS = noyaux aromatiques), sélectivité aux COX </w:t>
      </w:r>
      <w:r w:rsidR="00742A1E">
        <w:rPr>
          <w:sz w:val="20"/>
        </w:rPr>
        <w:t xml:space="preserve">(ex </w:t>
      </w:r>
      <w:r w:rsidR="00742A1E" w:rsidRPr="00742A1E">
        <w:rPr>
          <w:sz w:val="20"/>
          <w:highlight w:val="yellow"/>
        </w:rPr>
        <w:t>–coxib</w:t>
      </w:r>
      <w:r w:rsidR="00742A1E">
        <w:rPr>
          <w:sz w:val="20"/>
        </w:rPr>
        <w:t xml:space="preserve"> = sélectif COX2) </w:t>
      </w:r>
      <w:r w:rsidR="005918ED">
        <w:rPr>
          <w:sz w:val="20"/>
        </w:rPr>
        <w:t>et ½ vie plasmatique.</w:t>
      </w:r>
    </w:p>
    <w:p w:rsidR="005918ED" w:rsidRDefault="008A612A" w:rsidP="00DF68EB">
      <w:pPr>
        <w:spacing w:after="0"/>
      </w:pPr>
      <w:r w:rsidRPr="008A612A">
        <w:rPr>
          <w:b/>
          <w:sz w:val="20"/>
        </w:rPr>
        <w:t>Pharmacodynamie</w:t>
      </w:r>
      <w:r>
        <w:rPr>
          <w:sz w:val="20"/>
        </w:rPr>
        <w:t> :</w:t>
      </w:r>
      <w:r w:rsidR="005918ED" w:rsidRPr="005918ED">
        <w:t xml:space="preserve"> </w:t>
      </w:r>
    </w:p>
    <w:p w:rsidR="005918ED" w:rsidRPr="005918ED" w:rsidRDefault="005918ED" w:rsidP="00DF68EB">
      <w:pPr>
        <w:spacing w:after="0"/>
        <w:rPr>
          <w:sz w:val="20"/>
        </w:rPr>
      </w:pPr>
      <w:r w:rsidRPr="005918ED">
        <w:rPr>
          <w:sz w:val="20"/>
        </w:rPr>
        <w:t xml:space="preserve">Différents types d’inhibition </w:t>
      </w:r>
    </w:p>
    <w:p w:rsidR="005918ED" w:rsidRPr="005918ED" w:rsidRDefault="005918ED" w:rsidP="005918ED">
      <w:pPr>
        <w:pStyle w:val="Paragraphedeliste"/>
        <w:numPr>
          <w:ilvl w:val="0"/>
          <w:numId w:val="1"/>
        </w:numPr>
        <w:spacing w:after="0"/>
        <w:rPr>
          <w:sz w:val="20"/>
        </w:rPr>
      </w:pPr>
      <w:r>
        <w:rPr>
          <w:sz w:val="20"/>
        </w:rPr>
        <w:t>I</w:t>
      </w:r>
      <w:r w:rsidRPr="005918ED">
        <w:rPr>
          <w:sz w:val="20"/>
        </w:rPr>
        <w:t xml:space="preserve">nactivation irréversible (aspirine): durée d’action dépend du ‘turnover’ des COX </w:t>
      </w:r>
    </w:p>
    <w:p w:rsidR="005918ED" w:rsidRPr="005918ED" w:rsidRDefault="005918ED" w:rsidP="005918ED">
      <w:pPr>
        <w:pStyle w:val="Paragraphedeliste"/>
        <w:numPr>
          <w:ilvl w:val="0"/>
          <w:numId w:val="1"/>
        </w:numPr>
        <w:rPr>
          <w:sz w:val="20"/>
        </w:rPr>
      </w:pPr>
      <w:r w:rsidRPr="005918ED">
        <w:rPr>
          <w:sz w:val="20"/>
        </w:rPr>
        <w:t xml:space="preserve">Inhibition compétitive du substrat (ibuprofène) </w:t>
      </w:r>
    </w:p>
    <w:p w:rsidR="005918ED" w:rsidRDefault="005918ED" w:rsidP="005918ED">
      <w:pPr>
        <w:pStyle w:val="Paragraphedeliste"/>
        <w:numPr>
          <w:ilvl w:val="0"/>
          <w:numId w:val="1"/>
        </w:numPr>
        <w:rPr>
          <w:sz w:val="20"/>
        </w:rPr>
      </w:pPr>
      <w:r w:rsidRPr="005918ED">
        <w:rPr>
          <w:sz w:val="20"/>
        </w:rPr>
        <w:t>F</w:t>
      </w:r>
      <w:r>
        <w:rPr>
          <w:sz w:val="20"/>
        </w:rPr>
        <w:t xml:space="preserve">aible affinité (paracétamol) : n’a que peu d’effet anti-inflammatoire, est cependant un bon antipyrétique/analgésique (probablement par inhibition de COX3 dans SNC, encore méconnu) </w:t>
      </w:r>
    </w:p>
    <w:p w:rsidR="005918ED" w:rsidRPr="005918ED" w:rsidRDefault="005918ED" w:rsidP="005918ED">
      <w:pPr>
        <w:pStyle w:val="Paragraphedeliste"/>
        <w:numPr>
          <w:ilvl w:val="0"/>
          <w:numId w:val="1"/>
        </w:numPr>
        <w:rPr>
          <w:sz w:val="20"/>
        </w:rPr>
      </w:pPr>
      <w:r w:rsidRPr="005918ED">
        <w:rPr>
          <w:sz w:val="20"/>
        </w:rPr>
        <w:t xml:space="preserve">Inhibition sélective COX1 et COX2 </w:t>
      </w:r>
    </w:p>
    <w:p w:rsidR="005918ED" w:rsidRPr="005918ED" w:rsidRDefault="005918ED" w:rsidP="005918ED">
      <w:pPr>
        <w:spacing w:after="0"/>
        <w:rPr>
          <w:sz w:val="20"/>
        </w:rPr>
      </w:pPr>
      <w:r w:rsidRPr="005918ED">
        <w:rPr>
          <w:sz w:val="20"/>
        </w:rPr>
        <w:t xml:space="preserve"> Effets thérapeutiques </w:t>
      </w:r>
    </w:p>
    <w:p w:rsidR="005918ED" w:rsidRPr="005918ED" w:rsidRDefault="005918ED" w:rsidP="005918ED">
      <w:pPr>
        <w:pStyle w:val="Paragraphedeliste"/>
        <w:numPr>
          <w:ilvl w:val="0"/>
          <w:numId w:val="1"/>
        </w:numPr>
        <w:spacing w:after="0"/>
        <w:rPr>
          <w:sz w:val="20"/>
        </w:rPr>
      </w:pPr>
      <w:r w:rsidRPr="005918ED">
        <w:rPr>
          <w:sz w:val="20"/>
        </w:rPr>
        <w:t xml:space="preserve">Analgésique </w:t>
      </w:r>
    </w:p>
    <w:p w:rsidR="005918ED" w:rsidRDefault="005918ED" w:rsidP="005918ED">
      <w:pPr>
        <w:pStyle w:val="Paragraphedeliste"/>
        <w:numPr>
          <w:ilvl w:val="0"/>
          <w:numId w:val="1"/>
        </w:numPr>
        <w:rPr>
          <w:sz w:val="20"/>
        </w:rPr>
      </w:pPr>
      <w:r w:rsidRPr="005918ED">
        <w:rPr>
          <w:sz w:val="20"/>
        </w:rPr>
        <w:t xml:space="preserve">Antipyrétique </w:t>
      </w:r>
    </w:p>
    <w:p w:rsidR="005918ED" w:rsidRDefault="005918ED" w:rsidP="005918ED">
      <w:pPr>
        <w:pStyle w:val="Paragraphedeliste"/>
        <w:numPr>
          <w:ilvl w:val="0"/>
          <w:numId w:val="1"/>
        </w:numPr>
        <w:rPr>
          <w:sz w:val="20"/>
        </w:rPr>
      </w:pPr>
      <w:r w:rsidRPr="005918ED">
        <w:rPr>
          <w:sz w:val="20"/>
        </w:rPr>
        <w:t xml:space="preserve">Anti-inflammatoire (très faible pour paracétamol) </w:t>
      </w:r>
    </w:p>
    <w:p w:rsidR="008A612A" w:rsidRPr="005918ED" w:rsidRDefault="005918ED" w:rsidP="005918ED">
      <w:pPr>
        <w:pStyle w:val="Paragraphedeliste"/>
        <w:numPr>
          <w:ilvl w:val="0"/>
          <w:numId w:val="1"/>
        </w:numPr>
        <w:rPr>
          <w:sz w:val="20"/>
        </w:rPr>
      </w:pPr>
      <w:r w:rsidRPr="005918ED">
        <w:rPr>
          <w:sz w:val="20"/>
        </w:rPr>
        <w:t>Autres possibles: cardioprotection, prévention du cancer</w:t>
      </w:r>
    </w:p>
    <w:p w:rsidR="008A612A" w:rsidRDefault="008A612A" w:rsidP="00DF68EB">
      <w:pPr>
        <w:spacing w:after="0"/>
        <w:rPr>
          <w:sz w:val="20"/>
        </w:rPr>
      </w:pPr>
      <w:r w:rsidRPr="008A612A">
        <w:rPr>
          <w:b/>
          <w:sz w:val="20"/>
        </w:rPr>
        <w:t>Pharmacocinétique </w:t>
      </w:r>
      <w:r>
        <w:rPr>
          <w:sz w:val="20"/>
        </w:rPr>
        <w:t>:</w:t>
      </w:r>
    </w:p>
    <w:p w:rsidR="005918ED" w:rsidRDefault="005918ED" w:rsidP="00DF68EB">
      <w:pPr>
        <w:pStyle w:val="Paragraphedeliste"/>
        <w:numPr>
          <w:ilvl w:val="0"/>
          <w:numId w:val="1"/>
        </w:numPr>
        <w:spacing w:after="0"/>
        <w:rPr>
          <w:sz w:val="20"/>
        </w:rPr>
      </w:pPr>
      <w:r>
        <w:rPr>
          <w:sz w:val="20"/>
        </w:rPr>
        <w:t>Absorption rapide</w:t>
      </w:r>
    </w:p>
    <w:p w:rsidR="005918ED" w:rsidRDefault="005918ED" w:rsidP="005918ED">
      <w:pPr>
        <w:pStyle w:val="Paragraphedeliste"/>
        <w:numPr>
          <w:ilvl w:val="0"/>
          <w:numId w:val="1"/>
        </w:numPr>
        <w:rPr>
          <w:sz w:val="20"/>
        </w:rPr>
      </w:pPr>
      <w:r>
        <w:rPr>
          <w:sz w:val="20"/>
        </w:rPr>
        <w:t>Distribution : forte liaison aux protéines plasmatiques (90-95%), attention aux interactions avec autres médicaments liant aussi les protéines plasmatiques.</w:t>
      </w:r>
    </w:p>
    <w:p w:rsidR="005918ED" w:rsidRPr="005918ED" w:rsidRDefault="005918ED" w:rsidP="005918ED">
      <w:pPr>
        <w:pStyle w:val="Paragraphedeliste"/>
        <w:numPr>
          <w:ilvl w:val="0"/>
          <w:numId w:val="1"/>
        </w:numPr>
        <w:rPr>
          <w:sz w:val="20"/>
        </w:rPr>
      </w:pPr>
      <w:r>
        <w:rPr>
          <w:sz w:val="20"/>
        </w:rPr>
        <w:t>Élimination : biotransformation hépatique (oxydation, hydroxylation, sulfo/glucuro-conjugaison) et élimination rénale</w:t>
      </w:r>
    </w:p>
    <w:p w:rsidR="00C23BA9" w:rsidRDefault="00C23BA9">
      <w:pPr>
        <w:rPr>
          <w:b/>
          <w:sz w:val="20"/>
        </w:rPr>
      </w:pPr>
      <w:r>
        <w:rPr>
          <w:b/>
          <w:sz w:val="20"/>
        </w:rPr>
        <w:br w:type="page"/>
      </w:r>
    </w:p>
    <w:p w:rsidR="008A612A" w:rsidRDefault="008A612A" w:rsidP="00B767D0">
      <w:pPr>
        <w:spacing w:after="0"/>
        <w:rPr>
          <w:sz w:val="20"/>
        </w:rPr>
      </w:pPr>
      <w:r w:rsidRPr="008A612A">
        <w:rPr>
          <w:b/>
          <w:sz w:val="20"/>
        </w:rPr>
        <w:lastRenderedPageBreak/>
        <w:t>Effets 2° des AINS</w:t>
      </w:r>
      <w:r>
        <w:rPr>
          <w:sz w:val="20"/>
        </w:rPr>
        <w:t> </w:t>
      </w:r>
      <w:r w:rsidR="00DF68EB">
        <w:rPr>
          <w:sz w:val="20"/>
        </w:rPr>
        <w:t xml:space="preserve">(par ordre de fréquence décroissant) </w:t>
      </w:r>
      <w:r>
        <w:rPr>
          <w:sz w:val="20"/>
        </w:rPr>
        <w:t>:</w:t>
      </w:r>
    </w:p>
    <w:p w:rsidR="00DF68EB" w:rsidRPr="00DF68EB" w:rsidRDefault="00DF68EB" w:rsidP="00B767D0">
      <w:pPr>
        <w:pStyle w:val="Paragraphedeliste"/>
        <w:numPr>
          <w:ilvl w:val="0"/>
          <w:numId w:val="1"/>
        </w:numPr>
        <w:spacing w:after="0"/>
        <w:rPr>
          <w:sz w:val="20"/>
        </w:rPr>
      </w:pPr>
      <w:r w:rsidRPr="00DF68EB">
        <w:rPr>
          <w:sz w:val="20"/>
        </w:rPr>
        <w:t xml:space="preserve">GI : douleurs abdominales, nausées, diarrhées, </w:t>
      </w:r>
      <w:r>
        <w:rPr>
          <w:sz w:val="20"/>
        </w:rPr>
        <w:t>é</w:t>
      </w:r>
      <w:r w:rsidRPr="00DF68EB">
        <w:rPr>
          <w:sz w:val="20"/>
        </w:rPr>
        <w:t>rosions/ulcères gastriques, h</w:t>
      </w:r>
      <w:r>
        <w:rPr>
          <w:sz w:val="20"/>
        </w:rPr>
        <w:t>émorragie, anémie, perforation*</w:t>
      </w:r>
    </w:p>
    <w:p w:rsidR="00DF68EB" w:rsidRDefault="00DF68EB" w:rsidP="00DF68EB">
      <w:pPr>
        <w:pStyle w:val="Paragraphedeliste"/>
        <w:numPr>
          <w:ilvl w:val="0"/>
          <w:numId w:val="1"/>
        </w:numPr>
        <w:rPr>
          <w:sz w:val="20"/>
        </w:rPr>
      </w:pPr>
      <w:r w:rsidRPr="00DF68EB">
        <w:rPr>
          <w:sz w:val="20"/>
        </w:rPr>
        <w:t xml:space="preserve">Plaquettes : </w:t>
      </w:r>
      <w:r>
        <w:rPr>
          <w:sz w:val="20"/>
        </w:rPr>
        <w:t>t</w:t>
      </w:r>
      <w:r w:rsidRPr="00DF68EB">
        <w:rPr>
          <w:sz w:val="20"/>
        </w:rPr>
        <w:t>endance au bleus* , risque d’hémorragie*</w:t>
      </w:r>
    </w:p>
    <w:p w:rsidR="00DF68EB" w:rsidRDefault="00DF68EB" w:rsidP="00DF68EB">
      <w:pPr>
        <w:pStyle w:val="Paragraphedeliste"/>
        <w:numPr>
          <w:ilvl w:val="0"/>
          <w:numId w:val="1"/>
        </w:numPr>
        <w:rPr>
          <w:sz w:val="20"/>
        </w:rPr>
      </w:pPr>
      <w:r w:rsidRPr="00DF68EB">
        <w:rPr>
          <w:sz w:val="20"/>
        </w:rPr>
        <w:t>Rein : rétention hydrique, hyperK</w:t>
      </w:r>
      <w:r w:rsidRPr="00DF68EB">
        <w:rPr>
          <w:sz w:val="20"/>
          <w:vertAlign w:val="superscript"/>
        </w:rPr>
        <w:t>+</w:t>
      </w:r>
      <w:r w:rsidRPr="00DF68EB">
        <w:rPr>
          <w:sz w:val="20"/>
        </w:rPr>
        <w:t xml:space="preserve">, diminution de l’efficacité des diurétiques/antihypertenseurs, péjoration de la fonction rénale chez patient insuffisant rénaux/cardiaques/hépatiques, </w:t>
      </w:r>
      <w:r>
        <w:rPr>
          <w:sz w:val="20"/>
        </w:rPr>
        <w:t>effet anti-uricosurique (car AINS et acide urique utilisent même système de transport dans rein !)</w:t>
      </w:r>
    </w:p>
    <w:p w:rsidR="00DF68EB" w:rsidRDefault="00DF68EB" w:rsidP="00DF68EB">
      <w:pPr>
        <w:pStyle w:val="Paragraphedeliste"/>
        <w:numPr>
          <w:ilvl w:val="0"/>
          <w:numId w:val="1"/>
        </w:numPr>
        <w:rPr>
          <w:sz w:val="20"/>
        </w:rPr>
      </w:pPr>
      <w:r w:rsidRPr="00DF68EB">
        <w:rPr>
          <w:sz w:val="20"/>
        </w:rPr>
        <w:t xml:space="preserve">Cardiovasculaire : infarctus, ictus, thrombose (exception aspirine), fermeture du canal artériel </w:t>
      </w:r>
    </w:p>
    <w:p w:rsidR="00DF68EB" w:rsidRDefault="00DF68EB" w:rsidP="00DF68EB">
      <w:pPr>
        <w:pStyle w:val="Paragraphedeliste"/>
        <w:numPr>
          <w:ilvl w:val="0"/>
          <w:numId w:val="1"/>
        </w:numPr>
        <w:rPr>
          <w:sz w:val="20"/>
        </w:rPr>
      </w:pPr>
      <w:r w:rsidRPr="00DF68EB">
        <w:rPr>
          <w:sz w:val="20"/>
        </w:rPr>
        <w:t>SNC </w:t>
      </w:r>
      <w:r>
        <w:rPr>
          <w:sz w:val="20"/>
        </w:rPr>
        <w:t>(lors d’intoxications)</w:t>
      </w:r>
      <w:r w:rsidRPr="00DF68EB">
        <w:rPr>
          <w:sz w:val="20"/>
        </w:rPr>
        <w:t xml:space="preserve">: céphalées, vertiges, confusion, hyperventilation </w:t>
      </w:r>
    </w:p>
    <w:p w:rsidR="00DF68EB" w:rsidRDefault="00DF68EB" w:rsidP="00DF68EB">
      <w:pPr>
        <w:pStyle w:val="Paragraphedeliste"/>
        <w:numPr>
          <w:ilvl w:val="0"/>
          <w:numId w:val="1"/>
        </w:numPr>
        <w:rPr>
          <w:sz w:val="20"/>
        </w:rPr>
      </w:pPr>
      <w:r w:rsidRPr="00DF68EB">
        <w:rPr>
          <w:sz w:val="20"/>
        </w:rPr>
        <w:t xml:space="preserve">Uterus : prolongation de la gestation, inhibition du </w:t>
      </w:r>
      <w:r>
        <w:rPr>
          <w:sz w:val="20"/>
        </w:rPr>
        <w:t>travail</w:t>
      </w:r>
    </w:p>
    <w:p w:rsidR="00DF68EB" w:rsidRPr="00DF68EB" w:rsidRDefault="00DF68EB" w:rsidP="00DF68EB">
      <w:pPr>
        <w:pStyle w:val="Paragraphedeliste"/>
        <w:numPr>
          <w:ilvl w:val="0"/>
          <w:numId w:val="1"/>
        </w:numPr>
        <w:rPr>
          <w:sz w:val="20"/>
        </w:rPr>
      </w:pPr>
      <w:r w:rsidRPr="00DF68EB">
        <w:rPr>
          <w:sz w:val="20"/>
        </w:rPr>
        <w:t>Hypersensibilité </w:t>
      </w:r>
      <w:r>
        <w:rPr>
          <w:sz w:val="20"/>
        </w:rPr>
        <w:t xml:space="preserve">= idiosyncrasie </w:t>
      </w:r>
      <w:r w:rsidRPr="00DF68EB">
        <w:rPr>
          <w:sz w:val="20"/>
        </w:rPr>
        <w:t xml:space="preserve">: </w:t>
      </w:r>
      <w:r>
        <w:rPr>
          <w:sz w:val="20"/>
        </w:rPr>
        <w:t>a</w:t>
      </w:r>
      <w:r w:rsidRPr="00DF68EB">
        <w:rPr>
          <w:sz w:val="20"/>
        </w:rPr>
        <w:t>sthme,</w:t>
      </w:r>
      <w:r>
        <w:rPr>
          <w:sz w:val="20"/>
        </w:rPr>
        <w:t xml:space="preserve"> urticaire, flush, hypotension</w:t>
      </w:r>
    </w:p>
    <w:p w:rsidR="00DF68EB" w:rsidRDefault="008A612A" w:rsidP="00957C48">
      <w:pPr>
        <w:spacing w:after="0"/>
        <w:rPr>
          <w:sz w:val="20"/>
        </w:rPr>
      </w:pPr>
      <w:r w:rsidRPr="008A612A">
        <w:rPr>
          <w:b/>
          <w:sz w:val="20"/>
        </w:rPr>
        <w:t>Interactions médicamenteuses</w:t>
      </w:r>
      <w:r>
        <w:rPr>
          <w:sz w:val="20"/>
        </w:rPr>
        <w:t> :</w:t>
      </w:r>
    </w:p>
    <w:p w:rsidR="00DF68EB" w:rsidRDefault="00DF68EB" w:rsidP="00957C48">
      <w:pPr>
        <w:spacing w:after="0"/>
        <w:rPr>
          <w:sz w:val="20"/>
        </w:rPr>
      </w:pPr>
      <w:r>
        <w:rPr>
          <w:sz w:val="20"/>
        </w:rPr>
        <w:t>Interactions pharmacodynamiques :</w:t>
      </w:r>
    </w:p>
    <w:p w:rsidR="00DF68EB" w:rsidRDefault="00DF68EB" w:rsidP="00DF68EB">
      <w:pPr>
        <w:pStyle w:val="Paragraphedeliste"/>
        <w:numPr>
          <w:ilvl w:val="0"/>
          <w:numId w:val="1"/>
        </w:numPr>
        <w:spacing w:after="0"/>
        <w:rPr>
          <w:sz w:val="20"/>
        </w:rPr>
      </w:pPr>
      <w:r w:rsidRPr="00DF68EB">
        <w:rPr>
          <w:sz w:val="20"/>
        </w:rPr>
        <w:t>Glucocorticoïdes : augmentation du risq</w:t>
      </w:r>
      <w:r>
        <w:rPr>
          <w:sz w:val="20"/>
        </w:rPr>
        <w:t xml:space="preserve">ue de complications digestives </w:t>
      </w:r>
    </w:p>
    <w:p w:rsidR="00DF68EB" w:rsidRPr="00DF68EB" w:rsidRDefault="00DF68EB" w:rsidP="00DF68EB">
      <w:pPr>
        <w:pStyle w:val="Paragraphedeliste"/>
        <w:numPr>
          <w:ilvl w:val="0"/>
          <w:numId w:val="1"/>
        </w:numPr>
        <w:spacing w:after="0"/>
        <w:rPr>
          <w:sz w:val="20"/>
        </w:rPr>
      </w:pPr>
      <w:r w:rsidRPr="00DF68EB">
        <w:rPr>
          <w:sz w:val="20"/>
        </w:rPr>
        <w:t>Anticoagulants</w:t>
      </w:r>
      <w:r>
        <w:rPr>
          <w:sz w:val="20"/>
        </w:rPr>
        <w:t> : étant donné que les AINS ont eux a</w:t>
      </w:r>
      <w:r w:rsidR="00957C48">
        <w:rPr>
          <w:sz w:val="20"/>
        </w:rPr>
        <w:t>ussi des effets anticoagulants la combinaison augmente fortement les risques d’hémorragie.</w:t>
      </w:r>
    </w:p>
    <w:p w:rsidR="00DF68EB" w:rsidRPr="00957C48" w:rsidRDefault="00DF68EB" w:rsidP="00957C48">
      <w:pPr>
        <w:pStyle w:val="Paragraphedeliste"/>
        <w:numPr>
          <w:ilvl w:val="0"/>
          <w:numId w:val="1"/>
        </w:numPr>
        <w:rPr>
          <w:sz w:val="20"/>
        </w:rPr>
      </w:pPr>
      <w:r w:rsidRPr="00957C48">
        <w:rPr>
          <w:sz w:val="20"/>
        </w:rPr>
        <w:t>Inhibiteurs de l’enzyme de conversion</w:t>
      </w:r>
      <w:r w:rsidR="00957C48" w:rsidRPr="00957C48">
        <w:rPr>
          <w:sz w:val="20"/>
        </w:rPr>
        <w:t> :</w:t>
      </w:r>
      <w:r w:rsidR="00957C48" w:rsidRPr="00957C48">
        <w:t xml:space="preserve"> </w:t>
      </w:r>
      <w:r w:rsidR="00957C48" w:rsidRPr="00957C48">
        <w:rPr>
          <w:sz w:val="20"/>
        </w:rPr>
        <w:t>IEC inhibent la dégradation de la bradykinine qui stimule la biosynthèse de PG: donc AINS diminuent les effets des IEC. Hyperkaliémie pour IEC et AINS</w:t>
      </w:r>
      <w:r w:rsidR="00957C48">
        <w:rPr>
          <w:sz w:val="20"/>
        </w:rPr>
        <w:t>.</w:t>
      </w:r>
    </w:p>
    <w:p w:rsidR="00DF68EB" w:rsidRDefault="00DF68EB" w:rsidP="00DF68EB">
      <w:pPr>
        <w:spacing w:after="0"/>
        <w:rPr>
          <w:sz w:val="20"/>
        </w:rPr>
      </w:pPr>
      <w:r>
        <w:rPr>
          <w:sz w:val="20"/>
        </w:rPr>
        <w:t>Interactions pharmacocinétiques :</w:t>
      </w:r>
    </w:p>
    <w:p w:rsidR="00DF68EB" w:rsidRDefault="00DF68EB" w:rsidP="00DF68EB">
      <w:pPr>
        <w:pStyle w:val="Paragraphedeliste"/>
        <w:numPr>
          <w:ilvl w:val="0"/>
          <w:numId w:val="1"/>
        </w:numPr>
        <w:spacing w:after="0"/>
        <w:rPr>
          <w:sz w:val="20"/>
        </w:rPr>
      </w:pPr>
      <w:r>
        <w:rPr>
          <w:sz w:val="20"/>
        </w:rPr>
        <w:t>Avec médicaments fortement liés aux protéines plasmatiques</w:t>
      </w:r>
      <w:r w:rsidR="00957C48">
        <w:rPr>
          <w:sz w:val="20"/>
        </w:rPr>
        <w:t xml:space="preserve"> : </w:t>
      </w:r>
      <w:r w:rsidR="00957C48" w:rsidRPr="00957C48">
        <w:rPr>
          <w:sz w:val="20"/>
        </w:rPr>
        <w:t>acénocoumarol</w:t>
      </w:r>
      <w:r w:rsidR="00957C48">
        <w:rPr>
          <w:sz w:val="20"/>
        </w:rPr>
        <w:t xml:space="preserve"> (antagoniste de VitK, voir pharmaco 3.1)</w:t>
      </w:r>
      <w:r w:rsidR="00957C48" w:rsidRPr="00957C48">
        <w:rPr>
          <w:sz w:val="20"/>
        </w:rPr>
        <w:t>, sulfonylurées</w:t>
      </w:r>
      <w:r w:rsidR="00957C48">
        <w:rPr>
          <w:sz w:val="20"/>
        </w:rPr>
        <w:t xml:space="preserve"> (induisent sécrétion d’insuline par cells β du pancréas)</w:t>
      </w:r>
      <w:r w:rsidR="00957C48" w:rsidRPr="00957C48">
        <w:rPr>
          <w:sz w:val="20"/>
        </w:rPr>
        <w:t>, méthotrexate</w:t>
      </w:r>
      <w:r w:rsidR="00957C48">
        <w:rPr>
          <w:sz w:val="20"/>
        </w:rPr>
        <w:t xml:space="preserve"> (utilisé en chimiothérapie)</w:t>
      </w:r>
    </w:p>
    <w:p w:rsidR="00DF68EB" w:rsidRDefault="00DF68EB" w:rsidP="00DF68EB">
      <w:pPr>
        <w:pStyle w:val="Paragraphedeliste"/>
        <w:numPr>
          <w:ilvl w:val="0"/>
          <w:numId w:val="1"/>
        </w:numPr>
        <w:rPr>
          <w:sz w:val="20"/>
        </w:rPr>
      </w:pPr>
      <w:r>
        <w:rPr>
          <w:sz w:val="20"/>
        </w:rPr>
        <w:t>Avec médicaments éliminés par voie rénale</w:t>
      </w:r>
      <w:r w:rsidR="00957C48">
        <w:rPr>
          <w:sz w:val="20"/>
        </w:rPr>
        <w:t> : l</w:t>
      </w:r>
      <w:r w:rsidR="00957C48" w:rsidRPr="00957C48">
        <w:rPr>
          <w:sz w:val="20"/>
        </w:rPr>
        <w:t>ithium, digoxine, aminoglycosides</w:t>
      </w:r>
      <w:r w:rsidR="00957C48">
        <w:rPr>
          <w:sz w:val="20"/>
        </w:rPr>
        <w:t xml:space="preserve"> (AB)</w:t>
      </w:r>
    </w:p>
    <w:p w:rsidR="00957C48" w:rsidRDefault="00957C48" w:rsidP="00957C48">
      <w:pPr>
        <w:rPr>
          <w:sz w:val="20"/>
        </w:rPr>
      </w:pPr>
      <w:r w:rsidRPr="00957C48">
        <w:rPr>
          <w:b/>
          <w:sz w:val="20"/>
        </w:rPr>
        <w:t>Les médicaments AINS</w:t>
      </w:r>
      <w:r>
        <w:rPr>
          <w:sz w:val="20"/>
        </w:rPr>
        <w:t xml:space="preserve"> :</w:t>
      </w:r>
    </w:p>
    <w:p w:rsidR="00957C48" w:rsidRPr="00957C48" w:rsidRDefault="00957C48" w:rsidP="00163241">
      <w:pPr>
        <w:spacing w:after="0"/>
        <w:rPr>
          <w:sz w:val="20"/>
        </w:rPr>
      </w:pPr>
      <w:r w:rsidRPr="00957C48">
        <w:rPr>
          <w:sz w:val="20"/>
        </w:rPr>
        <w:t>Aci</w:t>
      </w:r>
      <w:r w:rsidR="00742A1E">
        <w:rPr>
          <w:sz w:val="20"/>
        </w:rPr>
        <w:t>de acétylsalicylique (ASPIRINE) : faiblement COX-1 sélectif</w:t>
      </w:r>
    </w:p>
    <w:p w:rsidR="00957C48" w:rsidRDefault="00957C48" w:rsidP="00163241">
      <w:pPr>
        <w:pStyle w:val="Paragraphedeliste"/>
        <w:numPr>
          <w:ilvl w:val="0"/>
          <w:numId w:val="1"/>
        </w:numPr>
        <w:spacing w:after="0"/>
        <w:rPr>
          <w:sz w:val="20"/>
        </w:rPr>
      </w:pPr>
      <w:r w:rsidRPr="00957C48">
        <w:rPr>
          <w:sz w:val="20"/>
        </w:rPr>
        <w:t>Pharmacodynamie</w:t>
      </w:r>
      <w:r>
        <w:rPr>
          <w:sz w:val="20"/>
        </w:rPr>
        <w:t> :</w:t>
      </w:r>
    </w:p>
    <w:p w:rsidR="00957C48" w:rsidRDefault="00957C48" w:rsidP="00957C48">
      <w:pPr>
        <w:pStyle w:val="Paragraphedeliste"/>
        <w:numPr>
          <w:ilvl w:val="0"/>
          <w:numId w:val="9"/>
        </w:numPr>
        <w:rPr>
          <w:sz w:val="20"/>
        </w:rPr>
      </w:pPr>
      <w:r w:rsidRPr="00957C48">
        <w:rPr>
          <w:sz w:val="20"/>
        </w:rPr>
        <w:t>Anti-aggrég</w:t>
      </w:r>
      <w:r>
        <w:rPr>
          <w:sz w:val="20"/>
        </w:rPr>
        <w:t>ant plaquettaire déjà à doses faibles (40-80mg/j)</w:t>
      </w:r>
    </w:p>
    <w:p w:rsidR="00957C48" w:rsidRDefault="00957C48" w:rsidP="00957C48">
      <w:pPr>
        <w:pStyle w:val="Paragraphedeliste"/>
        <w:numPr>
          <w:ilvl w:val="0"/>
          <w:numId w:val="9"/>
        </w:numPr>
        <w:rPr>
          <w:sz w:val="20"/>
        </w:rPr>
      </w:pPr>
      <w:r w:rsidRPr="00957C48">
        <w:rPr>
          <w:sz w:val="20"/>
        </w:rPr>
        <w:t>Antip</w:t>
      </w:r>
      <w:r>
        <w:rPr>
          <w:sz w:val="20"/>
        </w:rPr>
        <w:t>yrétique et analgésique (1-2 gr</w:t>
      </w:r>
      <w:r w:rsidRPr="00957C48">
        <w:rPr>
          <w:sz w:val="20"/>
        </w:rPr>
        <w:t>/j)</w:t>
      </w:r>
    </w:p>
    <w:p w:rsidR="00957C48" w:rsidRDefault="00957C48" w:rsidP="00957C48">
      <w:pPr>
        <w:pStyle w:val="Paragraphedeliste"/>
        <w:numPr>
          <w:ilvl w:val="0"/>
          <w:numId w:val="9"/>
        </w:numPr>
        <w:rPr>
          <w:sz w:val="20"/>
        </w:rPr>
      </w:pPr>
      <w:r w:rsidRPr="00957C48">
        <w:rPr>
          <w:sz w:val="20"/>
        </w:rPr>
        <w:t xml:space="preserve">Anti-inflammatoire </w:t>
      </w:r>
      <w:r>
        <w:rPr>
          <w:sz w:val="20"/>
        </w:rPr>
        <w:t>à doses plus élevées (3-4 gr/j)</w:t>
      </w:r>
    </w:p>
    <w:p w:rsidR="00957C48" w:rsidRDefault="00957C48" w:rsidP="00957C48">
      <w:pPr>
        <w:pStyle w:val="Paragraphedeliste"/>
        <w:numPr>
          <w:ilvl w:val="0"/>
          <w:numId w:val="1"/>
        </w:numPr>
        <w:rPr>
          <w:sz w:val="20"/>
        </w:rPr>
      </w:pPr>
      <w:r w:rsidRPr="00957C48">
        <w:rPr>
          <w:sz w:val="20"/>
        </w:rPr>
        <w:t>Pharmacocinétique</w:t>
      </w:r>
      <w:r>
        <w:rPr>
          <w:sz w:val="20"/>
        </w:rPr>
        <w:t> :</w:t>
      </w:r>
    </w:p>
    <w:p w:rsidR="00B767D0" w:rsidRDefault="00957C48" w:rsidP="00957C48">
      <w:pPr>
        <w:pStyle w:val="Paragraphedeliste"/>
        <w:numPr>
          <w:ilvl w:val="0"/>
          <w:numId w:val="10"/>
        </w:numPr>
        <w:rPr>
          <w:sz w:val="20"/>
        </w:rPr>
      </w:pPr>
      <w:r w:rsidRPr="00B767D0">
        <w:rPr>
          <w:sz w:val="20"/>
        </w:rPr>
        <w:t>acide faible à absorption par voie orale (diffusion non ionique</w:t>
      </w:r>
      <w:r w:rsidR="00B767D0" w:rsidRPr="00B767D0">
        <w:rPr>
          <w:sz w:val="20"/>
        </w:rPr>
        <w:t>, i.e. liaison à H</w:t>
      </w:r>
      <w:r w:rsidR="00B767D0" w:rsidRPr="00B767D0">
        <w:rPr>
          <w:sz w:val="20"/>
          <w:vertAlign w:val="superscript"/>
        </w:rPr>
        <w:t>+</w:t>
      </w:r>
      <w:r w:rsidR="00B767D0" w:rsidRPr="00B767D0">
        <w:rPr>
          <w:sz w:val="20"/>
        </w:rPr>
        <w:t xml:space="preserve"> dans estomac permet absorption plus rapide que si l’acide était sous forme ionique</w:t>
      </w:r>
      <w:r w:rsidR="00B767D0">
        <w:rPr>
          <w:sz w:val="20"/>
        </w:rPr>
        <w:t>)</w:t>
      </w:r>
    </w:p>
    <w:p w:rsidR="00957C48" w:rsidRDefault="00957C48" w:rsidP="00957C48">
      <w:pPr>
        <w:pStyle w:val="Paragraphedeliste"/>
        <w:numPr>
          <w:ilvl w:val="0"/>
          <w:numId w:val="10"/>
        </w:numPr>
        <w:rPr>
          <w:sz w:val="20"/>
        </w:rPr>
      </w:pPr>
      <w:r w:rsidRPr="00B767D0">
        <w:rPr>
          <w:sz w:val="20"/>
        </w:rPr>
        <w:t>hydrolysé</w:t>
      </w:r>
      <w:r w:rsidR="00B767D0" w:rsidRPr="00B767D0">
        <w:rPr>
          <w:sz w:val="20"/>
        </w:rPr>
        <w:t xml:space="preserve"> par les estérases plasmatiques/</w:t>
      </w:r>
      <w:r w:rsidRPr="00B767D0">
        <w:rPr>
          <w:sz w:val="20"/>
        </w:rPr>
        <w:t>tissulaires en salicylate</w:t>
      </w:r>
      <w:r w:rsidR="00B767D0" w:rsidRPr="00B767D0">
        <w:rPr>
          <w:sz w:val="20"/>
        </w:rPr>
        <w:t>, puis</w:t>
      </w:r>
      <w:r w:rsidRPr="00B767D0">
        <w:rPr>
          <w:sz w:val="20"/>
        </w:rPr>
        <w:t xml:space="preserve"> conjugué aux</w:t>
      </w:r>
      <w:r w:rsidR="00B767D0" w:rsidRPr="00B767D0">
        <w:rPr>
          <w:sz w:val="20"/>
        </w:rPr>
        <w:t xml:space="preserve"> protéines plasmatiques.</w:t>
      </w:r>
    </w:p>
    <w:p w:rsidR="00B767D0" w:rsidRDefault="00B767D0" w:rsidP="00957C48">
      <w:pPr>
        <w:pStyle w:val="Paragraphedeliste"/>
        <w:numPr>
          <w:ilvl w:val="0"/>
          <w:numId w:val="10"/>
        </w:numPr>
        <w:rPr>
          <w:sz w:val="20"/>
        </w:rPr>
      </w:pPr>
      <w:r w:rsidRPr="00B767D0">
        <w:rPr>
          <w:sz w:val="20"/>
        </w:rPr>
        <w:t xml:space="preserve">Métabolisme hépatique : </w:t>
      </w:r>
      <w:r w:rsidR="00163241">
        <w:rPr>
          <w:sz w:val="20"/>
        </w:rPr>
        <w:t>glucuroconjugaison. S</w:t>
      </w:r>
      <w:r w:rsidR="00957C48" w:rsidRPr="00B767D0">
        <w:rPr>
          <w:sz w:val="20"/>
        </w:rPr>
        <w:t>aturation pos</w:t>
      </w:r>
      <w:r>
        <w:rPr>
          <w:sz w:val="20"/>
        </w:rPr>
        <w:t>sible des enzymes hépatiques (t½ élimination dose dépendant).</w:t>
      </w:r>
    </w:p>
    <w:p w:rsidR="00957C48" w:rsidRPr="00B767D0" w:rsidRDefault="00957C48" w:rsidP="00957C48">
      <w:pPr>
        <w:pStyle w:val="Paragraphedeliste"/>
        <w:numPr>
          <w:ilvl w:val="0"/>
          <w:numId w:val="10"/>
        </w:numPr>
        <w:rPr>
          <w:sz w:val="20"/>
        </w:rPr>
      </w:pPr>
      <w:r w:rsidRPr="00B767D0">
        <w:rPr>
          <w:sz w:val="20"/>
        </w:rPr>
        <w:t xml:space="preserve">25% excrété par le rein sans modifications, augmentée par alcalinisation des urines (diffusion non </w:t>
      </w:r>
      <w:r w:rsidR="00163241">
        <w:rPr>
          <w:sz w:val="20"/>
        </w:rPr>
        <w:t>ionique, i.e. acide sous forme ionique donc excrété, pas réabsorbé !)</w:t>
      </w:r>
    </w:p>
    <w:p w:rsidR="00163241" w:rsidRDefault="00957C48" w:rsidP="00957C48">
      <w:pPr>
        <w:pStyle w:val="Paragraphedeliste"/>
        <w:numPr>
          <w:ilvl w:val="0"/>
          <w:numId w:val="1"/>
        </w:numPr>
        <w:rPr>
          <w:sz w:val="20"/>
        </w:rPr>
      </w:pPr>
      <w:r w:rsidRPr="00957C48">
        <w:rPr>
          <w:sz w:val="20"/>
        </w:rPr>
        <w:t>Toxicité : Toxicité plus s</w:t>
      </w:r>
      <w:r w:rsidR="00163241">
        <w:rPr>
          <w:sz w:val="20"/>
        </w:rPr>
        <w:t>é</w:t>
      </w:r>
      <w:r w:rsidRPr="00957C48">
        <w:rPr>
          <w:sz w:val="20"/>
        </w:rPr>
        <w:t xml:space="preserve">vère chez les enfants et les personnes âgées! </w:t>
      </w:r>
      <w:r w:rsidR="00163241">
        <w:rPr>
          <w:sz w:val="20"/>
        </w:rPr>
        <w:t>Se manifeste par</w:t>
      </w:r>
    </w:p>
    <w:p w:rsidR="00957C48" w:rsidRDefault="00957C48" w:rsidP="00163241">
      <w:pPr>
        <w:pStyle w:val="Paragraphedeliste"/>
        <w:numPr>
          <w:ilvl w:val="0"/>
          <w:numId w:val="11"/>
        </w:numPr>
        <w:rPr>
          <w:sz w:val="20"/>
        </w:rPr>
      </w:pPr>
      <w:r w:rsidRPr="00163241">
        <w:rPr>
          <w:sz w:val="20"/>
        </w:rPr>
        <w:t>Salicylisme: nausées, vomissements, diarrhée, hyper</w:t>
      </w:r>
      <w:r w:rsidR="00163241">
        <w:rPr>
          <w:sz w:val="20"/>
        </w:rPr>
        <w:t>T°</w:t>
      </w:r>
      <w:r w:rsidRPr="00163241">
        <w:rPr>
          <w:sz w:val="20"/>
        </w:rPr>
        <w:t>, "</w:t>
      </w:r>
      <w:r w:rsidRPr="00163241">
        <w:rPr>
          <w:sz w:val="20"/>
          <w:highlight w:val="yellow"/>
        </w:rPr>
        <w:t>tinnitus</w:t>
      </w:r>
      <w:r w:rsidRPr="00163241">
        <w:rPr>
          <w:sz w:val="20"/>
        </w:rPr>
        <w:t>" (bourdonnement d</w:t>
      </w:r>
      <w:r w:rsidR="00163241">
        <w:rPr>
          <w:sz w:val="20"/>
        </w:rPr>
        <w:t>'oreilles)</w:t>
      </w:r>
    </w:p>
    <w:p w:rsidR="00957C48" w:rsidRDefault="00957C48" w:rsidP="00957C48">
      <w:pPr>
        <w:pStyle w:val="Paragraphedeliste"/>
        <w:numPr>
          <w:ilvl w:val="0"/>
          <w:numId w:val="11"/>
        </w:numPr>
        <w:rPr>
          <w:sz w:val="20"/>
        </w:rPr>
      </w:pPr>
      <w:r w:rsidRPr="00163241">
        <w:rPr>
          <w:sz w:val="20"/>
        </w:rPr>
        <w:t>Troubles de l'équilibre acide-basique: alcalose respiratoire, acidose métabolique de compensation. Acidose en cas d’intoxications sévères</w:t>
      </w:r>
      <w:r w:rsidR="00163241">
        <w:rPr>
          <w:sz w:val="20"/>
        </w:rPr>
        <w:t>.</w:t>
      </w:r>
    </w:p>
    <w:p w:rsidR="00C23BA9" w:rsidRDefault="00C23BA9">
      <w:pPr>
        <w:rPr>
          <w:sz w:val="20"/>
        </w:rPr>
      </w:pPr>
      <w:r>
        <w:rPr>
          <w:sz w:val="20"/>
        </w:rPr>
        <w:br w:type="page"/>
      </w:r>
    </w:p>
    <w:p w:rsidR="00163241" w:rsidRDefault="00163241" w:rsidP="00163241">
      <w:pPr>
        <w:spacing w:after="0"/>
        <w:rPr>
          <w:sz w:val="20"/>
        </w:rPr>
      </w:pPr>
      <w:r>
        <w:rPr>
          <w:sz w:val="20"/>
        </w:rPr>
        <w:lastRenderedPageBreak/>
        <w:t>Paracétamol (panadol ou acétaminophen) :</w:t>
      </w:r>
    </w:p>
    <w:p w:rsidR="0071277A" w:rsidRDefault="00163241" w:rsidP="0071277A">
      <w:pPr>
        <w:pStyle w:val="Paragraphedeliste"/>
        <w:numPr>
          <w:ilvl w:val="0"/>
          <w:numId w:val="1"/>
        </w:numPr>
        <w:spacing w:after="0"/>
        <w:rPr>
          <w:sz w:val="20"/>
        </w:rPr>
      </w:pPr>
      <w:r w:rsidRPr="0071277A">
        <w:rPr>
          <w:sz w:val="20"/>
        </w:rPr>
        <w:t>Effets : analgésique, antipyrétique, faible anti-inflammatoire, pas d’effets sur l’</w:t>
      </w:r>
      <w:r w:rsidR="0071277A">
        <w:rPr>
          <w:sz w:val="20"/>
        </w:rPr>
        <w:t xml:space="preserve">agrégation plaquettaire </w:t>
      </w:r>
    </w:p>
    <w:p w:rsidR="00163241" w:rsidRDefault="00163241" w:rsidP="0071277A">
      <w:pPr>
        <w:pStyle w:val="Paragraphedeliste"/>
        <w:numPr>
          <w:ilvl w:val="0"/>
          <w:numId w:val="1"/>
        </w:numPr>
        <w:spacing w:after="0"/>
        <w:rPr>
          <w:sz w:val="20"/>
        </w:rPr>
      </w:pPr>
      <w:r w:rsidRPr="0071277A">
        <w:rPr>
          <w:sz w:val="20"/>
        </w:rPr>
        <w:t>Pharmacocinétique :</w:t>
      </w:r>
    </w:p>
    <w:p w:rsidR="0071277A" w:rsidRPr="0071277A" w:rsidRDefault="0071277A" w:rsidP="0071277A">
      <w:pPr>
        <w:pStyle w:val="Paragraphedeliste"/>
        <w:numPr>
          <w:ilvl w:val="0"/>
          <w:numId w:val="12"/>
        </w:numPr>
        <w:spacing w:after="0"/>
        <w:rPr>
          <w:sz w:val="20"/>
        </w:rPr>
      </w:pPr>
      <w:r w:rsidRPr="0071277A">
        <w:rPr>
          <w:sz w:val="20"/>
        </w:rPr>
        <w:t xml:space="preserve">Glucuro/sulfoconjugaison hépatique: voie principale de biotransformation </w:t>
      </w:r>
    </w:p>
    <w:p w:rsidR="0071277A" w:rsidRPr="0071277A" w:rsidRDefault="0071277A" w:rsidP="0071277A">
      <w:pPr>
        <w:pStyle w:val="Paragraphedeliste"/>
        <w:numPr>
          <w:ilvl w:val="0"/>
          <w:numId w:val="12"/>
        </w:numPr>
        <w:spacing w:after="0"/>
        <w:rPr>
          <w:sz w:val="20"/>
        </w:rPr>
      </w:pPr>
      <w:r w:rsidRPr="0071277A">
        <w:rPr>
          <w:sz w:val="20"/>
        </w:rPr>
        <w:t>Petite fraction métabolisée par CYP (hydroxylation) et formation de N-acetyl-p-benzoquinoneimine (</w:t>
      </w:r>
      <w:r w:rsidRPr="0071277A">
        <w:rPr>
          <w:sz w:val="20"/>
          <w:highlight w:val="yellow"/>
        </w:rPr>
        <w:t>NAPQI</w:t>
      </w:r>
      <w:r w:rsidRPr="0071277A">
        <w:rPr>
          <w:sz w:val="20"/>
        </w:rPr>
        <w:t xml:space="preserve">), métabolite toxique hautement réactif: cette voie devient plus importante en cas de saturation des enzymes de </w:t>
      </w:r>
      <w:r>
        <w:rPr>
          <w:sz w:val="20"/>
        </w:rPr>
        <w:t>conjugaison.</w:t>
      </w:r>
    </w:p>
    <w:p w:rsidR="0071277A" w:rsidRDefault="00163241" w:rsidP="0071277A">
      <w:pPr>
        <w:pStyle w:val="Paragraphedeliste"/>
        <w:numPr>
          <w:ilvl w:val="0"/>
          <w:numId w:val="1"/>
        </w:numPr>
        <w:rPr>
          <w:sz w:val="20"/>
        </w:rPr>
      </w:pPr>
      <w:r>
        <w:rPr>
          <w:sz w:val="20"/>
        </w:rPr>
        <w:t>Effets 2° :</w:t>
      </w:r>
      <w:r w:rsidR="0071277A">
        <w:rPr>
          <w:sz w:val="20"/>
        </w:rPr>
        <w:t xml:space="preserve"> mieux tolérés que autres AINS</w:t>
      </w:r>
    </w:p>
    <w:p w:rsidR="0071277A" w:rsidRPr="0071277A" w:rsidRDefault="0071277A" w:rsidP="0071277A">
      <w:pPr>
        <w:pStyle w:val="Paragraphedeliste"/>
        <w:numPr>
          <w:ilvl w:val="0"/>
          <w:numId w:val="14"/>
        </w:numPr>
        <w:rPr>
          <w:sz w:val="20"/>
        </w:rPr>
      </w:pPr>
      <w:r w:rsidRPr="0071277A">
        <w:rPr>
          <w:sz w:val="20"/>
        </w:rPr>
        <w:t xml:space="preserve">Intoxication: nécrose hépatique, nécrose tubulaire rénale, hypoglycémie. </w:t>
      </w:r>
    </w:p>
    <w:p w:rsidR="0071277A" w:rsidRDefault="0071277A" w:rsidP="0071277A">
      <w:pPr>
        <w:pStyle w:val="Paragraphedeliste"/>
        <w:ind w:left="1440"/>
        <w:rPr>
          <w:sz w:val="20"/>
        </w:rPr>
      </w:pPr>
      <w:r w:rsidRPr="0071277A">
        <w:rPr>
          <w:sz w:val="20"/>
        </w:rPr>
        <w:t>Antidote</w:t>
      </w:r>
      <w:r>
        <w:rPr>
          <w:sz w:val="20"/>
        </w:rPr>
        <w:t> :</w:t>
      </w:r>
      <w:r w:rsidRPr="0071277A">
        <w:rPr>
          <w:sz w:val="20"/>
        </w:rPr>
        <w:t xml:space="preserve"> </w:t>
      </w:r>
      <w:r w:rsidRPr="0071277A">
        <w:rPr>
          <w:sz w:val="20"/>
          <w:highlight w:val="yellow"/>
        </w:rPr>
        <w:t>acétyl-cystéine</w:t>
      </w:r>
      <w:r>
        <w:rPr>
          <w:sz w:val="20"/>
        </w:rPr>
        <w:t xml:space="preserve"> (devient glutathione permettant détoxification</w:t>
      </w:r>
      <w:r w:rsidR="00742A1E">
        <w:rPr>
          <w:sz w:val="20"/>
        </w:rPr>
        <w:t xml:space="preserve"> </w:t>
      </w:r>
      <w:r>
        <w:rPr>
          <w:sz w:val="20"/>
        </w:rPr>
        <w:t>de NAPQI)</w:t>
      </w:r>
    </w:p>
    <w:p w:rsidR="0071277A" w:rsidRDefault="0071277A" w:rsidP="00742A1E">
      <w:pPr>
        <w:spacing w:after="0"/>
        <w:rPr>
          <w:sz w:val="20"/>
        </w:rPr>
      </w:pPr>
      <w:r>
        <w:rPr>
          <w:sz w:val="20"/>
        </w:rPr>
        <w:t xml:space="preserve">Dérivés de l’acide propionique : </w:t>
      </w:r>
      <w:r w:rsidRPr="0071277A">
        <w:rPr>
          <w:sz w:val="20"/>
        </w:rPr>
        <w:t xml:space="preserve">propriétés analgésique anti-inflammatoire, </w:t>
      </w:r>
      <w:r>
        <w:rPr>
          <w:sz w:val="20"/>
        </w:rPr>
        <w:t xml:space="preserve">antipyrétique. </w:t>
      </w:r>
      <w:r w:rsidRPr="0071277A">
        <w:rPr>
          <w:sz w:val="20"/>
        </w:rPr>
        <w:t>COX non sélectifs</w:t>
      </w:r>
    </w:p>
    <w:p w:rsidR="0071277A" w:rsidRDefault="00742A1E" w:rsidP="00742A1E">
      <w:pPr>
        <w:pStyle w:val="Paragraphedeliste"/>
        <w:numPr>
          <w:ilvl w:val="0"/>
          <w:numId w:val="1"/>
        </w:numPr>
        <w:spacing w:after="0"/>
        <w:rPr>
          <w:sz w:val="20"/>
        </w:rPr>
      </w:pPr>
      <w:r>
        <w:rPr>
          <w:sz w:val="20"/>
        </w:rPr>
        <w:t xml:space="preserve">Ibuprufen : ½ vie courte, indiquée pour </w:t>
      </w:r>
      <w:r w:rsidRPr="00742A1E">
        <w:rPr>
          <w:sz w:val="20"/>
        </w:rPr>
        <w:t>arthrite, douleurs, dysménorrhée,..</w:t>
      </w:r>
      <w:r>
        <w:rPr>
          <w:sz w:val="20"/>
        </w:rPr>
        <w:t xml:space="preserve"> faiblement COX-1 sélectif</w:t>
      </w:r>
    </w:p>
    <w:p w:rsidR="00742A1E" w:rsidRDefault="00742A1E" w:rsidP="00742A1E">
      <w:pPr>
        <w:pStyle w:val="Paragraphedeliste"/>
        <w:numPr>
          <w:ilvl w:val="0"/>
          <w:numId w:val="1"/>
        </w:numPr>
        <w:rPr>
          <w:sz w:val="20"/>
        </w:rPr>
      </w:pPr>
      <w:r w:rsidRPr="00742A1E">
        <w:rPr>
          <w:sz w:val="20"/>
          <w:highlight w:val="yellow"/>
        </w:rPr>
        <w:t>Naproxène</w:t>
      </w:r>
      <w:r w:rsidRPr="00742A1E">
        <w:rPr>
          <w:sz w:val="20"/>
        </w:rPr>
        <w:t xml:space="preserve"> : ½ vie variable, </w:t>
      </w:r>
      <w:r>
        <w:rPr>
          <w:sz w:val="20"/>
        </w:rPr>
        <w:t>légèrement plus efficace.</w:t>
      </w:r>
      <w:r w:rsidRPr="00742A1E">
        <w:rPr>
          <w:sz w:val="20"/>
        </w:rPr>
        <w:t xml:space="preserve"> Inhibition plaquettaire variable (diminution du risque relatif d’infarctus)</w:t>
      </w:r>
    </w:p>
    <w:p w:rsidR="00742A1E" w:rsidRDefault="00742A1E" w:rsidP="00742A1E">
      <w:pPr>
        <w:spacing w:after="0"/>
        <w:rPr>
          <w:sz w:val="20"/>
        </w:rPr>
      </w:pPr>
      <w:r>
        <w:rPr>
          <w:sz w:val="20"/>
        </w:rPr>
        <w:t xml:space="preserve">Dérivés de l’acide acétique – </w:t>
      </w:r>
      <w:r w:rsidRPr="00742A1E">
        <w:rPr>
          <w:sz w:val="20"/>
          <w:highlight w:val="yellow"/>
        </w:rPr>
        <w:t>diclofénac</w:t>
      </w:r>
      <w:r>
        <w:rPr>
          <w:sz w:val="20"/>
        </w:rPr>
        <w:t> :</w:t>
      </w:r>
      <w:r w:rsidRPr="00742A1E">
        <w:rPr>
          <w:sz w:val="20"/>
        </w:rPr>
        <w:t xml:space="preserve"> sélectivité COX2</w:t>
      </w:r>
      <w:r w:rsidR="00C8106D">
        <w:rPr>
          <w:sz w:val="20"/>
        </w:rPr>
        <w:t xml:space="preserve"> comme -coxibs</w:t>
      </w:r>
    </w:p>
    <w:p w:rsidR="00742A1E" w:rsidRDefault="00742A1E" w:rsidP="00742A1E">
      <w:pPr>
        <w:pStyle w:val="Paragraphedeliste"/>
        <w:numPr>
          <w:ilvl w:val="0"/>
          <w:numId w:val="1"/>
        </w:numPr>
        <w:spacing w:after="0"/>
        <w:rPr>
          <w:sz w:val="20"/>
        </w:rPr>
      </w:pPr>
      <w:r w:rsidRPr="00742A1E">
        <w:rPr>
          <w:sz w:val="20"/>
        </w:rPr>
        <w:t>Effets :</w:t>
      </w:r>
      <w:r w:rsidRPr="00742A1E">
        <w:t xml:space="preserve"> </w:t>
      </w:r>
      <w:r w:rsidRPr="00742A1E">
        <w:rPr>
          <w:sz w:val="20"/>
        </w:rPr>
        <w:t xml:space="preserve">Analgésique, anti-inflammatoire, antipyrétique </w:t>
      </w:r>
    </w:p>
    <w:p w:rsidR="00742A1E" w:rsidRPr="00742A1E" w:rsidRDefault="00742A1E" w:rsidP="00742A1E">
      <w:pPr>
        <w:pStyle w:val="Paragraphedeliste"/>
        <w:numPr>
          <w:ilvl w:val="0"/>
          <w:numId w:val="1"/>
        </w:numPr>
        <w:rPr>
          <w:sz w:val="20"/>
        </w:rPr>
      </w:pPr>
      <w:r>
        <w:rPr>
          <w:sz w:val="20"/>
        </w:rPr>
        <w:t>Pharmacocinétique : ½ vie courte, s’accumule dans liquide synovial</w:t>
      </w:r>
    </w:p>
    <w:p w:rsidR="00742A1E" w:rsidRDefault="00742A1E" w:rsidP="00742A1E">
      <w:pPr>
        <w:pStyle w:val="Paragraphedeliste"/>
        <w:numPr>
          <w:ilvl w:val="0"/>
          <w:numId w:val="1"/>
        </w:numPr>
        <w:rPr>
          <w:sz w:val="20"/>
        </w:rPr>
      </w:pPr>
      <w:r>
        <w:rPr>
          <w:sz w:val="20"/>
        </w:rPr>
        <w:t>Effets 2° : effets GI chez 20% des patients</w:t>
      </w:r>
    </w:p>
    <w:p w:rsidR="00742A1E" w:rsidRDefault="00742A1E" w:rsidP="00742A1E">
      <w:pPr>
        <w:pStyle w:val="Paragraphedeliste"/>
        <w:numPr>
          <w:ilvl w:val="0"/>
          <w:numId w:val="1"/>
        </w:numPr>
        <w:rPr>
          <w:sz w:val="20"/>
        </w:rPr>
      </w:pPr>
      <w:r>
        <w:rPr>
          <w:sz w:val="20"/>
        </w:rPr>
        <w:t>Indications : arthrite, douleurs, céphalées</w:t>
      </w:r>
    </w:p>
    <w:p w:rsidR="00C8106D" w:rsidRDefault="00742A1E" w:rsidP="00C8106D">
      <w:pPr>
        <w:rPr>
          <w:sz w:val="20"/>
        </w:rPr>
      </w:pPr>
      <w:r>
        <w:rPr>
          <w:sz w:val="20"/>
        </w:rPr>
        <w:t xml:space="preserve">Dérivés des fénamates – </w:t>
      </w:r>
      <w:r w:rsidRPr="00742A1E">
        <w:rPr>
          <w:sz w:val="20"/>
          <w:highlight w:val="yellow"/>
        </w:rPr>
        <w:t>acide méfénamique</w:t>
      </w:r>
      <w:r>
        <w:rPr>
          <w:sz w:val="20"/>
        </w:rPr>
        <w:t xml:space="preserve"> : </w:t>
      </w:r>
      <w:r w:rsidR="00C8106D">
        <w:rPr>
          <w:sz w:val="20"/>
        </w:rPr>
        <w:t>COX non sélectif. Indiqué pour traitement de douleurs aiguës et chroniques, ½ vie plasmatique courte.</w:t>
      </w:r>
    </w:p>
    <w:p w:rsidR="00C8106D" w:rsidRDefault="00C8106D" w:rsidP="00C8106D">
      <w:pPr>
        <w:rPr>
          <w:sz w:val="20"/>
        </w:rPr>
      </w:pPr>
      <w:r>
        <w:rPr>
          <w:sz w:val="20"/>
        </w:rPr>
        <w:t>Les –coxib ne sont plus prescrits car augmentent fortement les risques de faire complications cardiovasculaires. Explication : les COX2 font plutôt prostacyclines alors que COX1 font plutôt thromboxane. Une forte inhibition du COX2 augmente les taux de TXA</w:t>
      </w:r>
      <w:r w:rsidRPr="00C8106D">
        <w:rPr>
          <w:sz w:val="20"/>
          <w:vertAlign w:val="subscript"/>
        </w:rPr>
        <w:t>2</w:t>
      </w:r>
      <w:r>
        <w:rPr>
          <w:sz w:val="20"/>
        </w:rPr>
        <w:t xml:space="preserve"> et donc les risques cardio-vasculaires (risque de thrombose et infarctus).</w:t>
      </w:r>
    </w:p>
    <w:p w:rsidR="00C8106D" w:rsidRDefault="00C8106D" w:rsidP="00C8106D">
      <w:pPr>
        <w:spacing w:after="0"/>
        <w:rPr>
          <w:sz w:val="20"/>
        </w:rPr>
      </w:pPr>
      <w:r w:rsidRPr="00C8106D">
        <w:rPr>
          <w:b/>
          <w:sz w:val="20"/>
          <w:u w:val="single"/>
        </w:rPr>
        <w:t>Les risques cardiovasculaires et GI selon la sélectivité COX1/2 </w:t>
      </w:r>
      <w:r>
        <w:rPr>
          <w:sz w:val="20"/>
        </w:rPr>
        <w:t>: (généralité, mais pas toujours absolue)</w:t>
      </w:r>
    </w:p>
    <w:p w:rsidR="00C8106D" w:rsidRDefault="00C8106D" w:rsidP="00C8106D">
      <w:pPr>
        <w:pStyle w:val="Paragraphedeliste"/>
        <w:numPr>
          <w:ilvl w:val="0"/>
          <w:numId w:val="1"/>
        </w:numPr>
        <w:spacing w:after="0"/>
        <w:rPr>
          <w:sz w:val="20"/>
        </w:rPr>
      </w:pPr>
      <w:r>
        <w:rPr>
          <w:sz w:val="20"/>
        </w:rPr>
        <w:t>Les inhibiteurs de COX2 : augmentent plutôt risques cardiovasculaires. Le naproxène semble être l’AINS avec le moins de risques cardiovasculaires, recommandé chez patients avec problèmes pré-existants.</w:t>
      </w:r>
    </w:p>
    <w:p w:rsidR="00C8106D" w:rsidRDefault="00C8106D" w:rsidP="00C8106D">
      <w:pPr>
        <w:pStyle w:val="Paragraphedeliste"/>
        <w:numPr>
          <w:ilvl w:val="0"/>
          <w:numId w:val="1"/>
        </w:numPr>
        <w:rPr>
          <w:sz w:val="20"/>
        </w:rPr>
      </w:pPr>
      <w:r>
        <w:rPr>
          <w:sz w:val="20"/>
        </w:rPr>
        <w:t>Les inhibiteurs de COX1 : augmentent plutôt risques GI</w:t>
      </w:r>
    </w:p>
    <w:p w:rsidR="00C23BA9" w:rsidRDefault="00C23BA9" w:rsidP="00C23BA9">
      <w:pPr>
        <w:rPr>
          <w:sz w:val="20"/>
        </w:rPr>
      </w:pPr>
    </w:p>
    <w:p w:rsidR="00C23BA9" w:rsidRDefault="00C23BA9">
      <w:pPr>
        <w:rPr>
          <w:sz w:val="20"/>
        </w:rPr>
      </w:pPr>
      <w:r>
        <w:rPr>
          <w:sz w:val="20"/>
        </w:rPr>
        <w:br w:type="page"/>
      </w:r>
    </w:p>
    <w:p w:rsidR="00C23BA9" w:rsidRPr="00C23BA9" w:rsidRDefault="00C23BA9" w:rsidP="00C23BA9">
      <w:pPr>
        <w:jc w:val="center"/>
        <w:rPr>
          <w:b/>
        </w:rPr>
      </w:pPr>
      <w:r w:rsidRPr="00C23BA9">
        <w:rPr>
          <w:b/>
        </w:rPr>
        <w:lastRenderedPageBreak/>
        <w:t>Analgésiques morphiniques</w:t>
      </w:r>
    </w:p>
    <w:p w:rsidR="00C23BA9" w:rsidRDefault="00C23BA9" w:rsidP="00315703">
      <w:pPr>
        <w:spacing w:after="0"/>
        <w:rPr>
          <w:sz w:val="20"/>
        </w:rPr>
      </w:pPr>
      <w:r w:rsidRPr="00C23BA9">
        <w:rPr>
          <w:b/>
          <w:sz w:val="20"/>
          <w:u w:val="single"/>
        </w:rPr>
        <w:t>Définitions</w:t>
      </w:r>
      <w:r>
        <w:rPr>
          <w:sz w:val="20"/>
        </w:rPr>
        <w:t> :</w:t>
      </w:r>
      <w:r w:rsidR="00315703">
        <w:rPr>
          <w:b/>
          <w:sz w:val="20"/>
        </w:rPr>
        <w:t xml:space="preserve"> </w:t>
      </w:r>
      <w:r w:rsidR="00315703" w:rsidRPr="00315703">
        <w:rPr>
          <w:sz w:val="20"/>
        </w:rPr>
        <w:t xml:space="preserve">la douleur est la </w:t>
      </w:r>
      <w:r w:rsidRPr="00C23BA9">
        <w:rPr>
          <w:sz w:val="20"/>
        </w:rPr>
        <w:t>percep</w:t>
      </w:r>
      <w:r>
        <w:rPr>
          <w:sz w:val="20"/>
        </w:rPr>
        <w:t>ti</w:t>
      </w:r>
      <w:r w:rsidRPr="00C23BA9">
        <w:rPr>
          <w:sz w:val="20"/>
        </w:rPr>
        <w:t>on</w:t>
      </w:r>
      <w:r>
        <w:rPr>
          <w:sz w:val="20"/>
        </w:rPr>
        <w:t xml:space="preserve"> d’informations sensorielles particulières générées en périphérie (nocicepteurs) et transférés via des relais sensoriels au SNC jusqu’au cortex.</w:t>
      </w:r>
      <w:r w:rsidR="00DF506E">
        <w:rPr>
          <w:sz w:val="20"/>
        </w:rPr>
        <w:t xml:space="preserve"> Types de douleurs :</w:t>
      </w:r>
    </w:p>
    <w:p w:rsidR="00DF506E" w:rsidRDefault="00DF506E" w:rsidP="00315703">
      <w:pPr>
        <w:pStyle w:val="Paragraphedeliste"/>
        <w:numPr>
          <w:ilvl w:val="0"/>
          <w:numId w:val="1"/>
        </w:numPr>
        <w:spacing w:after="0"/>
        <w:rPr>
          <w:sz w:val="20"/>
        </w:rPr>
      </w:pPr>
      <w:r>
        <w:rPr>
          <w:sz w:val="20"/>
        </w:rPr>
        <w:t>Nociceptives :</w:t>
      </w:r>
      <w:r w:rsidRPr="00DF506E">
        <w:t xml:space="preserve"> </w:t>
      </w:r>
      <w:r>
        <w:rPr>
          <w:sz w:val="20"/>
        </w:rPr>
        <w:t>sensation aiguë due à un stimulus nociceptif, agit comme signal d’alarme pour protéger tissus de lésions supplémentaires.</w:t>
      </w:r>
      <w:r w:rsidR="00C533EC">
        <w:rPr>
          <w:sz w:val="20"/>
        </w:rPr>
        <w:t xml:space="preserve"> Opiacés efficaces.</w:t>
      </w:r>
    </w:p>
    <w:p w:rsidR="00C533EC" w:rsidRPr="00C533EC" w:rsidRDefault="00DF506E" w:rsidP="00C533EC">
      <w:pPr>
        <w:pStyle w:val="Paragraphedeliste"/>
        <w:numPr>
          <w:ilvl w:val="0"/>
          <w:numId w:val="1"/>
        </w:numPr>
        <w:rPr>
          <w:rFonts w:eastAsiaTheme="minorEastAsia"/>
          <w:sz w:val="20"/>
        </w:rPr>
      </w:pPr>
      <w:r>
        <w:rPr>
          <w:sz w:val="20"/>
        </w:rPr>
        <w:t>Spontanées : hypersensibilité à des stimuli nociceptifs, sensibilisation (allodynie, hyperalgie). Implique les médiateurs de l’inflammation.</w:t>
      </w:r>
      <w:r w:rsidR="00C533EC">
        <w:rPr>
          <w:sz w:val="20"/>
        </w:rPr>
        <w:t xml:space="preserve"> Les douleurs neuropathiques (lésions neuronales) répondent moins bien aux opiacés, se traitement par antidépresseurs.</w:t>
      </w:r>
    </w:p>
    <w:p w:rsidR="00857F7D" w:rsidRPr="00C533EC" w:rsidRDefault="00C23BA9" w:rsidP="00C533EC">
      <w:pPr>
        <w:rPr>
          <w:rFonts w:eastAsiaTheme="minorEastAsia"/>
          <w:sz w:val="20"/>
        </w:rPr>
      </w:pPr>
      <w:r w:rsidRPr="00C533EC">
        <w:rPr>
          <w:b/>
          <w:sz w:val="20"/>
          <w:u w:val="single"/>
        </w:rPr>
        <w:t>Les voies nociceptives</w:t>
      </w:r>
      <w:r w:rsidRPr="00C533EC">
        <w:rPr>
          <w:sz w:val="20"/>
        </w:rPr>
        <w:t> :</w:t>
      </w:r>
      <w:r w:rsidR="003F5ACE" w:rsidRPr="00C533EC">
        <w:rPr>
          <w:sz w:val="20"/>
        </w:rPr>
        <w:t xml:space="preserve"> on distingue plusieurs types de récepteurs aux opi</w:t>
      </w:r>
      <w:r w:rsidR="00315703" w:rsidRPr="00C533EC">
        <w:rPr>
          <w:sz w:val="20"/>
        </w:rPr>
        <w:t>acé</w:t>
      </w:r>
      <w:r w:rsidR="003F5ACE" w:rsidRPr="00C533EC">
        <w:rPr>
          <w:sz w:val="20"/>
        </w:rPr>
        <w:t xml:space="preserve">s → </w:t>
      </w:r>
      <m:oMath>
        <m:r>
          <w:rPr>
            <w:rFonts w:ascii="Cambria Math" w:hAnsi="Cambria Math"/>
            <w:sz w:val="20"/>
          </w:rPr>
          <m:t xml:space="preserve">μ </m:t>
        </m:r>
        <m:d>
          <m:dPr>
            <m:ctrlPr>
              <w:rPr>
                <w:rFonts w:ascii="Cambria Math" w:hAnsi="Cambria Math"/>
                <w:sz w:val="20"/>
              </w:rPr>
            </m:ctrlPr>
          </m:dPr>
          <m:e>
            <m:r>
              <m:rPr>
                <m:sty m:val="p"/>
              </m:rPr>
              <w:rPr>
                <w:rFonts w:ascii="Cambria Math" w:hAnsi="Cambria Math"/>
                <w:sz w:val="20"/>
              </w:rPr>
              <m:t>MOR</m:t>
            </m:r>
          </m:e>
        </m:d>
        <m:r>
          <w:rPr>
            <w:rFonts w:ascii="Cambria Math" w:hAnsi="Cambria Math"/>
            <w:sz w:val="20"/>
          </w:rPr>
          <m:t xml:space="preserve">, δ </m:t>
        </m:r>
        <m:d>
          <m:dPr>
            <m:ctrlPr>
              <w:rPr>
                <w:rFonts w:ascii="Cambria Math" w:hAnsi="Cambria Math"/>
                <w:sz w:val="20"/>
              </w:rPr>
            </m:ctrlPr>
          </m:dPr>
          <m:e>
            <m:r>
              <m:rPr>
                <m:sty m:val="p"/>
              </m:rPr>
              <w:rPr>
                <w:rFonts w:ascii="Cambria Math" w:hAnsi="Cambria Math"/>
                <w:sz w:val="20"/>
              </w:rPr>
              <m:t>DOR</m:t>
            </m:r>
          </m:e>
        </m:d>
        <m:r>
          <w:rPr>
            <w:rFonts w:ascii="Cambria Math" w:hAnsi="Cambria Math"/>
            <w:sz w:val="20"/>
          </w:rPr>
          <m:t>, κ</m:t>
        </m:r>
        <m:r>
          <m:rPr>
            <m:sty m:val="p"/>
          </m:rPr>
          <w:rPr>
            <w:rFonts w:ascii="Cambria Math" w:hAnsi="Cambria Math"/>
            <w:sz w:val="20"/>
          </w:rPr>
          <m:t>(KOR)</m:t>
        </m:r>
      </m:oMath>
      <w:r w:rsidR="003F5ACE" w:rsidRPr="00C533EC">
        <w:rPr>
          <w:rFonts w:eastAsiaTheme="minorEastAsia"/>
          <w:sz w:val="20"/>
        </w:rPr>
        <w:t>.</w:t>
      </w:r>
    </w:p>
    <w:p w:rsidR="003F5ACE" w:rsidRDefault="003F5ACE" w:rsidP="003F5ACE">
      <w:pPr>
        <w:spacing w:after="0"/>
        <w:rPr>
          <w:rFonts w:eastAsiaTheme="minorEastAsia"/>
          <w:sz w:val="20"/>
        </w:rPr>
      </w:pPr>
      <m:oMath>
        <m:r>
          <w:rPr>
            <w:rFonts w:ascii="Cambria Math" w:hAnsi="Cambria Math"/>
            <w:sz w:val="20"/>
          </w:rPr>
          <m:t>μ</m:t>
        </m:r>
      </m:oMath>
      <w:r>
        <w:rPr>
          <w:rFonts w:eastAsiaTheme="minorEastAsia"/>
          <w:sz w:val="20"/>
        </w:rPr>
        <w:t xml:space="preserve"> = récepteur principal, situé surtout dans</w:t>
      </w:r>
    </w:p>
    <w:p w:rsidR="003F5ACE" w:rsidRPr="003F5ACE" w:rsidRDefault="003F5ACE" w:rsidP="003F5ACE">
      <w:pPr>
        <w:pStyle w:val="Paragraphedeliste"/>
        <w:numPr>
          <w:ilvl w:val="0"/>
          <w:numId w:val="1"/>
        </w:numPr>
        <w:spacing w:after="0"/>
        <w:rPr>
          <w:sz w:val="20"/>
        </w:rPr>
      </w:pPr>
      <w:r w:rsidRPr="003F5ACE">
        <w:rPr>
          <w:rFonts w:eastAsiaTheme="minorEastAsia"/>
          <w:sz w:val="20"/>
        </w:rPr>
        <w:t>la zone gris</w:t>
      </w:r>
      <w:r w:rsidR="00315703">
        <w:rPr>
          <w:rFonts w:eastAsiaTheme="minorEastAsia"/>
          <w:sz w:val="20"/>
        </w:rPr>
        <w:t>e</w:t>
      </w:r>
      <w:r w:rsidRPr="003F5ACE">
        <w:rPr>
          <w:rFonts w:eastAsiaTheme="minorEastAsia"/>
          <w:sz w:val="20"/>
        </w:rPr>
        <w:t xml:space="preserve"> périaqueducale (tronc cérébral)</w:t>
      </w:r>
      <w:r>
        <w:rPr>
          <w:rFonts w:eastAsiaTheme="minorEastAsia"/>
          <w:sz w:val="20"/>
        </w:rPr>
        <w:t xml:space="preserve"> : </w:t>
      </w:r>
      <w:r w:rsidR="00315703">
        <w:rPr>
          <w:rFonts w:eastAsiaTheme="minorEastAsia"/>
          <w:sz w:val="20"/>
        </w:rPr>
        <w:t xml:space="preserve">liaison d’agoniste au récepteur </w:t>
      </w:r>
      <m:oMath>
        <m:r>
          <w:rPr>
            <w:rFonts w:ascii="Cambria Math" w:hAnsi="Cambria Math"/>
            <w:sz w:val="20"/>
          </w:rPr>
          <m:t>μ</m:t>
        </m:r>
      </m:oMath>
      <w:r w:rsidR="00315703">
        <w:rPr>
          <w:rFonts w:eastAsiaTheme="minorEastAsia"/>
          <w:sz w:val="20"/>
        </w:rPr>
        <w:t xml:space="preserve"> </w:t>
      </w:r>
      <w:r>
        <w:rPr>
          <w:rFonts w:eastAsiaTheme="minorEastAsia"/>
          <w:sz w:val="20"/>
        </w:rPr>
        <w:t>blo</w:t>
      </w:r>
      <w:r w:rsidR="00315703">
        <w:rPr>
          <w:rFonts w:eastAsiaTheme="minorEastAsia"/>
          <w:sz w:val="20"/>
        </w:rPr>
        <w:t>que</w:t>
      </w:r>
      <w:r>
        <w:rPr>
          <w:rFonts w:eastAsiaTheme="minorEastAsia"/>
          <w:sz w:val="20"/>
        </w:rPr>
        <w:t xml:space="preserve"> les voies descendantes inhibitrices (GABA)</w:t>
      </w:r>
      <w:r w:rsidR="00857F7D">
        <w:rPr>
          <w:rFonts w:eastAsiaTheme="minorEastAsia"/>
          <w:sz w:val="20"/>
        </w:rPr>
        <w:t xml:space="preserve">. Ceci permet d’activer </w:t>
      </w:r>
      <w:r w:rsidR="00315703">
        <w:rPr>
          <w:rFonts w:eastAsiaTheme="minorEastAsia"/>
          <w:sz w:val="20"/>
        </w:rPr>
        <w:t>voies descendantes médullaires et de libérer de la NA/5-HT dans la corne dorsale ; ces neurotransmetteurs diminuent l’excitabilité des interneurones et ralentissent la transmission de signaux douloureux (voie spinothalamique).</w:t>
      </w:r>
    </w:p>
    <w:p w:rsidR="00315703" w:rsidRPr="00315703" w:rsidRDefault="00857F7D" w:rsidP="003F5ACE">
      <w:pPr>
        <w:pStyle w:val="Paragraphedeliste"/>
        <w:numPr>
          <w:ilvl w:val="0"/>
          <w:numId w:val="1"/>
        </w:numPr>
        <w:rPr>
          <w:sz w:val="20"/>
        </w:rPr>
      </w:pPr>
      <w:r>
        <w:rPr>
          <w:rFonts w:eastAsiaTheme="minorEastAsia"/>
          <w:sz w:val="20"/>
        </w:rPr>
        <w:t>le corne dorsale méd</w:t>
      </w:r>
      <w:r w:rsidR="003F5ACE">
        <w:rPr>
          <w:rFonts w:eastAsiaTheme="minorEastAsia"/>
          <w:sz w:val="20"/>
        </w:rPr>
        <w:t>ullaire :</w:t>
      </w:r>
      <w:r w:rsidR="00315703" w:rsidRPr="00315703">
        <w:rPr>
          <w:rFonts w:eastAsiaTheme="minorEastAsia"/>
          <w:sz w:val="20"/>
        </w:rPr>
        <w:t xml:space="preserve"> </w:t>
      </w:r>
      <w:r w:rsidR="00315703">
        <w:rPr>
          <w:rFonts w:eastAsiaTheme="minorEastAsia"/>
          <w:sz w:val="20"/>
        </w:rPr>
        <w:t>récepteur peut se trouver sur</w:t>
      </w:r>
    </w:p>
    <w:p w:rsidR="003F5ACE" w:rsidRPr="00315703" w:rsidRDefault="00315703" w:rsidP="00315703">
      <w:pPr>
        <w:pStyle w:val="Paragraphedeliste"/>
        <w:numPr>
          <w:ilvl w:val="0"/>
          <w:numId w:val="14"/>
        </w:numPr>
        <w:rPr>
          <w:sz w:val="20"/>
        </w:rPr>
      </w:pPr>
      <w:r>
        <w:rPr>
          <w:rFonts w:eastAsiaTheme="minorEastAsia"/>
          <w:sz w:val="20"/>
        </w:rPr>
        <w:t>fibre C-terminale : diminue la libération de neurotransmetteurs par blocage des canaux calciques (= blocage de la dépolarisation). Empêche de transmettre signal nociceptif</w:t>
      </w:r>
    </w:p>
    <w:p w:rsidR="00315703" w:rsidRPr="003F5ACE" w:rsidRDefault="00315703" w:rsidP="00315703">
      <w:pPr>
        <w:pStyle w:val="Paragraphedeliste"/>
        <w:numPr>
          <w:ilvl w:val="0"/>
          <w:numId w:val="14"/>
        </w:numPr>
        <w:rPr>
          <w:sz w:val="20"/>
        </w:rPr>
      </w:pPr>
      <w:r>
        <w:rPr>
          <w:rFonts w:eastAsiaTheme="minorEastAsia"/>
          <w:sz w:val="20"/>
        </w:rPr>
        <w:t>interneurone dans corne dorsale : diminution de l’excitabilité par activation des canaux potassiques (induit hyperpolarisation).</w:t>
      </w:r>
    </w:p>
    <w:p w:rsidR="00C23BA9" w:rsidRDefault="00C23BA9" w:rsidP="00EC2DFC">
      <w:pPr>
        <w:spacing w:after="0"/>
        <w:rPr>
          <w:sz w:val="20"/>
        </w:rPr>
      </w:pPr>
      <w:r w:rsidRPr="00C23BA9">
        <w:rPr>
          <w:b/>
          <w:sz w:val="20"/>
          <w:u w:val="single"/>
        </w:rPr>
        <w:t>Les analgésiques morphiniques</w:t>
      </w:r>
      <w:r>
        <w:rPr>
          <w:sz w:val="20"/>
        </w:rPr>
        <w:t> :</w:t>
      </w:r>
    </w:p>
    <w:p w:rsidR="00F35AFC" w:rsidRPr="00F35AFC" w:rsidRDefault="00C23BA9" w:rsidP="00F35AFC">
      <w:pPr>
        <w:spacing w:after="0"/>
        <w:rPr>
          <w:sz w:val="20"/>
        </w:rPr>
      </w:pPr>
      <w:r w:rsidRPr="00F35AFC">
        <w:rPr>
          <w:b/>
          <w:sz w:val="20"/>
        </w:rPr>
        <w:t>Catégories</w:t>
      </w:r>
      <w:r w:rsidRPr="00F35AFC">
        <w:rPr>
          <w:sz w:val="20"/>
        </w:rPr>
        <w:t> :</w:t>
      </w:r>
      <w:r w:rsidR="00F35AFC" w:rsidRPr="00F35AFC">
        <w:rPr>
          <w:sz w:val="20"/>
        </w:rPr>
        <w:t xml:space="preserve"> </w:t>
      </w:r>
    </w:p>
    <w:p w:rsidR="00F35AFC" w:rsidRPr="00315703" w:rsidRDefault="00F35AFC" w:rsidP="00F35AFC">
      <w:pPr>
        <w:pStyle w:val="Paragraphedeliste"/>
        <w:numPr>
          <w:ilvl w:val="0"/>
          <w:numId w:val="1"/>
        </w:numPr>
        <w:spacing w:after="0"/>
        <w:rPr>
          <w:sz w:val="20"/>
        </w:rPr>
      </w:pPr>
      <w:r w:rsidRPr="00315703">
        <w:rPr>
          <w:sz w:val="20"/>
        </w:rPr>
        <w:t>Opi</w:t>
      </w:r>
      <w:r>
        <w:rPr>
          <w:sz w:val="20"/>
        </w:rPr>
        <w:t>acé</w:t>
      </w:r>
      <w:r w:rsidRPr="00315703">
        <w:rPr>
          <w:sz w:val="20"/>
        </w:rPr>
        <w:t>s naturels: extraits de certains pavots (o</w:t>
      </w:r>
      <w:r>
        <w:rPr>
          <w:sz w:val="20"/>
        </w:rPr>
        <w:t>pium produit &gt; 20 alcaloïdes distincts)</w:t>
      </w:r>
    </w:p>
    <w:p w:rsidR="00F35AFC" w:rsidRPr="0034378F" w:rsidRDefault="00F35AFC" w:rsidP="00F35AFC">
      <w:pPr>
        <w:pStyle w:val="Paragraphedeliste"/>
        <w:numPr>
          <w:ilvl w:val="0"/>
          <w:numId w:val="15"/>
        </w:numPr>
        <w:rPr>
          <w:sz w:val="20"/>
        </w:rPr>
      </w:pPr>
      <w:r w:rsidRPr="0034378F">
        <w:rPr>
          <w:sz w:val="20"/>
        </w:rPr>
        <w:t>Morphine</w:t>
      </w:r>
      <w:r w:rsidR="0034378F" w:rsidRPr="0034378F">
        <w:rPr>
          <w:sz w:val="20"/>
        </w:rPr>
        <w:t>, c</w:t>
      </w:r>
      <w:r w:rsidRPr="0034378F">
        <w:rPr>
          <w:sz w:val="20"/>
        </w:rPr>
        <w:t>odéine</w:t>
      </w:r>
      <w:r w:rsidR="0034378F" w:rsidRPr="0034378F">
        <w:rPr>
          <w:sz w:val="20"/>
        </w:rPr>
        <w:t>, n</w:t>
      </w:r>
      <w:r w:rsidRPr="0034378F">
        <w:rPr>
          <w:sz w:val="20"/>
        </w:rPr>
        <w:t>oscapine</w:t>
      </w:r>
      <w:r w:rsidR="0034378F" w:rsidRPr="0034378F">
        <w:rPr>
          <w:sz w:val="20"/>
        </w:rPr>
        <w:t xml:space="preserve">, </w:t>
      </w:r>
      <w:r w:rsidR="0034378F">
        <w:rPr>
          <w:sz w:val="20"/>
        </w:rPr>
        <w:t>p</w:t>
      </w:r>
      <w:r w:rsidRPr="0034378F">
        <w:rPr>
          <w:sz w:val="20"/>
        </w:rPr>
        <w:t>apavérine</w:t>
      </w:r>
    </w:p>
    <w:p w:rsidR="00F35AFC" w:rsidRPr="00315703" w:rsidRDefault="00F35AFC" w:rsidP="00F35AFC">
      <w:pPr>
        <w:pStyle w:val="Paragraphedeliste"/>
        <w:numPr>
          <w:ilvl w:val="0"/>
          <w:numId w:val="1"/>
        </w:numPr>
        <w:rPr>
          <w:sz w:val="20"/>
        </w:rPr>
      </w:pPr>
      <w:r>
        <w:rPr>
          <w:sz w:val="20"/>
        </w:rPr>
        <w:t>Opioïdes (de synthèse) :</w:t>
      </w:r>
    </w:p>
    <w:p w:rsidR="00F35AFC" w:rsidRDefault="00F35AFC" w:rsidP="00F35AFC">
      <w:pPr>
        <w:pStyle w:val="Paragraphedeliste"/>
        <w:numPr>
          <w:ilvl w:val="0"/>
          <w:numId w:val="17"/>
        </w:numPr>
        <w:rPr>
          <w:sz w:val="20"/>
        </w:rPr>
      </w:pPr>
      <w:r>
        <w:rPr>
          <w:sz w:val="20"/>
        </w:rPr>
        <w:t>O</w:t>
      </w:r>
      <w:r w:rsidRPr="00315703">
        <w:rPr>
          <w:sz w:val="20"/>
        </w:rPr>
        <w:t xml:space="preserve">piacés analgésiques (la majorité des agonistes) : </w:t>
      </w:r>
      <w:r>
        <w:rPr>
          <w:sz w:val="20"/>
        </w:rPr>
        <w:t>buprénorphine, fentanyl, etc…</w:t>
      </w:r>
    </w:p>
    <w:p w:rsidR="00F35AFC" w:rsidRPr="00315703" w:rsidRDefault="00F35AFC" w:rsidP="00F35AFC">
      <w:pPr>
        <w:pStyle w:val="Paragraphedeliste"/>
        <w:numPr>
          <w:ilvl w:val="0"/>
          <w:numId w:val="17"/>
        </w:numPr>
        <w:rPr>
          <w:sz w:val="20"/>
        </w:rPr>
      </w:pPr>
      <w:r w:rsidRPr="00315703">
        <w:rPr>
          <w:sz w:val="20"/>
        </w:rPr>
        <w:t>Opiacés non analgésiques : antitussifs (dextrométhorphane), antidiarrhéiques (lopéramide)</w:t>
      </w:r>
    </w:p>
    <w:p w:rsidR="00C23BA9" w:rsidRDefault="00C23BA9" w:rsidP="00F35AFC">
      <w:pPr>
        <w:spacing w:after="0"/>
        <w:rPr>
          <w:sz w:val="20"/>
        </w:rPr>
      </w:pPr>
      <w:r w:rsidRPr="00F35AFC">
        <w:rPr>
          <w:b/>
          <w:sz w:val="20"/>
        </w:rPr>
        <w:t>Récepteurs</w:t>
      </w:r>
      <w:r>
        <w:rPr>
          <w:sz w:val="20"/>
        </w:rPr>
        <w:t> :</w:t>
      </w:r>
      <w:r w:rsidR="00F35AFC">
        <w:rPr>
          <w:sz w:val="20"/>
        </w:rPr>
        <w:t xml:space="preserve"> les récepteurs aux opiacés sont des GPCR. Mécanisme de transduction du signal :</w:t>
      </w:r>
    </w:p>
    <w:p w:rsidR="00F35AFC" w:rsidRPr="00F35AFC" w:rsidRDefault="00F35AFC" w:rsidP="00F35AFC">
      <w:pPr>
        <w:pStyle w:val="Paragraphedeliste"/>
        <w:numPr>
          <w:ilvl w:val="0"/>
          <w:numId w:val="1"/>
        </w:numPr>
        <w:spacing w:after="0"/>
        <w:rPr>
          <w:sz w:val="20"/>
        </w:rPr>
      </w:pPr>
      <w:r w:rsidRPr="00F35AFC">
        <w:rPr>
          <w:sz w:val="20"/>
        </w:rPr>
        <w:t>Inhibit</w:t>
      </w:r>
      <w:r>
        <w:rPr>
          <w:sz w:val="20"/>
        </w:rPr>
        <w:t>ion de l’excitabilité neuronale</w:t>
      </w:r>
    </w:p>
    <w:p w:rsidR="00F35AFC" w:rsidRPr="00F35AFC" w:rsidRDefault="00F35AFC" w:rsidP="00F35AFC">
      <w:pPr>
        <w:pStyle w:val="Paragraphedeliste"/>
        <w:numPr>
          <w:ilvl w:val="0"/>
          <w:numId w:val="1"/>
        </w:numPr>
        <w:rPr>
          <w:sz w:val="20"/>
        </w:rPr>
      </w:pPr>
      <w:r w:rsidRPr="00F35AFC">
        <w:rPr>
          <w:sz w:val="20"/>
        </w:rPr>
        <w:t>In</w:t>
      </w:r>
      <w:r>
        <w:rPr>
          <w:sz w:val="20"/>
        </w:rPr>
        <w:t>hibition de l'adénylate cyclase</w:t>
      </w:r>
    </w:p>
    <w:p w:rsidR="00F35AFC" w:rsidRPr="00F35AFC" w:rsidRDefault="00F35AFC" w:rsidP="00F35AFC">
      <w:pPr>
        <w:pStyle w:val="Paragraphedeliste"/>
        <w:numPr>
          <w:ilvl w:val="0"/>
          <w:numId w:val="1"/>
        </w:numPr>
        <w:rPr>
          <w:sz w:val="20"/>
        </w:rPr>
      </w:pPr>
      <w:r>
        <w:rPr>
          <w:sz w:val="20"/>
        </w:rPr>
        <w:t>Activation des canaux K</w:t>
      </w:r>
      <w:r w:rsidRPr="00F35AFC">
        <w:rPr>
          <w:sz w:val="20"/>
          <w:vertAlign w:val="superscript"/>
        </w:rPr>
        <w:t>+</w:t>
      </w:r>
    </w:p>
    <w:p w:rsidR="00F35AFC" w:rsidRPr="00F35AFC" w:rsidRDefault="00F35AFC" w:rsidP="00F35AFC">
      <w:pPr>
        <w:pStyle w:val="Paragraphedeliste"/>
        <w:numPr>
          <w:ilvl w:val="0"/>
          <w:numId w:val="1"/>
        </w:numPr>
        <w:spacing w:after="0"/>
        <w:rPr>
          <w:sz w:val="20"/>
        </w:rPr>
      </w:pPr>
      <w:r w:rsidRPr="00F35AFC">
        <w:rPr>
          <w:sz w:val="20"/>
        </w:rPr>
        <w:t>Inhibition des canaux Ca</w:t>
      </w:r>
      <w:r w:rsidRPr="00F35AFC">
        <w:rPr>
          <w:sz w:val="20"/>
          <w:vertAlign w:val="superscript"/>
        </w:rPr>
        <w:t>2+</w:t>
      </w:r>
    </w:p>
    <w:p w:rsidR="00F35AFC" w:rsidRDefault="00407842" w:rsidP="00F35AFC">
      <w:pPr>
        <w:spacing w:after="0"/>
        <w:rPr>
          <w:sz w:val="20"/>
        </w:rPr>
      </w:pPr>
      <w:r>
        <w:rPr>
          <w:sz w:val="20"/>
        </w:rPr>
        <w:t>La liaison du ligand à son récepteur augmente aussi l’expression de molécules comme arrestins, calmoduline, clathrine etc.</w:t>
      </w:r>
      <w:r w:rsidR="00F35AFC">
        <w:rPr>
          <w:sz w:val="20"/>
        </w:rPr>
        <w:t xml:space="preserve"> </w:t>
      </w:r>
      <w:r>
        <w:rPr>
          <w:sz w:val="20"/>
        </w:rPr>
        <w:t>qui modulent l’expression et</w:t>
      </w:r>
      <w:r w:rsidR="00F35AFC">
        <w:rPr>
          <w:sz w:val="20"/>
        </w:rPr>
        <w:t xml:space="preserve"> le trafic des récepteurs</w:t>
      </w:r>
      <w:r>
        <w:rPr>
          <w:sz w:val="20"/>
        </w:rPr>
        <w:t xml:space="preserve"> (rétrocontrôle négatif).</w:t>
      </w:r>
      <w:r w:rsidR="00F35AFC">
        <w:rPr>
          <w:sz w:val="20"/>
        </w:rPr>
        <w:t xml:space="preserve"> </w:t>
      </w:r>
    </w:p>
    <w:p w:rsidR="00F35AFC" w:rsidRPr="00F35AFC" w:rsidRDefault="00F35AFC" w:rsidP="00F35AFC">
      <w:pPr>
        <w:spacing w:after="0"/>
        <w:rPr>
          <w:sz w:val="20"/>
        </w:rPr>
      </w:pPr>
    </w:p>
    <w:p w:rsidR="00C23BA9" w:rsidRDefault="00F35AFC" w:rsidP="00F35AFC">
      <w:pPr>
        <w:spacing w:after="0"/>
        <w:rPr>
          <w:sz w:val="20"/>
        </w:rPr>
      </w:pPr>
      <w:r w:rsidRPr="00F35AFC">
        <w:rPr>
          <w:b/>
          <w:sz w:val="20"/>
        </w:rPr>
        <w:t>Profil fonctionnel des récepteurs aux opiacés</w:t>
      </w:r>
      <w:r w:rsidR="00C23BA9">
        <w:rPr>
          <w:sz w:val="20"/>
        </w:rPr>
        <w:t> :</w:t>
      </w:r>
    </w:p>
    <w:p w:rsidR="00F35AFC" w:rsidRPr="00F35AFC" w:rsidRDefault="00F35AFC" w:rsidP="00F35AFC">
      <w:pPr>
        <w:pStyle w:val="Paragraphedeliste"/>
        <w:numPr>
          <w:ilvl w:val="0"/>
          <w:numId w:val="1"/>
        </w:numPr>
        <w:spacing w:after="0"/>
        <w:rPr>
          <w:sz w:val="20"/>
        </w:rPr>
      </w:pPr>
      <m:oMath>
        <m:r>
          <w:rPr>
            <w:rFonts w:ascii="Cambria Math" w:hAnsi="Cambria Math"/>
            <w:sz w:val="20"/>
          </w:rPr>
          <m:t>μ </m:t>
        </m:r>
      </m:oMath>
      <w:r w:rsidRPr="00F35AFC">
        <w:rPr>
          <w:rFonts w:eastAsiaTheme="minorEastAsia"/>
          <w:sz w:val="20"/>
        </w:rPr>
        <w:t>:</w:t>
      </w:r>
      <w:r>
        <w:rPr>
          <w:rFonts w:eastAsiaTheme="minorEastAsia"/>
          <w:sz w:val="20"/>
        </w:rPr>
        <w:t xml:space="preserve"> ↓respiration, sécrétion d’ACh inhibée, ↑prolactine</w:t>
      </w:r>
    </w:p>
    <w:p w:rsidR="00F35AFC" w:rsidRPr="00F35AFC" w:rsidRDefault="00F35AFC" w:rsidP="00F35AFC">
      <w:pPr>
        <w:pStyle w:val="Paragraphedeliste"/>
        <w:numPr>
          <w:ilvl w:val="0"/>
          <w:numId w:val="1"/>
        </w:numPr>
        <w:rPr>
          <w:sz w:val="20"/>
        </w:rPr>
      </w:pPr>
      <m:oMath>
        <m:r>
          <w:rPr>
            <w:rFonts w:ascii="Cambria Math" w:hAnsi="Cambria Math"/>
            <w:sz w:val="20"/>
          </w:rPr>
          <m:t>μ, δ </m:t>
        </m:r>
      </m:oMath>
      <w:r w:rsidRPr="00F35AFC">
        <w:rPr>
          <w:rFonts w:eastAsiaTheme="minorEastAsia"/>
          <w:sz w:val="20"/>
        </w:rPr>
        <w:t>:</w:t>
      </w:r>
      <w:r>
        <w:rPr>
          <w:rFonts w:eastAsiaTheme="minorEastAsia"/>
          <w:sz w:val="20"/>
        </w:rPr>
        <w:t xml:space="preserve"> sécrétion de DA inhibée</w:t>
      </w:r>
    </w:p>
    <w:p w:rsidR="00F35AFC" w:rsidRPr="00F35AFC" w:rsidRDefault="00F35AFC" w:rsidP="00F35AFC">
      <w:pPr>
        <w:pStyle w:val="Paragraphedeliste"/>
        <w:numPr>
          <w:ilvl w:val="0"/>
          <w:numId w:val="1"/>
        </w:numPr>
        <w:rPr>
          <w:sz w:val="20"/>
        </w:rPr>
      </w:pPr>
      <m:oMath>
        <m:r>
          <w:rPr>
            <w:rFonts w:ascii="Cambria Math" w:hAnsi="Cambria Math"/>
            <w:sz w:val="20"/>
          </w:rPr>
          <m:t>μ, κ</m:t>
        </m:r>
      </m:oMath>
      <w:r>
        <w:rPr>
          <w:rFonts w:eastAsiaTheme="minorEastAsia"/>
          <w:sz w:val="20"/>
        </w:rPr>
        <w:t xml:space="preserve"> : ↓motilité GI et sédation</w:t>
      </w:r>
    </w:p>
    <w:p w:rsidR="00F35AFC" w:rsidRPr="00F35AFC" w:rsidRDefault="00F35AFC" w:rsidP="00F35AFC">
      <w:pPr>
        <w:pStyle w:val="Paragraphedeliste"/>
        <w:numPr>
          <w:ilvl w:val="0"/>
          <w:numId w:val="1"/>
        </w:numPr>
        <w:rPr>
          <w:sz w:val="20"/>
        </w:rPr>
      </w:pPr>
      <m:oMath>
        <m:r>
          <w:rPr>
            <w:rFonts w:ascii="Cambria Math" w:hAnsi="Cambria Math"/>
            <w:sz w:val="20"/>
          </w:rPr>
          <m:t>μ, δ, κ </m:t>
        </m:r>
      </m:oMath>
      <w:r>
        <w:rPr>
          <w:rFonts w:eastAsiaTheme="minorEastAsia"/>
          <w:sz w:val="20"/>
        </w:rPr>
        <w:t>: analgésie, prise de nourriture</w:t>
      </w:r>
    </w:p>
    <w:p w:rsidR="0034378F" w:rsidRDefault="00F35AFC" w:rsidP="00C23BA9">
      <w:pPr>
        <w:rPr>
          <w:rFonts w:eastAsiaTheme="minorEastAsia"/>
          <w:sz w:val="20"/>
        </w:rPr>
      </w:pPr>
      <w:r>
        <w:rPr>
          <w:sz w:val="20"/>
        </w:rPr>
        <w:t>La majorité d</w:t>
      </w:r>
      <w:r w:rsidR="0034378F">
        <w:rPr>
          <w:sz w:val="20"/>
        </w:rPr>
        <w:t xml:space="preserve">es agonistes, ainsi que les agonistes partiels se lient préférentiellement au récepteur </w:t>
      </w:r>
      <m:oMath>
        <m:r>
          <w:rPr>
            <w:rFonts w:ascii="Cambria Math" w:hAnsi="Cambria Math"/>
            <w:sz w:val="20"/>
          </w:rPr>
          <m:t>μ</m:t>
        </m:r>
      </m:oMath>
      <w:r w:rsidR="0034378F">
        <w:rPr>
          <w:rFonts w:eastAsiaTheme="minorEastAsia"/>
          <w:sz w:val="20"/>
        </w:rPr>
        <w:t>. Rappel : un agoniste partiel a une efficacité plus basse (i.e. effet max moins marqué. L’efficacité n’est pas à confondre avec la puissance, i.e. la dose nécessaire pour avoir la moitié de l’effet max).</w:t>
      </w:r>
      <w:r w:rsidR="0034378F" w:rsidRPr="0034378F">
        <w:rPr>
          <w:rFonts w:eastAsiaTheme="minorEastAsia"/>
          <w:sz w:val="20"/>
        </w:rPr>
        <w:t xml:space="preserve"> </w:t>
      </w:r>
      <w:r w:rsidR="0034378F">
        <w:rPr>
          <w:rFonts w:eastAsiaTheme="minorEastAsia"/>
          <w:sz w:val="20"/>
        </w:rPr>
        <w:t>La naloxone est un antagoniste similaire à la morphine.</w:t>
      </w:r>
      <w:r w:rsidR="00407842">
        <w:rPr>
          <w:rFonts w:eastAsiaTheme="minorEastAsia"/>
          <w:sz w:val="20"/>
        </w:rPr>
        <w:t xml:space="preserve"> </w:t>
      </w:r>
      <w:r w:rsidR="0034378F">
        <w:rPr>
          <w:rFonts w:eastAsiaTheme="minorEastAsia"/>
          <w:sz w:val="20"/>
        </w:rPr>
        <w:t xml:space="preserve">Pour les peptides endogènes (stimulés par stress, sport et autres activités diverses) : les encéphalines se lient plutôt au récepteur </w:t>
      </w:r>
      <m:oMath>
        <m:r>
          <w:rPr>
            <w:rFonts w:ascii="Cambria Math" w:hAnsi="Cambria Math"/>
            <w:sz w:val="20"/>
          </w:rPr>
          <m:t>δ</m:t>
        </m:r>
      </m:oMath>
      <w:r w:rsidR="0034378F">
        <w:rPr>
          <w:rFonts w:eastAsiaTheme="minorEastAsia"/>
          <w:sz w:val="20"/>
        </w:rPr>
        <w:t xml:space="preserve">, et la dynorphine au récepteur </w:t>
      </w:r>
      <m:oMath>
        <m:r>
          <w:rPr>
            <w:rFonts w:ascii="Cambria Math" w:hAnsi="Cambria Math"/>
            <w:sz w:val="20"/>
          </w:rPr>
          <m:t>κ</m:t>
        </m:r>
      </m:oMath>
      <w:r w:rsidR="0034378F">
        <w:rPr>
          <w:rFonts w:eastAsiaTheme="minorEastAsia"/>
          <w:sz w:val="20"/>
        </w:rPr>
        <w:t>.</w:t>
      </w:r>
    </w:p>
    <w:p w:rsidR="00C23BA9" w:rsidRDefault="0034378F" w:rsidP="00C23BA9">
      <w:pPr>
        <w:rPr>
          <w:sz w:val="20"/>
        </w:rPr>
      </w:pPr>
      <w:r>
        <w:rPr>
          <w:rFonts w:eastAsiaTheme="minorEastAsia"/>
          <w:sz w:val="20"/>
        </w:rPr>
        <w:br w:type="page"/>
      </w:r>
      <w:r w:rsidRPr="0034378F">
        <w:rPr>
          <w:b/>
          <w:sz w:val="20"/>
        </w:rPr>
        <w:lastRenderedPageBreak/>
        <w:t>Effets des analgésiques morphiniques</w:t>
      </w:r>
      <w:r>
        <w:rPr>
          <w:sz w:val="20"/>
        </w:rPr>
        <w:t> :</w:t>
      </w:r>
    </w:p>
    <w:tbl>
      <w:tblPr>
        <w:tblStyle w:val="Grilledutableau"/>
        <w:tblW w:w="10916" w:type="dxa"/>
        <w:tblInd w:w="-743" w:type="dxa"/>
        <w:tblLook w:val="04A0" w:firstRow="1" w:lastRow="0" w:firstColumn="1" w:lastColumn="0" w:noHBand="0" w:noVBand="1"/>
      </w:tblPr>
      <w:tblGrid>
        <w:gridCol w:w="5954"/>
        <w:gridCol w:w="4962"/>
      </w:tblGrid>
      <w:tr w:rsidR="0034378F" w:rsidTr="002B376D">
        <w:tc>
          <w:tcPr>
            <w:tcW w:w="5954" w:type="dxa"/>
          </w:tcPr>
          <w:p w:rsidR="0034378F" w:rsidRDefault="0034378F" w:rsidP="0034378F">
            <w:pPr>
              <w:rPr>
                <w:sz w:val="20"/>
              </w:rPr>
            </w:pPr>
            <w:r>
              <w:rPr>
                <w:sz w:val="20"/>
              </w:rPr>
              <w:t>Effet</w:t>
            </w:r>
          </w:p>
        </w:tc>
        <w:tc>
          <w:tcPr>
            <w:tcW w:w="4962" w:type="dxa"/>
          </w:tcPr>
          <w:p w:rsidR="0034378F" w:rsidRDefault="0034378F" w:rsidP="0034378F">
            <w:pPr>
              <w:rPr>
                <w:sz w:val="20"/>
              </w:rPr>
            </w:pPr>
            <w:r>
              <w:rPr>
                <w:sz w:val="20"/>
              </w:rPr>
              <w:t>Mécanisme</w:t>
            </w:r>
          </w:p>
        </w:tc>
      </w:tr>
      <w:tr w:rsidR="0034378F" w:rsidTr="002B376D">
        <w:tc>
          <w:tcPr>
            <w:tcW w:w="5954" w:type="dxa"/>
          </w:tcPr>
          <w:p w:rsidR="0034378F" w:rsidRDefault="0034378F" w:rsidP="0034378F">
            <w:pPr>
              <w:rPr>
                <w:sz w:val="20"/>
              </w:rPr>
            </w:pPr>
            <w:r>
              <w:rPr>
                <w:sz w:val="20"/>
              </w:rPr>
              <w:t>Analgésie spinale et supra-spinale</w:t>
            </w:r>
          </w:p>
        </w:tc>
        <w:tc>
          <w:tcPr>
            <w:tcW w:w="4962" w:type="dxa"/>
          </w:tcPr>
          <w:p w:rsidR="0034378F" w:rsidRDefault="0034378F" w:rsidP="0034378F">
            <w:pPr>
              <w:rPr>
                <w:sz w:val="20"/>
              </w:rPr>
            </w:pPr>
            <w:r>
              <w:rPr>
                <w:sz w:val="20"/>
              </w:rPr>
              <w:t>Cf explications page précédente</w:t>
            </w:r>
          </w:p>
        </w:tc>
      </w:tr>
      <w:tr w:rsidR="0034378F" w:rsidTr="002B376D">
        <w:tc>
          <w:tcPr>
            <w:tcW w:w="5954" w:type="dxa"/>
          </w:tcPr>
          <w:p w:rsidR="0034378F" w:rsidRDefault="0034378F" w:rsidP="00DD0AEC">
            <w:pPr>
              <w:rPr>
                <w:sz w:val="20"/>
              </w:rPr>
            </w:pPr>
            <w:r>
              <w:rPr>
                <w:sz w:val="20"/>
              </w:rPr>
              <w:t>Euphorie</w:t>
            </w:r>
            <w:r w:rsidR="00DD0AEC">
              <w:rPr>
                <w:sz w:val="20"/>
              </w:rPr>
              <w:t xml:space="preserve"> (effet recherché)</w:t>
            </w:r>
            <w:r>
              <w:rPr>
                <w:sz w:val="20"/>
              </w:rPr>
              <w:t xml:space="preserve">/sédation/hallucinations </w:t>
            </w:r>
          </w:p>
        </w:tc>
        <w:tc>
          <w:tcPr>
            <w:tcW w:w="4962" w:type="dxa"/>
          </w:tcPr>
          <w:p w:rsidR="0034378F" w:rsidRDefault="0034378F" w:rsidP="0034378F">
            <w:pPr>
              <w:rPr>
                <w:sz w:val="20"/>
              </w:rPr>
            </w:pPr>
            <w:r>
              <w:rPr>
                <w:sz w:val="20"/>
              </w:rPr>
              <w:t>Récepteurs opiacés du système mésolimbique</w:t>
            </w:r>
            <w:r w:rsidR="002B376D">
              <w:rPr>
                <w:sz w:val="20"/>
              </w:rPr>
              <w:t xml:space="preserve"> DA</w:t>
            </w:r>
          </w:p>
        </w:tc>
      </w:tr>
      <w:tr w:rsidR="0034378F" w:rsidTr="002B376D">
        <w:tc>
          <w:tcPr>
            <w:tcW w:w="5954" w:type="dxa"/>
          </w:tcPr>
          <w:p w:rsidR="0034378F" w:rsidRDefault="002B376D" w:rsidP="0034378F">
            <w:pPr>
              <w:rPr>
                <w:sz w:val="20"/>
              </w:rPr>
            </w:pPr>
            <w:r>
              <w:rPr>
                <w:sz w:val="20"/>
              </w:rPr>
              <w:t>Myosis</w:t>
            </w:r>
          </w:p>
        </w:tc>
        <w:tc>
          <w:tcPr>
            <w:tcW w:w="4962" w:type="dxa"/>
          </w:tcPr>
          <w:p w:rsidR="0034378F" w:rsidRDefault="002B376D" w:rsidP="0034378F">
            <w:pPr>
              <w:rPr>
                <w:sz w:val="20"/>
              </w:rPr>
            </w:pPr>
            <w:r>
              <w:rPr>
                <w:sz w:val="20"/>
              </w:rPr>
              <w:t>Stimulation des nn parasympathiques</w:t>
            </w:r>
          </w:p>
        </w:tc>
      </w:tr>
      <w:tr w:rsidR="0034378F" w:rsidTr="002B376D">
        <w:tc>
          <w:tcPr>
            <w:tcW w:w="5954" w:type="dxa"/>
          </w:tcPr>
          <w:p w:rsidR="0034378F" w:rsidRDefault="002B376D" w:rsidP="0034378F">
            <w:pPr>
              <w:rPr>
                <w:sz w:val="20"/>
              </w:rPr>
            </w:pPr>
            <w:r>
              <w:rPr>
                <w:sz w:val="20"/>
              </w:rPr>
              <w:t>Dépression respiratoire (1</w:t>
            </w:r>
            <w:r w:rsidRPr="002B376D">
              <w:rPr>
                <w:sz w:val="20"/>
                <w:vertAlign w:val="superscript"/>
              </w:rPr>
              <w:t>ère</w:t>
            </w:r>
            <w:r>
              <w:rPr>
                <w:sz w:val="20"/>
              </w:rPr>
              <w:t xml:space="preserve"> cause d’intoxication, mort par overdose)</w:t>
            </w:r>
          </w:p>
        </w:tc>
        <w:tc>
          <w:tcPr>
            <w:tcW w:w="4962" w:type="dxa"/>
          </w:tcPr>
          <w:p w:rsidR="0034378F" w:rsidRDefault="002B376D" w:rsidP="0034378F">
            <w:pPr>
              <w:rPr>
                <w:sz w:val="20"/>
              </w:rPr>
            </w:pPr>
            <w:r>
              <w:rPr>
                <w:sz w:val="20"/>
              </w:rPr>
              <w:t>Inhibition des centres de la respiration</w:t>
            </w:r>
          </w:p>
        </w:tc>
      </w:tr>
      <w:tr w:rsidR="0034378F" w:rsidTr="002B376D">
        <w:tc>
          <w:tcPr>
            <w:tcW w:w="5954" w:type="dxa"/>
          </w:tcPr>
          <w:p w:rsidR="0034378F" w:rsidRDefault="002B376D" w:rsidP="0034378F">
            <w:pPr>
              <w:rPr>
                <w:sz w:val="20"/>
              </w:rPr>
            </w:pPr>
            <w:r>
              <w:rPr>
                <w:sz w:val="20"/>
              </w:rPr>
              <w:t>Diminution du réflexe de la toux (non corrélé avec effet analgésique)</w:t>
            </w:r>
          </w:p>
        </w:tc>
        <w:tc>
          <w:tcPr>
            <w:tcW w:w="4962" w:type="dxa"/>
          </w:tcPr>
          <w:p w:rsidR="0034378F" w:rsidRDefault="002B376D" w:rsidP="0034378F">
            <w:pPr>
              <w:rPr>
                <w:sz w:val="20"/>
              </w:rPr>
            </w:pPr>
            <w:r>
              <w:rPr>
                <w:sz w:val="20"/>
              </w:rPr>
              <w:t>Inhibition du centre de la toux</w:t>
            </w:r>
          </w:p>
        </w:tc>
      </w:tr>
      <w:tr w:rsidR="0034378F" w:rsidTr="002B376D">
        <w:tc>
          <w:tcPr>
            <w:tcW w:w="5954" w:type="dxa"/>
          </w:tcPr>
          <w:p w:rsidR="0034378F" w:rsidRDefault="002B376D" w:rsidP="0034378F">
            <w:pPr>
              <w:rPr>
                <w:sz w:val="20"/>
              </w:rPr>
            </w:pPr>
            <w:r>
              <w:rPr>
                <w:sz w:val="20"/>
              </w:rPr>
              <w:t>Nausées et vomissements</w:t>
            </w:r>
          </w:p>
        </w:tc>
        <w:tc>
          <w:tcPr>
            <w:tcW w:w="4962" w:type="dxa"/>
          </w:tcPr>
          <w:p w:rsidR="0034378F" w:rsidRDefault="002B376D" w:rsidP="0034378F">
            <w:pPr>
              <w:rPr>
                <w:sz w:val="20"/>
              </w:rPr>
            </w:pPr>
            <w:r>
              <w:rPr>
                <w:sz w:val="20"/>
              </w:rPr>
              <w:t>Stimulation du centre de vomissement (postrema)</w:t>
            </w:r>
          </w:p>
        </w:tc>
      </w:tr>
      <w:tr w:rsidR="0034378F" w:rsidTr="002B376D">
        <w:tc>
          <w:tcPr>
            <w:tcW w:w="5954" w:type="dxa"/>
          </w:tcPr>
          <w:p w:rsidR="0034378F" w:rsidRDefault="002B376D" w:rsidP="0034378F">
            <w:pPr>
              <w:rPr>
                <w:sz w:val="20"/>
              </w:rPr>
            </w:pPr>
            <w:r>
              <w:rPr>
                <w:sz w:val="20"/>
              </w:rPr>
              <w:t>Effets neuro-endocriniens</w:t>
            </w:r>
          </w:p>
        </w:tc>
        <w:tc>
          <w:tcPr>
            <w:tcW w:w="4962" w:type="dxa"/>
          </w:tcPr>
          <w:p w:rsidR="0034378F" w:rsidRDefault="002B376D" w:rsidP="0034378F">
            <w:pPr>
              <w:rPr>
                <w:sz w:val="20"/>
              </w:rPr>
            </w:pPr>
            <w:r>
              <w:rPr>
                <w:sz w:val="20"/>
              </w:rPr>
              <w:t>↓GnRH et ↑prolactine</w:t>
            </w:r>
          </w:p>
        </w:tc>
      </w:tr>
      <w:tr w:rsidR="002B376D" w:rsidTr="002B376D">
        <w:tc>
          <w:tcPr>
            <w:tcW w:w="5954" w:type="dxa"/>
          </w:tcPr>
          <w:p w:rsidR="002B376D" w:rsidRDefault="002B376D" w:rsidP="0034378F">
            <w:pPr>
              <w:rPr>
                <w:sz w:val="20"/>
              </w:rPr>
            </w:pPr>
            <w:r>
              <w:rPr>
                <w:sz w:val="20"/>
              </w:rPr>
              <w:t>Système GI</w:t>
            </w:r>
          </w:p>
        </w:tc>
        <w:tc>
          <w:tcPr>
            <w:tcW w:w="4962" w:type="dxa"/>
          </w:tcPr>
          <w:p w:rsidR="002B376D" w:rsidRDefault="002B376D" w:rsidP="0034378F">
            <w:pPr>
              <w:rPr>
                <w:sz w:val="20"/>
              </w:rPr>
            </w:pPr>
            <w:r>
              <w:rPr>
                <w:sz w:val="20"/>
              </w:rPr>
              <w:t>MOR sur neurone entérique ↓péristaltisme/sécrétions</w:t>
            </w:r>
          </w:p>
        </w:tc>
      </w:tr>
    </w:tbl>
    <w:p w:rsidR="0034378F" w:rsidRDefault="0034378F" w:rsidP="0034378F">
      <w:pPr>
        <w:rPr>
          <w:sz w:val="20"/>
        </w:rPr>
      </w:pPr>
    </w:p>
    <w:p w:rsidR="002B376D" w:rsidRDefault="002B376D" w:rsidP="002B376D">
      <w:pPr>
        <w:spacing w:after="0"/>
        <w:rPr>
          <w:sz w:val="20"/>
        </w:rPr>
      </w:pPr>
      <w:r w:rsidRPr="002B376D">
        <w:rPr>
          <w:b/>
          <w:sz w:val="20"/>
        </w:rPr>
        <w:t>La tolérance aux opiacés</w:t>
      </w:r>
      <w:r>
        <w:rPr>
          <w:sz w:val="20"/>
        </w:rPr>
        <w:t> :</w:t>
      </w:r>
      <w:r w:rsidRPr="002B376D">
        <w:t xml:space="preserve"> </w:t>
      </w:r>
      <w:r>
        <w:rPr>
          <w:sz w:val="20"/>
        </w:rPr>
        <w:t>l’utilisation prolongée de la morphine entraine la diminution de l’effet thérapeutique, donc nécessité d’augmenter la dose. Des modifications biochimiques complexes du SNC sont responsables de la pharmacodépendance. Elles impliquent des changements progressifs dans la voie de signalisation</w:t>
      </w:r>
      <w:r w:rsidR="00184F07">
        <w:rPr>
          <w:sz w:val="20"/>
        </w:rPr>
        <w:t xml:space="preserve"> (au début morphine ↓AMPc, mais </w:t>
      </w:r>
      <w:r w:rsidR="00381601">
        <w:rPr>
          <w:sz w:val="20"/>
        </w:rPr>
        <w:t>corps finit par compenser ; les niveaux d’AMPc font un pic avec l’arrêt de consommation et créent symptômes de sevrage)</w:t>
      </w:r>
      <w:r>
        <w:rPr>
          <w:sz w:val="20"/>
        </w:rPr>
        <w:t xml:space="preserve">. La tolérance se développe rapidement (1-2 semaines) à part pour la méthadone. </w:t>
      </w:r>
      <w:r w:rsidR="00381601">
        <w:rPr>
          <w:sz w:val="20"/>
        </w:rPr>
        <w:t>Cette tolérance</w:t>
      </w:r>
      <w:r>
        <w:rPr>
          <w:sz w:val="20"/>
        </w:rPr>
        <w:t xml:space="preserve"> est </w:t>
      </w:r>
    </w:p>
    <w:p w:rsidR="002B376D" w:rsidRDefault="002B376D" w:rsidP="002B376D">
      <w:pPr>
        <w:pStyle w:val="Paragraphedeliste"/>
        <w:numPr>
          <w:ilvl w:val="0"/>
          <w:numId w:val="1"/>
        </w:numPr>
        <w:spacing w:after="0"/>
        <w:rPr>
          <w:sz w:val="20"/>
        </w:rPr>
      </w:pPr>
      <w:r>
        <w:rPr>
          <w:sz w:val="20"/>
        </w:rPr>
        <w:t>Marquée pour :</w:t>
      </w:r>
      <w:r w:rsidR="00FD0181">
        <w:rPr>
          <w:sz w:val="20"/>
        </w:rPr>
        <w:t xml:space="preserve"> effets analgésiques, euphorie, dépression respiratoire, nausées. Chez un sujet sain, 60mg de morphine suffisent pour induire dépression respiratoire. Un sujet dépendant peut prendre &gt;2000g sans dépression (attention au risque d’overdose après sevrage !!)</w:t>
      </w:r>
    </w:p>
    <w:p w:rsidR="002B376D" w:rsidRDefault="002B376D" w:rsidP="002B376D">
      <w:pPr>
        <w:pStyle w:val="Paragraphedeliste"/>
        <w:numPr>
          <w:ilvl w:val="0"/>
          <w:numId w:val="1"/>
        </w:numPr>
        <w:spacing w:after="0"/>
        <w:rPr>
          <w:sz w:val="20"/>
        </w:rPr>
      </w:pPr>
      <w:r>
        <w:rPr>
          <w:sz w:val="20"/>
        </w:rPr>
        <w:t>Faible pour :</w:t>
      </w:r>
      <w:r w:rsidR="00FD0181">
        <w:rPr>
          <w:sz w:val="20"/>
        </w:rPr>
        <w:t xml:space="preserve"> myosis et constipation. Donc ces effets augmentent toujours avec la dose.</w:t>
      </w:r>
    </w:p>
    <w:p w:rsidR="002B376D" w:rsidRDefault="00FD0181" w:rsidP="00DD0AEC">
      <w:pPr>
        <w:spacing w:after="0"/>
        <w:rPr>
          <w:sz w:val="20"/>
        </w:rPr>
      </w:pPr>
      <w:r>
        <w:rPr>
          <w:sz w:val="20"/>
        </w:rPr>
        <w:t>Étant donné que beaucoup des opiacés utilisent les mêmes récepteurs, la tolérance à l’un peut induire une tolérance pour les autres (sans en avoir consommé). On parle en ce cas de tolérance croisée.</w:t>
      </w:r>
    </w:p>
    <w:p w:rsidR="00DD0AEC" w:rsidRPr="002B376D" w:rsidRDefault="00DD0AEC" w:rsidP="00DD0AEC">
      <w:pPr>
        <w:spacing w:after="0"/>
        <w:rPr>
          <w:sz w:val="20"/>
        </w:rPr>
      </w:pPr>
    </w:p>
    <w:p w:rsidR="00381601" w:rsidRDefault="002B376D" w:rsidP="00DD0AEC">
      <w:pPr>
        <w:spacing w:after="0"/>
        <w:rPr>
          <w:sz w:val="20"/>
        </w:rPr>
      </w:pPr>
      <w:r w:rsidRPr="002B376D">
        <w:rPr>
          <w:b/>
          <w:sz w:val="20"/>
        </w:rPr>
        <w:t>La dépendance aux opiacés</w:t>
      </w:r>
      <w:r>
        <w:rPr>
          <w:sz w:val="20"/>
        </w:rPr>
        <w:t> :</w:t>
      </w:r>
      <w:r w:rsidR="00DD0AEC">
        <w:rPr>
          <w:sz w:val="20"/>
        </w:rPr>
        <w:t xml:space="preserve"> </w:t>
      </w:r>
      <w:r w:rsidR="00381601">
        <w:rPr>
          <w:sz w:val="20"/>
        </w:rPr>
        <w:t>p</w:t>
      </w:r>
      <w:r w:rsidR="00381601" w:rsidRPr="00381601">
        <w:rPr>
          <w:sz w:val="20"/>
        </w:rPr>
        <w:t>arfois dans l’analgésie postopératoire (mais rare)</w:t>
      </w:r>
      <w:r w:rsidR="00381601">
        <w:rPr>
          <w:sz w:val="20"/>
        </w:rPr>
        <w:t>. Dans les traitements prolongés le problème de la dépendance doit être évalué dans le contexte global de la maladie.</w:t>
      </w:r>
    </w:p>
    <w:p w:rsidR="00381601" w:rsidRPr="00381601" w:rsidRDefault="00381601" w:rsidP="00DD0AEC">
      <w:pPr>
        <w:pStyle w:val="Paragraphedeliste"/>
        <w:numPr>
          <w:ilvl w:val="0"/>
          <w:numId w:val="1"/>
        </w:numPr>
        <w:spacing w:after="0"/>
        <w:rPr>
          <w:sz w:val="20"/>
        </w:rPr>
      </w:pPr>
      <w:r>
        <w:rPr>
          <w:sz w:val="20"/>
        </w:rPr>
        <w:t>Dépendance psychique (effets psychiques) : détachement de la réalité, état de béatitude, rêverie, esprit contemplatif.</w:t>
      </w:r>
    </w:p>
    <w:p w:rsidR="00381601" w:rsidRDefault="00381601" w:rsidP="00381601">
      <w:pPr>
        <w:pStyle w:val="Paragraphedeliste"/>
        <w:numPr>
          <w:ilvl w:val="0"/>
          <w:numId w:val="1"/>
        </w:numPr>
        <w:rPr>
          <w:sz w:val="20"/>
        </w:rPr>
      </w:pPr>
      <w:r>
        <w:rPr>
          <w:sz w:val="20"/>
        </w:rPr>
        <w:t>Dépendance physique : syndrome de sevrage chez patient dépendant, rarement mortel. Présente douleurs musculo-articulaires, anxiété, frissons, hyperventilation, diarrhées, vomissements</w:t>
      </w:r>
    </w:p>
    <w:p w:rsidR="00381601" w:rsidRDefault="00381601" w:rsidP="00381601">
      <w:pPr>
        <w:rPr>
          <w:sz w:val="20"/>
        </w:rPr>
      </w:pPr>
      <w:r w:rsidRPr="00381601">
        <w:rPr>
          <w:b/>
          <w:sz w:val="20"/>
        </w:rPr>
        <w:t>Effets indésirables</w:t>
      </w:r>
      <w:r>
        <w:rPr>
          <w:sz w:val="20"/>
        </w:rPr>
        <w:t> :</w:t>
      </w:r>
      <w:r w:rsidR="00DD0AEC">
        <w:rPr>
          <w:sz w:val="20"/>
        </w:rPr>
        <w:t xml:space="preserve"> large spectre ! Outre ceux qui ont déjà été mentionnés il peut y avoir prurit (intolérance), rétention urinaire (effet exacerbé par prise d’anticholinergiques !), hypoTA, libération d’histamine (bronchoconstriction, vasodilatation).</w:t>
      </w:r>
    </w:p>
    <w:p w:rsidR="00DD0AEC" w:rsidRDefault="00DD0AEC" w:rsidP="00DD0AEC">
      <w:pPr>
        <w:spacing w:after="0"/>
        <w:rPr>
          <w:sz w:val="20"/>
        </w:rPr>
      </w:pPr>
      <w:r w:rsidRPr="00DD0AEC">
        <w:rPr>
          <w:b/>
          <w:sz w:val="20"/>
        </w:rPr>
        <w:t>Pharmacocinétique</w:t>
      </w:r>
      <w:r>
        <w:rPr>
          <w:sz w:val="20"/>
        </w:rPr>
        <w:t> :</w:t>
      </w:r>
    </w:p>
    <w:p w:rsidR="00DD0AEC" w:rsidRDefault="00DD0AEC" w:rsidP="00DD0AEC">
      <w:pPr>
        <w:pStyle w:val="Paragraphedeliste"/>
        <w:numPr>
          <w:ilvl w:val="0"/>
          <w:numId w:val="1"/>
        </w:numPr>
        <w:spacing w:after="0"/>
        <w:rPr>
          <w:sz w:val="20"/>
        </w:rPr>
      </w:pPr>
      <w:r>
        <w:rPr>
          <w:sz w:val="20"/>
        </w:rPr>
        <w:t>Bonne absorption par muqueuses/voie sous-cut/intra-musc.</w:t>
      </w:r>
    </w:p>
    <w:p w:rsidR="00DD0AEC" w:rsidRDefault="00DD0AEC" w:rsidP="00DD0AEC">
      <w:pPr>
        <w:pStyle w:val="Paragraphedeliste"/>
        <w:numPr>
          <w:ilvl w:val="0"/>
          <w:numId w:val="1"/>
        </w:numPr>
        <w:rPr>
          <w:sz w:val="20"/>
        </w:rPr>
      </w:pPr>
      <w:r>
        <w:rPr>
          <w:sz w:val="20"/>
        </w:rPr>
        <w:t>Biodisponibilité faible pour morphine (car effet de premier passage dans le foie marqué), bonne pour codéine (car premier passage dans foie produit des métabolites actifs via CYP2D6).</w:t>
      </w:r>
    </w:p>
    <w:p w:rsidR="00DD0AEC" w:rsidRDefault="00DD0AEC" w:rsidP="00DD0AEC">
      <w:pPr>
        <w:pStyle w:val="Paragraphedeliste"/>
        <w:numPr>
          <w:ilvl w:val="0"/>
          <w:numId w:val="1"/>
        </w:numPr>
        <w:rPr>
          <w:sz w:val="20"/>
        </w:rPr>
      </w:pPr>
      <w:r>
        <w:rPr>
          <w:sz w:val="20"/>
        </w:rPr>
        <w:t>½ vie variable mais longue pour méthadone. Utilisée dans traitement de sevrage</w:t>
      </w:r>
    </w:p>
    <w:p w:rsidR="00DD0AEC" w:rsidRDefault="00DD0AEC" w:rsidP="00DD0AEC">
      <w:pPr>
        <w:pStyle w:val="Paragraphedeliste"/>
        <w:numPr>
          <w:ilvl w:val="0"/>
          <w:numId w:val="1"/>
        </w:numPr>
        <w:rPr>
          <w:sz w:val="20"/>
        </w:rPr>
      </w:pPr>
      <w:r>
        <w:rPr>
          <w:sz w:val="20"/>
        </w:rPr>
        <w:t>Passage de BHE : lopéramide &lt; morphine &lt; héroïne</w:t>
      </w:r>
    </w:p>
    <w:p w:rsidR="00DD0AEC" w:rsidRDefault="00DD0AEC" w:rsidP="00DD0AEC">
      <w:pPr>
        <w:pStyle w:val="Paragraphedeliste"/>
        <w:numPr>
          <w:ilvl w:val="0"/>
          <w:numId w:val="1"/>
        </w:numPr>
        <w:rPr>
          <w:sz w:val="20"/>
        </w:rPr>
      </w:pPr>
      <w:r>
        <w:rPr>
          <w:sz w:val="20"/>
        </w:rPr>
        <w:t>Passage de barrière placentaire : élevé !</w:t>
      </w:r>
    </w:p>
    <w:p w:rsidR="00C166E0" w:rsidRDefault="00DD0AEC" w:rsidP="00C166E0">
      <w:pPr>
        <w:spacing w:after="0"/>
        <w:rPr>
          <w:sz w:val="20"/>
        </w:rPr>
      </w:pPr>
      <w:r w:rsidRPr="00DD0AEC">
        <w:rPr>
          <w:b/>
          <w:sz w:val="20"/>
        </w:rPr>
        <w:t>Morphine</w:t>
      </w:r>
      <w:r>
        <w:rPr>
          <w:sz w:val="20"/>
        </w:rPr>
        <w:t> :</w:t>
      </w:r>
    </w:p>
    <w:p w:rsidR="00C166E0" w:rsidRDefault="00C166E0" w:rsidP="00C166E0">
      <w:pPr>
        <w:pStyle w:val="Paragraphedeliste"/>
        <w:numPr>
          <w:ilvl w:val="0"/>
          <w:numId w:val="1"/>
        </w:numPr>
        <w:tabs>
          <w:tab w:val="left" w:pos="2269"/>
        </w:tabs>
        <w:spacing w:after="0"/>
        <w:rPr>
          <w:sz w:val="20"/>
        </w:rPr>
      </w:pPr>
      <w:r>
        <w:rPr>
          <w:sz w:val="20"/>
        </w:rPr>
        <w:t>Administration : iv, rectale, épidurale, intrathécale (i.e. dans un espace virtuel)</w:t>
      </w:r>
    </w:p>
    <w:p w:rsidR="00C166E0" w:rsidRDefault="00C166E0" w:rsidP="00C166E0">
      <w:pPr>
        <w:pStyle w:val="Paragraphedeliste"/>
        <w:numPr>
          <w:ilvl w:val="0"/>
          <w:numId w:val="1"/>
        </w:numPr>
        <w:tabs>
          <w:tab w:val="left" w:pos="2269"/>
        </w:tabs>
        <w:spacing w:after="0"/>
        <w:rPr>
          <w:sz w:val="20"/>
        </w:rPr>
      </w:pPr>
      <w:r>
        <w:rPr>
          <w:sz w:val="20"/>
        </w:rPr>
        <w:t>½ vie de 2h, effets 4-5h</w:t>
      </w:r>
    </w:p>
    <w:p w:rsidR="00C166E0" w:rsidRDefault="00C166E0" w:rsidP="00C166E0">
      <w:pPr>
        <w:pStyle w:val="Paragraphedeliste"/>
        <w:numPr>
          <w:ilvl w:val="0"/>
          <w:numId w:val="1"/>
        </w:numPr>
        <w:tabs>
          <w:tab w:val="left" w:pos="2269"/>
        </w:tabs>
        <w:spacing w:after="0"/>
        <w:rPr>
          <w:sz w:val="20"/>
        </w:rPr>
      </w:pPr>
      <w:r>
        <w:rPr>
          <w:sz w:val="20"/>
        </w:rPr>
        <w:t>Métabolisme : glucuroconjugaison, métabolites actifs &lt;&lt; inactifs, élimination rénale</w:t>
      </w:r>
    </w:p>
    <w:p w:rsidR="00C166E0" w:rsidRDefault="00C166E0" w:rsidP="00C166E0">
      <w:pPr>
        <w:pStyle w:val="Paragraphedeliste"/>
        <w:numPr>
          <w:ilvl w:val="0"/>
          <w:numId w:val="1"/>
        </w:numPr>
        <w:tabs>
          <w:tab w:val="left" w:pos="2269"/>
        </w:tabs>
        <w:spacing w:after="0"/>
        <w:rPr>
          <w:sz w:val="20"/>
        </w:rPr>
      </w:pPr>
      <w:r>
        <w:rPr>
          <w:sz w:val="20"/>
        </w:rPr>
        <w:t>Tolérance variable.</w:t>
      </w:r>
    </w:p>
    <w:p w:rsidR="00C166E0" w:rsidRDefault="00C166E0" w:rsidP="00C166E0">
      <w:pPr>
        <w:pStyle w:val="Paragraphedeliste"/>
        <w:numPr>
          <w:ilvl w:val="0"/>
          <w:numId w:val="1"/>
        </w:numPr>
        <w:tabs>
          <w:tab w:val="left" w:pos="2269"/>
        </w:tabs>
        <w:spacing w:after="0"/>
        <w:rPr>
          <w:sz w:val="20"/>
        </w:rPr>
      </w:pPr>
      <w:r>
        <w:rPr>
          <w:sz w:val="20"/>
        </w:rPr>
        <w:t>Dérivés : hydromorphone, oxymorphone</w:t>
      </w:r>
    </w:p>
    <w:p w:rsidR="00C166E0" w:rsidRDefault="00C166E0" w:rsidP="00C166E0">
      <w:pPr>
        <w:tabs>
          <w:tab w:val="left" w:pos="2269"/>
        </w:tabs>
        <w:spacing w:after="0"/>
        <w:rPr>
          <w:sz w:val="20"/>
        </w:rPr>
      </w:pPr>
    </w:p>
    <w:p w:rsidR="00C166E0" w:rsidRDefault="00C166E0" w:rsidP="00C166E0">
      <w:pPr>
        <w:tabs>
          <w:tab w:val="left" w:pos="2269"/>
        </w:tabs>
        <w:spacing w:after="0"/>
        <w:rPr>
          <w:sz w:val="20"/>
        </w:rPr>
      </w:pPr>
      <w:r w:rsidRPr="00C166E0">
        <w:rPr>
          <w:b/>
          <w:sz w:val="20"/>
        </w:rPr>
        <w:lastRenderedPageBreak/>
        <w:t>Codéine</w:t>
      </w:r>
      <w:r>
        <w:rPr>
          <w:sz w:val="20"/>
        </w:rPr>
        <w:t xml:space="preserve"> (méthylmorphine) :</w:t>
      </w:r>
    </w:p>
    <w:p w:rsidR="00C166E0" w:rsidRDefault="00C166E0" w:rsidP="00C166E0">
      <w:pPr>
        <w:pStyle w:val="Paragraphedeliste"/>
        <w:numPr>
          <w:ilvl w:val="0"/>
          <w:numId w:val="1"/>
        </w:numPr>
        <w:tabs>
          <w:tab w:val="left" w:pos="2269"/>
        </w:tabs>
        <w:spacing w:after="0"/>
        <w:rPr>
          <w:sz w:val="20"/>
        </w:rPr>
      </w:pPr>
      <w:r>
        <w:rPr>
          <w:sz w:val="20"/>
        </w:rPr>
        <w:t>Meilleure biodisponibilité que morphine, permet administration per os</w:t>
      </w:r>
    </w:p>
    <w:p w:rsidR="00C166E0" w:rsidRDefault="00C166E0" w:rsidP="00C166E0">
      <w:pPr>
        <w:pStyle w:val="Paragraphedeliste"/>
        <w:numPr>
          <w:ilvl w:val="0"/>
          <w:numId w:val="1"/>
        </w:numPr>
        <w:tabs>
          <w:tab w:val="left" w:pos="2269"/>
        </w:tabs>
        <w:spacing w:after="0"/>
        <w:rPr>
          <w:sz w:val="20"/>
        </w:rPr>
      </w:pPr>
      <w:r>
        <w:rPr>
          <w:sz w:val="20"/>
        </w:rPr>
        <w:t>Basse affinité pour récepteurs aux opiacés</w:t>
      </w:r>
    </w:p>
    <w:p w:rsidR="006D2075" w:rsidRDefault="006D2075" w:rsidP="00C166E0">
      <w:pPr>
        <w:pStyle w:val="Paragraphedeliste"/>
        <w:numPr>
          <w:ilvl w:val="0"/>
          <w:numId w:val="1"/>
        </w:numPr>
        <w:tabs>
          <w:tab w:val="left" w:pos="2269"/>
        </w:tabs>
        <w:spacing w:after="0"/>
        <w:rPr>
          <w:sz w:val="20"/>
        </w:rPr>
      </w:pPr>
      <w:r>
        <w:rPr>
          <w:sz w:val="20"/>
        </w:rPr>
        <w:t>Plusieurs voies de métabolisme :</w:t>
      </w:r>
    </w:p>
    <w:p w:rsidR="00C166E0" w:rsidRDefault="006D2075" w:rsidP="006D2075">
      <w:pPr>
        <w:pStyle w:val="Paragraphedeliste"/>
        <w:numPr>
          <w:ilvl w:val="0"/>
          <w:numId w:val="20"/>
        </w:numPr>
        <w:tabs>
          <w:tab w:val="left" w:pos="2269"/>
        </w:tabs>
        <w:spacing w:after="0"/>
        <w:rPr>
          <w:sz w:val="20"/>
        </w:rPr>
      </w:pPr>
      <w:r>
        <w:rPr>
          <w:sz w:val="20"/>
        </w:rPr>
        <w:t>m</w:t>
      </w:r>
      <w:r w:rsidR="00C166E0">
        <w:rPr>
          <w:sz w:val="20"/>
        </w:rPr>
        <w:t>étabolisme en morphine (10%) et autres métabolites actifs via CYP2D6</w:t>
      </w:r>
    </w:p>
    <w:p w:rsidR="006D2075" w:rsidRDefault="006D2075" w:rsidP="006D2075">
      <w:pPr>
        <w:pStyle w:val="Paragraphedeliste"/>
        <w:numPr>
          <w:ilvl w:val="0"/>
          <w:numId w:val="20"/>
        </w:numPr>
        <w:tabs>
          <w:tab w:val="left" w:pos="2269"/>
        </w:tabs>
        <w:spacing w:after="0"/>
        <w:rPr>
          <w:sz w:val="20"/>
        </w:rPr>
      </w:pPr>
      <w:r>
        <w:rPr>
          <w:sz w:val="20"/>
        </w:rPr>
        <w:t>métabolisme en composés inactifs via CYP3A4</w:t>
      </w:r>
    </w:p>
    <w:p w:rsidR="006D2075" w:rsidRPr="006D2075" w:rsidRDefault="006D2075" w:rsidP="006D2075">
      <w:pPr>
        <w:spacing w:after="0"/>
        <w:ind w:left="708"/>
        <w:rPr>
          <w:sz w:val="20"/>
        </w:rPr>
      </w:pPr>
      <w:r>
        <w:rPr>
          <w:sz w:val="20"/>
        </w:rPr>
        <w:t>Un excès de la voie CYP2D6/blocage de CYP3A4 peut causer des intoxications sévères car toute la codéine est alors transformée en métabolites actifs comme la morphine !</w:t>
      </w:r>
    </w:p>
    <w:p w:rsidR="00C166E0" w:rsidRDefault="00C166E0" w:rsidP="00C166E0">
      <w:pPr>
        <w:pStyle w:val="Paragraphedeliste"/>
        <w:numPr>
          <w:ilvl w:val="0"/>
          <w:numId w:val="1"/>
        </w:numPr>
        <w:tabs>
          <w:tab w:val="left" w:pos="2269"/>
        </w:tabs>
        <w:spacing w:after="0"/>
        <w:rPr>
          <w:sz w:val="20"/>
        </w:rPr>
      </w:pPr>
      <w:r>
        <w:rPr>
          <w:sz w:val="20"/>
        </w:rPr>
        <w:t>Analgésique et antitussif</w:t>
      </w:r>
    </w:p>
    <w:p w:rsidR="00C166E0" w:rsidRDefault="00C166E0" w:rsidP="00C166E0">
      <w:pPr>
        <w:pStyle w:val="Paragraphedeliste"/>
        <w:numPr>
          <w:ilvl w:val="0"/>
          <w:numId w:val="1"/>
        </w:numPr>
        <w:tabs>
          <w:tab w:val="left" w:pos="2269"/>
        </w:tabs>
        <w:spacing w:after="0"/>
        <w:rPr>
          <w:sz w:val="20"/>
        </w:rPr>
      </w:pPr>
      <w:r>
        <w:rPr>
          <w:sz w:val="20"/>
        </w:rPr>
        <w:t>Dérivés : hydrocodone, oxycodone</w:t>
      </w:r>
    </w:p>
    <w:p w:rsidR="00C166E0" w:rsidRDefault="00C166E0" w:rsidP="00C166E0">
      <w:pPr>
        <w:tabs>
          <w:tab w:val="left" w:pos="2269"/>
        </w:tabs>
        <w:spacing w:after="0"/>
        <w:rPr>
          <w:sz w:val="20"/>
        </w:rPr>
      </w:pPr>
    </w:p>
    <w:p w:rsidR="00C166E0" w:rsidRDefault="00C166E0" w:rsidP="00C166E0">
      <w:pPr>
        <w:tabs>
          <w:tab w:val="left" w:pos="2269"/>
        </w:tabs>
        <w:spacing w:after="0"/>
        <w:rPr>
          <w:sz w:val="20"/>
        </w:rPr>
      </w:pPr>
      <w:r w:rsidRPr="00563C76">
        <w:rPr>
          <w:b/>
          <w:sz w:val="20"/>
        </w:rPr>
        <w:t xml:space="preserve">Tramadol </w:t>
      </w:r>
      <w:r>
        <w:rPr>
          <w:sz w:val="20"/>
        </w:rPr>
        <w:t>(</w:t>
      </w:r>
      <w:r w:rsidR="007A329C">
        <w:rPr>
          <w:sz w:val="20"/>
        </w:rPr>
        <w:t>tramal,</w:t>
      </w:r>
      <w:r w:rsidR="00C533EC">
        <w:rPr>
          <w:sz w:val="20"/>
        </w:rPr>
        <w:t xml:space="preserve"> </w:t>
      </w:r>
      <w:r>
        <w:rPr>
          <w:sz w:val="20"/>
        </w:rPr>
        <w:t>analogue synthétique de la codéine) :</w:t>
      </w:r>
    </w:p>
    <w:p w:rsidR="00C166E0" w:rsidRDefault="00C166E0" w:rsidP="00C166E0">
      <w:pPr>
        <w:pStyle w:val="Paragraphedeliste"/>
        <w:numPr>
          <w:ilvl w:val="0"/>
          <w:numId w:val="1"/>
        </w:numPr>
        <w:tabs>
          <w:tab w:val="left" w:pos="2269"/>
        </w:tabs>
        <w:spacing w:after="0"/>
        <w:rPr>
          <w:sz w:val="20"/>
        </w:rPr>
      </w:pPr>
      <w:r>
        <w:rPr>
          <w:sz w:val="20"/>
        </w:rPr>
        <w:t>Faible agoniste µ et inhibiteur de recaptage de NA/5-HT (contre-indiqué avec antidépresseurs IMAO, tricycliques, ISRS = inhibiteur sélectif de la recapture de sérotonine, attention aux épilepsies !)</w:t>
      </w:r>
    </w:p>
    <w:p w:rsidR="00C166E0" w:rsidRDefault="00C166E0" w:rsidP="00C166E0">
      <w:pPr>
        <w:pStyle w:val="Paragraphedeliste"/>
        <w:numPr>
          <w:ilvl w:val="0"/>
          <w:numId w:val="1"/>
        </w:numPr>
        <w:tabs>
          <w:tab w:val="left" w:pos="2269"/>
        </w:tabs>
        <w:spacing w:after="0"/>
        <w:rPr>
          <w:sz w:val="20"/>
        </w:rPr>
      </w:pPr>
      <w:r>
        <w:rPr>
          <w:sz w:val="20"/>
        </w:rPr>
        <w:t>Dépression respiratoire plus faible que morphine pour dose analgésique équivalente.</w:t>
      </w:r>
    </w:p>
    <w:p w:rsidR="00C533EC" w:rsidRDefault="00C533EC" w:rsidP="00C533EC">
      <w:pPr>
        <w:tabs>
          <w:tab w:val="left" w:pos="2269"/>
        </w:tabs>
        <w:spacing w:after="0"/>
        <w:rPr>
          <w:sz w:val="20"/>
        </w:rPr>
      </w:pPr>
    </w:p>
    <w:p w:rsidR="00C533EC" w:rsidRDefault="00C533EC" w:rsidP="00C533EC">
      <w:pPr>
        <w:tabs>
          <w:tab w:val="left" w:pos="2269"/>
        </w:tabs>
        <w:spacing w:after="0"/>
        <w:rPr>
          <w:sz w:val="20"/>
        </w:rPr>
      </w:pPr>
      <w:r w:rsidRPr="00C533EC">
        <w:rPr>
          <w:b/>
          <w:sz w:val="20"/>
          <w:highlight w:val="yellow"/>
        </w:rPr>
        <w:t>Phénylpipéridines</w:t>
      </w:r>
      <w:r>
        <w:rPr>
          <w:sz w:val="20"/>
        </w:rPr>
        <w:t> :</w:t>
      </w:r>
    </w:p>
    <w:p w:rsidR="00407842" w:rsidRDefault="00C533EC" w:rsidP="00C533EC">
      <w:pPr>
        <w:pStyle w:val="Paragraphedeliste"/>
        <w:numPr>
          <w:ilvl w:val="0"/>
          <w:numId w:val="1"/>
        </w:numPr>
        <w:tabs>
          <w:tab w:val="left" w:pos="2269"/>
        </w:tabs>
        <w:spacing w:after="0"/>
        <w:rPr>
          <w:sz w:val="20"/>
        </w:rPr>
      </w:pPr>
      <w:r w:rsidRPr="00C533EC">
        <w:rPr>
          <w:sz w:val="20"/>
          <w:highlight w:val="yellow"/>
        </w:rPr>
        <w:t>Fentanyl</w:t>
      </w:r>
      <w:r>
        <w:rPr>
          <w:sz w:val="20"/>
        </w:rPr>
        <w:t> :</w:t>
      </w:r>
      <w:r w:rsidR="00407842">
        <w:rPr>
          <w:sz w:val="20"/>
        </w:rPr>
        <w:t xml:space="preserve"> agoniste µ 100-1000x plus puissant que la morphine (car plus liposoluble).</w:t>
      </w:r>
      <w:r w:rsidR="000D2D71">
        <w:rPr>
          <w:sz w:val="20"/>
        </w:rPr>
        <w:t xml:space="preserve"> Administration iv, épidurale ou intrathécale (mais trop puissant pour être administré per os).</w:t>
      </w:r>
    </w:p>
    <w:p w:rsidR="00407842" w:rsidRDefault="00407842" w:rsidP="00407842">
      <w:pPr>
        <w:pStyle w:val="Paragraphedeliste"/>
        <w:numPr>
          <w:ilvl w:val="0"/>
          <w:numId w:val="19"/>
        </w:numPr>
        <w:tabs>
          <w:tab w:val="left" w:pos="2269"/>
        </w:tabs>
        <w:spacing w:after="0"/>
        <w:rPr>
          <w:sz w:val="20"/>
        </w:rPr>
      </w:pPr>
      <w:r>
        <w:rPr>
          <w:sz w:val="20"/>
        </w:rPr>
        <w:t>Temps pour avoir effet d’analgésie et pour récupération courts.</w:t>
      </w:r>
    </w:p>
    <w:p w:rsidR="00C533EC" w:rsidRDefault="00407842" w:rsidP="00407842">
      <w:pPr>
        <w:pStyle w:val="Paragraphedeliste"/>
        <w:numPr>
          <w:ilvl w:val="0"/>
          <w:numId w:val="19"/>
        </w:numPr>
        <w:tabs>
          <w:tab w:val="left" w:pos="2269"/>
        </w:tabs>
        <w:spacing w:after="0"/>
        <w:rPr>
          <w:sz w:val="20"/>
        </w:rPr>
      </w:pPr>
      <w:r>
        <w:rPr>
          <w:sz w:val="20"/>
        </w:rPr>
        <w:t>Relative stabilité cardiovasculaire.</w:t>
      </w:r>
    </w:p>
    <w:p w:rsidR="00407842" w:rsidRDefault="00407842" w:rsidP="00407842">
      <w:pPr>
        <w:pStyle w:val="Paragraphedeliste"/>
        <w:numPr>
          <w:ilvl w:val="0"/>
          <w:numId w:val="19"/>
        </w:numPr>
        <w:tabs>
          <w:tab w:val="left" w:pos="2269"/>
        </w:tabs>
        <w:spacing w:after="0"/>
        <w:rPr>
          <w:sz w:val="20"/>
        </w:rPr>
      </w:pPr>
      <w:r>
        <w:rPr>
          <w:sz w:val="20"/>
        </w:rPr>
        <w:t>Effets 2° : rigidité musculaire, pas de libération d’H2</w:t>
      </w:r>
      <w:r w:rsidR="000D2D71">
        <w:rPr>
          <w:sz w:val="20"/>
        </w:rPr>
        <w:t xml:space="preserve"> (contrairement à la morphine, explique peut-être en partie la stabilité cardiovasculaire).</w:t>
      </w:r>
    </w:p>
    <w:p w:rsidR="00C533EC" w:rsidRDefault="00C533EC" w:rsidP="00C533EC">
      <w:pPr>
        <w:pStyle w:val="Paragraphedeliste"/>
        <w:numPr>
          <w:ilvl w:val="0"/>
          <w:numId w:val="1"/>
        </w:numPr>
        <w:tabs>
          <w:tab w:val="left" w:pos="2269"/>
        </w:tabs>
        <w:spacing w:after="0"/>
        <w:rPr>
          <w:sz w:val="20"/>
        </w:rPr>
      </w:pPr>
      <w:r w:rsidRPr="00C533EC">
        <w:rPr>
          <w:sz w:val="20"/>
          <w:highlight w:val="yellow"/>
        </w:rPr>
        <w:t>Lopéramide</w:t>
      </w:r>
      <w:r>
        <w:rPr>
          <w:sz w:val="20"/>
        </w:rPr>
        <w:t> :</w:t>
      </w:r>
      <w:r w:rsidR="000D2D71">
        <w:rPr>
          <w:sz w:val="20"/>
        </w:rPr>
        <w:t xml:space="preserve"> ne pénètre pas dans SNC à doses thérapeutiques, indiqué comme antidiarrhéique.</w:t>
      </w:r>
    </w:p>
    <w:p w:rsidR="00C533EC" w:rsidRDefault="00C533EC" w:rsidP="00C533EC">
      <w:pPr>
        <w:tabs>
          <w:tab w:val="left" w:pos="2269"/>
        </w:tabs>
        <w:spacing w:after="0"/>
        <w:rPr>
          <w:sz w:val="20"/>
        </w:rPr>
      </w:pPr>
    </w:p>
    <w:p w:rsidR="00E64ABB" w:rsidRDefault="00C533EC" w:rsidP="00E64ABB">
      <w:pPr>
        <w:tabs>
          <w:tab w:val="left" w:pos="2269"/>
        </w:tabs>
        <w:spacing w:after="0"/>
        <w:rPr>
          <w:sz w:val="20"/>
        </w:rPr>
      </w:pPr>
      <w:r w:rsidRPr="00C533EC">
        <w:rPr>
          <w:b/>
          <w:sz w:val="20"/>
        </w:rPr>
        <w:t>Méthadone</w:t>
      </w:r>
      <w:r>
        <w:rPr>
          <w:sz w:val="20"/>
        </w:rPr>
        <w:t> :</w:t>
      </w:r>
      <w:r w:rsidR="00EE0AD4">
        <w:rPr>
          <w:sz w:val="20"/>
        </w:rPr>
        <w:t xml:space="preserve"> utilisée pour traitements de sevrage</w:t>
      </w:r>
      <w:r w:rsidR="00E64ABB">
        <w:rPr>
          <w:sz w:val="20"/>
        </w:rPr>
        <w:t xml:space="preserve"> aux opiacés</w:t>
      </w:r>
      <w:r w:rsidR="00EE0AD4">
        <w:rPr>
          <w:sz w:val="20"/>
        </w:rPr>
        <w:t xml:space="preserve"> car ½ vie longue (15-40h).</w:t>
      </w:r>
    </w:p>
    <w:p w:rsidR="00EE0AD4" w:rsidRPr="00E64ABB" w:rsidRDefault="00EE0AD4" w:rsidP="00E64ABB">
      <w:pPr>
        <w:pStyle w:val="Paragraphedeliste"/>
        <w:numPr>
          <w:ilvl w:val="0"/>
          <w:numId w:val="1"/>
        </w:numPr>
        <w:tabs>
          <w:tab w:val="left" w:pos="2269"/>
        </w:tabs>
        <w:spacing w:after="0"/>
        <w:rPr>
          <w:sz w:val="20"/>
        </w:rPr>
      </w:pPr>
      <w:r w:rsidRPr="00E64ABB">
        <w:rPr>
          <w:sz w:val="20"/>
        </w:rPr>
        <w:t>Absorption orale, métabolisme hépatique.</w:t>
      </w:r>
    </w:p>
    <w:p w:rsidR="00E64ABB" w:rsidRPr="00E64ABB" w:rsidRDefault="00EE0AD4" w:rsidP="00E64ABB">
      <w:pPr>
        <w:pStyle w:val="Paragraphedeliste"/>
        <w:numPr>
          <w:ilvl w:val="0"/>
          <w:numId w:val="1"/>
        </w:numPr>
        <w:tabs>
          <w:tab w:val="left" w:pos="2269"/>
        </w:tabs>
        <w:spacing w:after="0"/>
        <w:rPr>
          <w:sz w:val="20"/>
        </w:rPr>
      </w:pPr>
      <w:r w:rsidRPr="00E64ABB">
        <w:rPr>
          <w:sz w:val="20"/>
        </w:rPr>
        <w:t>Effets 2° : interactions médicamenteuses</w:t>
      </w:r>
      <w:r w:rsidR="00E64ABB" w:rsidRPr="00E64ABB">
        <w:rPr>
          <w:sz w:val="20"/>
        </w:rPr>
        <w:t xml:space="preserve"> (CYP3A4), toxicité idem que morphine. Peut causer mort à hautes doses (car prolongement QT). </w:t>
      </w:r>
      <w:r w:rsidR="00E64ABB">
        <w:rPr>
          <w:sz w:val="20"/>
        </w:rPr>
        <w:t>Dans les traitements de sevrage o</w:t>
      </w:r>
      <w:r w:rsidR="00E64ABB" w:rsidRPr="00E64ABB">
        <w:rPr>
          <w:sz w:val="20"/>
        </w:rPr>
        <w:t>n préfère utiliser la morphine s’il faut administrer des doses élevées, car pas de problèmes QT</w:t>
      </w:r>
      <w:r w:rsidR="00E64ABB">
        <w:rPr>
          <w:sz w:val="20"/>
        </w:rPr>
        <w:t>.</w:t>
      </w:r>
    </w:p>
    <w:p w:rsidR="00E64ABB" w:rsidRPr="00EE0AD4" w:rsidRDefault="00E64ABB" w:rsidP="00EE0AD4">
      <w:pPr>
        <w:pStyle w:val="Paragraphedeliste"/>
        <w:numPr>
          <w:ilvl w:val="0"/>
          <w:numId w:val="1"/>
        </w:numPr>
        <w:tabs>
          <w:tab w:val="left" w:pos="2269"/>
        </w:tabs>
        <w:spacing w:after="0"/>
        <w:rPr>
          <w:sz w:val="20"/>
        </w:rPr>
      </w:pPr>
      <w:r>
        <w:rPr>
          <w:sz w:val="20"/>
        </w:rPr>
        <w:t>Indications : douleurs chroniques, traitement de sevrage aux opiacés.</w:t>
      </w:r>
    </w:p>
    <w:p w:rsidR="00C533EC" w:rsidRDefault="00C533EC" w:rsidP="00C533EC">
      <w:pPr>
        <w:tabs>
          <w:tab w:val="left" w:pos="2269"/>
        </w:tabs>
        <w:spacing w:after="0"/>
        <w:rPr>
          <w:sz w:val="20"/>
        </w:rPr>
      </w:pPr>
    </w:p>
    <w:p w:rsidR="00C533EC" w:rsidRDefault="00C533EC" w:rsidP="00C533EC">
      <w:pPr>
        <w:tabs>
          <w:tab w:val="left" w:pos="2269"/>
        </w:tabs>
        <w:spacing w:after="0"/>
        <w:rPr>
          <w:sz w:val="20"/>
        </w:rPr>
      </w:pPr>
      <w:r w:rsidRPr="002758B9">
        <w:rPr>
          <w:b/>
          <w:sz w:val="20"/>
        </w:rPr>
        <w:t>Agonistes partiels</w:t>
      </w:r>
      <w:r w:rsidR="000F46A6">
        <w:rPr>
          <w:b/>
          <w:sz w:val="20"/>
        </w:rPr>
        <w:t xml:space="preserve"> - </w:t>
      </w:r>
      <w:r w:rsidR="000F46A6" w:rsidRPr="000F46A6">
        <w:rPr>
          <w:b/>
          <w:sz w:val="20"/>
          <w:highlight w:val="yellow"/>
        </w:rPr>
        <w:t>buprénorphine</w:t>
      </w:r>
      <w:r>
        <w:rPr>
          <w:sz w:val="20"/>
        </w:rPr>
        <w:t> :</w:t>
      </w:r>
    </w:p>
    <w:p w:rsidR="000F46A6" w:rsidRDefault="000F46A6" w:rsidP="000F46A6">
      <w:pPr>
        <w:pStyle w:val="Paragraphedeliste"/>
        <w:numPr>
          <w:ilvl w:val="0"/>
          <w:numId w:val="1"/>
        </w:numPr>
        <w:tabs>
          <w:tab w:val="left" w:pos="2269"/>
        </w:tabs>
        <w:spacing w:after="0"/>
        <w:rPr>
          <w:sz w:val="20"/>
        </w:rPr>
      </w:pPr>
      <w:r>
        <w:rPr>
          <w:sz w:val="20"/>
        </w:rPr>
        <w:t>Agoniste partiel µ, hautement lipophile donc très puissant (25-50x plus que morphine).</w:t>
      </w:r>
    </w:p>
    <w:p w:rsidR="000F46A6" w:rsidRDefault="000F46A6" w:rsidP="000F46A6">
      <w:pPr>
        <w:pStyle w:val="Paragraphedeliste"/>
        <w:numPr>
          <w:ilvl w:val="0"/>
          <w:numId w:val="1"/>
        </w:numPr>
        <w:tabs>
          <w:tab w:val="left" w:pos="2269"/>
        </w:tabs>
        <w:spacing w:after="0"/>
        <w:rPr>
          <w:sz w:val="20"/>
        </w:rPr>
      </w:pPr>
      <w:r>
        <w:rPr>
          <w:sz w:val="20"/>
        </w:rPr>
        <w:t>Effet pharmacologique plus long que ½ vie plasmatique car dissociation lente du récepteur.</w:t>
      </w:r>
    </w:p>
    <w:p w:rsidR="000F46A6" w:rsidRDefault="000F46A6" w:rsidP="000F46A6">
      <w:pPr>
        <w:pStyle w:val="Paragraphedeliste"/>
        <w:numPr>
          <w:ilvl w:val="0"/>
          <w:numId w:val="1"/>
        </w:numPr>
        <w:tabs>
          <w:tab w:val="left" w:pos="2269"/>
        </w:tabs>
        <w:spacing w:after="0"/>
        <w:rPr>
          <w:sz w:val="20"/>
        </w:rPr>
      </w:pPr>
      <w:r>
        <w:rPr>
          <w:sz w:val="20"/>
        </w:rPr>
        <w:t>Élimination digestive</w:t>
      </w:r>
    </w:p>
    <w:p w:rsidR="000F46A6" w:rsidRDefault="000F46A6" w:rsidP="000F46A6">
      <w:pPr>
        <w:pStyle w:val="Paragraphedeliste"/>
        <w:numPr>
          <w:ilvl w:val="0"/>
          <w:numId w:val="1"/>
        </w:numPr>
        <w:tabs>
          <w:tab w:val="left" w:pos="2269"/>
        </w:tabs>
        <w:spacing w:after="0"/>
        <w:rPr>
          <w:sz w:val="20"/>
        </w:rPr>
      </w:pPr>
      <w:r>
        <w:rPr>
          <w:sz w:val="20"/>
        </w:rPr>
        <w:t>Indications : sevrage, traitement de douleurs modérées</w:t>
      </w:r>
    </w:p>
    <w:p w:rsidR="000F46A6" w:rsidRPr="000F46A6" w:rsidRDefault="000F46A6" w:rsidP="000F46A6">
      <w:pPr>
        <w:pStyle w:val="Paragraphedeliste"/>
        <w:numPr>
          <w:ilvl w:val="0"/>
          <w:numId w:val="1"/>
        </w:numPr>
        <w:tabs>
          <w:tab w:val="left" w:pos="2269"/>
        </w:tabs>
        <w:spacing w:after="0"/>
        <w:rPr>
          <w:sz w:val="20"/>
        </w:rPr>
      </w:pPr>
      <w:r>
        <w:rPr>
          <w:sz w:val="20"/>
        </w:rPr>
        <w:t xml:space="preserve">Cave : risque de sevrage chez patient sous autre traitement opioïde car moins efficace. On utilise ceci pour antagoniser dépression respiratoire due à fentanyl (grande affinité pour son </w:t>
      </w:r>
      <w:r w:rsidR="000A4D2B">
        <w:rPr>
          <w:sz w:val="20"/>
        </w:rPr>
        <w:t>récepteur, naloxone ne résout pas le problème).</w:t>
      </w:r>
    </w:p>
    <w:p w:rsidR="002758B9" w:rsidRDefault="002758B9" w:rsidP="00C533EC">
      <w:pPr>
        <w:tabs>
          <w:tab w:val="left" w:pos="2269"/>
        </w:tabs>
        <w:spacing w:after="0"/>
        <w:rPr>
          <w:sz w:val="20"/>
        </w:rPr>
      </w:pPr>
    </w:p>
    <w:p w:rsidR="002758B9" w:rsidRDefault="002758B9" w:rsidP="00C533EC">
      <w:pPr>
        <w:tabs>
          <w:tab w:val="left" w:pos="2269"/>
        </w:tabs>
        <w:spacing w:after="0"/>
        <w:rPr>
          <w:sz w:val="20"/>
        </w:rPr>
      </w:pPr>
      <w:r w:rsidRPr="002758B9">
        <w:rPr>
          <w:b/>
          <w:sz w:val="20"/>
          <w:u w:val="single"/>
        </w:rPr>
        <w:t>Douleur chronique</w:t>
      </w:r>
      <w:r>
        <w:rPr>
          <w:sz w:val="20"/>
        </w:rPr>
        <w:t> :</w:t>
      </w:r>
    </w:p>
    <w:p w:rsidR="002758B9" w:rsidRDefault="002758B9" w:rsidP="00C533EC">
      <w:pPr>
        <w:tabs>
          <w:tab w:val="left" w:pos="2269"/>
        </w:tabs>
        <w:spacing w:after="0"/>
        <w:rPr>
          <w:sz w:val="20"/>
        </w:rPr>
      </w:pPr>
    </w:p>
    <w:p w:rsidR="002758B9" w:rsidRDefault="002758B9" w:rsidP="00C533EC">
      <w:pPr>
        <w:tabs>
          <w:tab w:val="left" w:pos="2269"/>
        </w:tabs>
        <w:spacing w:after="0"/>
        <w:rPr>
          <w:sz w:val="20"/>
        </w:rPr>
      </w:pPr>
      <w:r w:rsidRPr="002B5982">
        <w:rPr>
          <w:b/>
          <w:sz w:val="20"/>
        </w:rPr>
        <w:t>Paliers de l’OMS</w:t>
      </w:r>
      <w:r>
        <w:rPr>
          <w:sz w:val="20"/>
        </w:rPr>
        <w:t> :</w:t>
      </w:r>
    </w:p>
    <w:p w:rsidR="002758B9" w:rsidRDefault="002758B9" w:rsidP="00C533EC">
      <w:pPr>
        <w:tabs>
          <w:tab w:val="left" w:pos="2269"/>
        </w:tabs>
        <w:spacing w:after="0"/>
        <w:rPr>
          <w:sz w:val="20"/>
        </w:rPr>
      </w:pPr>
      <w:r>
        <w:rPr>
          <w:sz w:val="20"/>
        </w:rPr>
        <w:t>1.</w:t>
      </w:r>
      <w:r w:rsidR="002B5982">
        <w:rPr>
          <w:sz w:val="20"/>
        </w:rPr>
        <w:t xml:space="preserve"> paracétamol + AINS</w:t>
      </w:r>
    </w:p>
    <w:p w:rsidR="002758B9" w:rsidRDefault="002758B9" w:rsidP="00C533EC">
      <w:pPr>
        <w:tabs>
          <w:tab w:val="left" w:pos="2269"/>
        </w:tabs>
        <w:spacing w:after="0"/>
        <w:rPr>
          <w:sz w:val="20"/>
        </w:rPr>
      </w:pPr>
      <w:r>
        <w:rPr>
          <w:sz w:val="20"/>
        </w:rPr>
        <w:t>2.</w:t>
      </w:r>
      <w:r w:rsidR="002B5982">
        <w:rPr>
          <w:sz w:val="20"/>
        </w:rPr>
        <w:t xml:space="preserve"> + opioïdes faibles : codéine, hydrocodéïne, tramal, buprénorphine</w:t>
      </w:r>
    </w:p>
    <w:p w:rsidR="002758B9" w:rsidRDefault="002758B9" w:rsidP="00C533EC">
      <w:pPr>
        <w:tabs>
          <w:tab w:val="left" w:pos="2269"/>
        </w:tabs>
        <w:spacing w:after="0"/>
        <w:rPr>
          <w:sz w:val="20"/>
        </w:rPr>
      </w:pPr>
      <w:r>
        <w:rPr>
          <w:sz w:val="20"/>
        </w:rPr>
        <w:t>3.</w:t>
      </w:r>
      <w:r w:rsidR="002B5982">
        <w:rPr>
          <w:sz w:val="20"/>
        </w:rPr>
        <w:t xml:space="preserve"> + opioïdes forts : morphine, hydromorphone, oxycodone, fentanyl, méthadone</w:t>
      </w:r>
    </w:p>
    <w:p w:rsidR="002758B9" w:rsidRDefault="002758B9" w:rsidP="00C533EC">
      <w:pPr>
        <w:tabs>
          <w:tab w:val="left" w:pos="2269"/>
        </w:tabs>
        <w:spacing w:after="0"/>
        <w:rPr>
          <w:sz w:val="20"/>
        </w:rPr>
      </w:pPr>
    </w:p>
    <w:p w:rsidR="006D2075" w:rsidRDefault="006D2075">
      <w:pPr>
        <w:rPr>
          <w:b/>
          <w:sz w:val="20"/>
        </w:rPr>
      </w:pPr>
      <w:r>
        <w:rPr>
          <w:b/>
          <w:sz w:val="20"/>
        </w:rPr>
        <w:br w:type="page"/>
      </w:r>
    </w:p>
    <w:p w:rsidR="002758B9" w:rsidRDefault="002B5982" w:rsidP="00C533EC">
      <w:pPr>
        <w:tabs>
          <w:tab w:val="left" w:pos="2269"/>
        </w:tabs>
        <w:spacing w:after="0"/>
        <w:rPr>
          <w:sz w:val="20"/>
        </w:rPr>
      </w:pPr>
      <w:r w:rsidRPr="002B5982">
        <w:rPr>
          <w:b/>
          <w:sz w:val="20"/>
        </w:rPr>
        <w:lastRenderedPageBreak/>
        <w:t>Gestion des effets indésirables</w:t>
      </w:r>
      <w:r>
        <w:rPr>
          <w:sz w:val="20"/>
        </w:rPr>
        <w:t> :</w:t>
      </w:r>
    </w:p>
    <w:tbl>
      <w:tblPr>
        <w:tblStyle w:val="Grilledutableau"/>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6379"/>
      </w:tblGrid>
      <w:tr w:rsidR="000A4D2B" w:rsidTr="000A4D2B">
        <w:tc>
          <w:tcPr>
            <w:tcW w:w="4395" w:type="dxa"/>
          </w:tcPr>
          <w:p w:rsidR="000A4D2B" w:rsidRDefault="000A4D2B" w:rsidP="000A4D2B">
            <w:pPr>
              <w:pStyle w:val="Paragraphedeliste"/>
              <w:numPr>
                <w:ilvl w:val="0"/>
                <w:numId w:val="1"/>
              </w:numPr>
              <w:tabs>
                <w:tab w:val="left" w:pos="2269"/>
              </w:tabs>
              <w:rPr>
                <w:sz w:val="20"/>
              </w:rPr>
            </w:pPr>
            <w:r>
              <w:rPr>
                <w:sz w:val="20"/>
              </w:rPr>
              <w:t>Constipation : laxatifs</w:t>
            </w:r>
          </w:p>
          <w:p w:rsidR="000A4D2B" w:rsidRDefault="000A4D2B" w:rsidP="000A4D2B">
            <w:pPr>
              <w:pStyle w:val="Paragraphedeliste"/>
              <w:numPr>
                <w:ilvl w:val="0"/>
                <w:numId w:val="1"/>
              </w:numPr>
              <w:tabs>
                <w:tab w:val="left" w:pos="2269"/>
              </w:tabs>
              <w:rPr>
                <w:sz w:val="20"/>
              </w:rPr>
            </w:pPr>
            <w:r>
              <w:rPr>
                <w:sz w:val="20"/>
              </w:rPr>
              <w:t>Nausées : métoclopramide, ondansétron</w:t>
            </w:r>
          </w:p>
          <w:p w:rsidR="000A4D2B" w:rsidRPr="000A4D2B" w:rsidRDefault="000A4D2B" w:rsidP="000A4D2B">
            <w:pPr>
              <w:pStyle w:val="Paragraphedeliste"/>
              <w:numPr>
                <w:ilvl w:val="0"/>
                <w:numId w:val="1"/>
              </w:numPr>
              <w:tabs>
                <w:tab w:val="left" w:pos="2269"/>
              </w:tabs>
              <w:rPr>
                <w:sz w:val="20"/>
              </w:rPr>
            </w:pPr>
            <w:r>
              <w:rPr>
                <w:sz w:val="20"/>
              </w:rPr>
              <w:t>Syndrome de neurotoxicité (trouble de concentration/parole) : rotation opiacés</w:t>
            </w:r>
          </w:p>
        </w:tc>
        <w:tc>
          <w:tcPr>
            <w:tcW w:w="6379" w:type="dxa"/>
          </w:tcPr>
          <w:p w:rsidR="000A4D2B" w:rsidRDefault="000A4D2B" w:rsidP="000A4D2B">
            <w:pPr>
              <w:pStyle w:val="Paragraphedeliste"/>
              <w:numPr>
                <w:ilvl w:val="0"/>
                <w:numId w:val="1"/>
              </w:numPr>
              <w:tabs>
                <w:tab w:val="left" w:pos="2269"/>
              </w:tabs>
              <w:rPr>
                <w:sz w:val="20"/>
              </w:rPr>
            </w:pPr>
            <w:r>
              <w:rPr>
                <w:sz w:val="20"/>
              </w:rPr>
              <w:t>Rétention urinaire : attention aux anticholinergiques</w:t>
            </w:r>
          </w:p>
          <w:p w:rsidR="000A4D2B" w:rsidRDefault="000A4D2B" w:rsidP="000A4D2B">
            <w:pPr>
              <w:pStyle w:val="Paragraphedeliste"/>
              <w:numPr>
                <w:ilvl w:val="0"/>
                <w:numId w:val="1"/>
              </w:numPr>
              <w:tabs>
                <w:tab w:val="left" w:pos="2269"/>
              </w:tabs>
              <w:rPr>
                <w:sz w:val="20"/>
              </w:rPr>
            </w:pPr>
            <w:r>
              <w:rPr>
                <w:sz w:val="20"/>
              </w:rPr>
              <w:t>Dépression respiratoire : naloxone/buprénorphine</w:t>
            </w:r>
          </w:p>
          <w:p w:rsidR="000A4D2B" w:rsidRPr="000A4D2B" w:rsidRDefault="000A4D2B" w:rsidP="000A4D2B">
            <w:pPr>
              <w:pStyle w:val="Paragraphedeliste"/>
              <w:numPr>
                <w:ilvl w:val="0"/>
                <w:numId w:val="1"/>
              </w:numPr>
              <w:tabs>
                <w:tab w:val="left" w:pos="2269"/>
              </w:tabs>
              <w:rPr>
                <w:sz w:val="20"/>
              </w:rPr>
            </w:pPr>
            <w:r>
              <w:rPr>
                <w:sz w:val="20"/>
              </w:rPr>
              <w:t>Tolérance/dépendance (après 3-4 semaines) : rotation des opiacés</w:t>
            </w:r>
          </w:p>
        </w:tc>
      </w:tr>
    </w:tbl>
    <w:p w:rsidR="002B5982" w:rsidRDefault="002B5982" w:rsidP="00C533EC">
      <w:pPr>
        <w:tabs>
          <w:tab w:val="left" w:pos="2269"/>
        </w:tabs>
        <w:spacing w:after="0"/>
        <w:rPr>
          <w:sz w:val="20"/>
        </w:rPr>
      </w:pPr>
    </w:p>
    <w:p w:rsidR="002B5982" w:rsidRDefault="002B5982" w:rsidP="00C533EC">
      <w:pPr>
        <w:tabs>
          <w:tab w:val="left" w:pos="2269"/>
        </w:tabs>
        <w:spacing w:after="0"/>
        <w:rPr>
          <w:sz w:val="20"/>
        </w:rPr>
      </w:pPr>
      <w:r w:rsidRPr="002B5982">
        <w:rPr>
          <w:b/>
          <w:sz w:val="20"/>
        </w:rPr>
        <w:t>Les co-analgésiques</w:t>
      </w:r>
      <w:r>
        <w:rPr>
          <w:sz w:val="20"/>
        </w:rPr>
        <w:t> :</w:t>
      </w:r>
      <w:r w:rsidR="000A4D2B">
        <w:rPr>
          <w:sz w:val="20"/>
        </w:rPr>
        <w:t xml:space="preserve"> employés seulement si les opioïdes ne suffisent pas.</w:t>
      </w:r>
      <w:r w:rsidR="000E3303">
        <w:rPr>
          <w:sz w:val="20"/>
        </w:rPr>
        <w:t xml:space="preserve"> Ne sont pas utilisés comme analgésiques en premier lieu mais peuvent potentialiser un effet antalgique ; utile surtout dans les cas de douleurs chroniques.</w:t>
      </w:r>
    </w:p>
    <w:p w:rsidR="000E3303" w:rsidRDefault="000E3303" w:rsidP="000E3303">
      <w:pPr>
        <w:pStyle w:val="Paragraphedeliste"/>
        <w:numPr>
          <w:ilvl w:val="0"/>
          <w:numId w:val="1"/>
        </w:numPr>
        <w:tabs>
          <w:tab w:val="left" w:pos="2269"/>
        </w:tabs>
        <w:spacing w:after="0"/>
        <w:rPr>
          <w:sz w:val="20"/>
        </w:rPr>
      </w:pPr>
      <w:r>
        <w:rPr>
          <w:sz w:val="20"/>
        </w:rPr>
        <w:t>Douleurs neuropathiques (ex douleurs fantômes après section de nerfs) : tricycliques</w:t>
      </w:r>
    </w:p>
    <w:p w:rsidR="000E3303" w:rsidRDefault="000E3303" w:rsidP="000E3303">
      <w:pPr>
        <w:pStyle w:val="Paragraphedeliste"/>
        <w:numPr>
          <w:ilvl w:val="0"/>
          <w:numId w:val="1"/>
        </w:numPr>
        <w:tabs>
          <w:tab w:val="left" w:pos="2269"/>
        </w:tabs>
        <w:spacing w:after="0"/>
        <w:rPr>
          <w:sz w:val="20"/>
        </w:rPr>
      </w:pPr>
      <w:r>
        <w:rPr>
          <w:sz w:val="20"/>
        </w:rPr>
        <w:t xml:space="preserve">Migraines : </w:t>
      </w:r>
      <w:r w:rsidR="003E445D">
        <w:rPr>
          <w:sz w:val="20"/>
        </w:rPr>
        <w:t xml:space="preserve">antimigraineux = </w:t>
      </w:r>
      <w:r w:rsidRPr="003E445D">
        <w:rPr>
          <w:sz w:val="20"/>
          <w:highlight w:val="yellow"/>
        </w:rPr>
        <w:t>-triptans</w:t>
      </w:r>
      <w:r>
        <w:rPr>
          <w:sz w:val="20"/>
        </w:rPr>
        <w:t xml:space="preserve"> (agoniste 5-HT1)</w:t>
      </w:r>
    </w:p>
    <w:p w:rsidR="000E3303" w:rsidRDefault="000E3303" w:rsidP="000E3303">
      <w:pPr>
        <w:pStyle w:val="Paragraphedeliste"/>
        <w:numPr>
          <w:ilvl w:val="0"/>
          <w:numId w:val="1"/>
        </w:numPr>
        <w:tabs>
          <w:tab w:val="left" w:pos="2269"/>
        </w:tabs>
        <w:spacing w:after="0"/>
        <w:rPr>
          <w:sz w:val="20"/>
        </w:rPr>
      </w:pPr>
      <w:r>
        <w:rPr>
          <w:sz w:val="20"/>
        </w:rPr>
        <w:t>Douleurs osseuses : corticoïdes et biphosponates</w:t>
      </w:r>
    </w:p>
    <w:p w:rsidR="000E3303" w:rsidRDefault="000E3303" w:rsidP="000E3303">
      <w:pPr>
        <w:pStyle w:val="Paragraphedeliste"/>
        <w:numPr>
          <w:ilvl w:val="0"/>
          <w:numId w:val="1"/>
        </w:numPr>
        <w:tabs>
          <w:tab w:val="left" w:pos="2269"/>
        </w:tabs>
        <w:spacing w:after="0"/>
        <w:rPr>
          <w:sz w:val="20"/>
        </w:rPr>
      </w:pPr>
      <w:r>
        <w:rPr>
          <w:sz w:val="20"/>
        </w:rPr>
        <w:t>Douleurs viscérales : métamizole = analgésique, spasmolytique, antipyrétique</w:t>
      </w:r>
      <w:r w:rsidR="006D2075">
        <w:rPr>
          <w:sz w:val="20"/>
        </w:rPr>
        <w:t xml:space="preserve"> et anticholinergique lors d’occlusion intestinale.</w:t>
      </w:r>
    </w:p>
    <w:p w:rsidR="000E3303" w:rsidRDefault="000E3303" w:rsidP="000E3303">
      <w:pPr>
        <w:pStyle w:val="Paragraphedeliste"/>
        <w:numPr>
          <w:ilvl w:val="0"/>
          <w:numId w:val="1"/>
        </w:numPr>
        <w:tabs>
          <w:tab w:val="left" w:pos="2269"/>
        </w:tabs>
        <w:spacing w:after="0"/>
        <w:rPr>
          <w:sz w:val="20"/>
        </w:rPr>
      </w:pPr>
      <w:r>
        <w:rPr>
          <w:sz w:val="20"/>
        </w:rPr>
        <w:t>Douleurs musculaires</w:t>
      </w:r>
      <w:r w:rsidR="006D2075">
        <w:rPr>
          <w:sz w:val="20"/>
        </w:rPr>
        <w:t> : baclofpne = agoniste des récepteurs GABA</w:t>
      </w:r>
      <w:r w:rsidR="006D2075" w:rsidRPr="006D2075">
        <w:rPr>
          <w:sz w:val="20"/>
          <w:vertAlign w:val="subscript"/>
        </w:rPr>
        <w:t>B</w:t>
      </w:r>
      <w:r w:rsidR="006D2075">
        <w:rPr>
          <w:sz w:val="20"/>
        </w:rPr>
        <w:t xml:space="preserve"> et autres myorelaxants</w:t>
      </w:r>
    </w:p>
    <w:p w:rsidR="006D2075" w:rsidRDefault="006D2075" w:rsidP="006D2075">
      <w:pPr>
        <w:tabs>
          <w:tab w:val="left" w:pos="2269"/>
        </w:tabs>
        <w:spacing w:after="0"/>
        <w:rPr>
          <w:sz w:val="20"/>
        </w:rPr>
      </w:pPr>
    </w:p>
    <w:p w:rsidR="003E445D" w:rsidRDefault="003E445D" w:rsidP="006D2075">
      <w:pPr>
        <w:tabs>
          <w:tab w:val="left" w:pos="2269"/>
        </w:tabs>
        <w:spacing w:after="0"/>
        <w:rPr>
          <w:sz w:val="20"/>
        </w:rPr>
      </w:pPr>
    </w:p>
    <w:p w:rsidR="003E445D" w:rsidRPr="003E445D" w:rsidRDefault="003E445D" w:rsidP="003E445D">
      <w:pPr>
        <w:tabs>
          <w:tab w:val="left" w:pos="2269"/>
        </w:tabs>
        <w:spacing w:after="0"/>
        <w:jc w:val="center"/>
        <w:rPr>
          <w:b/>
          <w:sz w:val="20"/>
        </w:rPr>
      </w:pPr>
      <w:r w:rsidRPr="003E445D">
        <w:rPr>
          <w:b/>
        </w:rPr>
        <w:t>Les antimigraineux</w:t>
      </w:r>
    </w:p>
    <w:p w:rsidR="003E445D" w:rsidRDefault="003E445D" w:rsidP="006D2075">
      <w:pPr>
        <w:tabs>
          <w:tab w:val="left" w:pos="2269"/>
        </w:tabs>
        <w:spacing w:after="0"/>
        <w:rPr>
          <w:sz w:val="20"/>
        </w:rPr>
      </w:pPr>
    </w:p>
    <w:p w:rsidR="003E445D" w:rsidRDefault="003E445D" w:rsidP="003E445D">
      <w:pPr>
        <w:spacing w:after="0"/>
        <w:rPr>
          <w:sz w:val="20"/>
        </w:rPr>
      </w:pPr>
      <w:r w:rsidRPr="003E445D">
        <w:rPr>
          <w:b/>
          <w:sz w:val="20"/>
          <w:u w:val="single"/>
        </w:rPr>
        <w:t>Introduction</w:t>
      </w:r>
      <w:r>
        <w:rPr>
          <w:sz w:val="20"/>
        </w:rPr>
        <w:t> : les migraines touchent 10-20% de la population. Il est parfois associé au syndrome neurologique combinant de multiples symptômes (céphalées, photophobie, hyperacousie, troubles d’humeur/appétit, polyurie, diarrhées…). Les antimigraineux sont des agonistes des récepteurs 5-HT.</w:t>
      </w:r>
    </w:p>
    <w:p w:rsidR="003E445D" w:rsidRDefault="003E445D" w:rsidP="003E445D">
      <w:pPr>
        <w:spacing w:after="0"/>
        <w:rPr>
          <w:sz w:val="20"/>
        </w:rPr>
      </w:pPr>
    </w:p>
    <w:p w:rsidR="003E445D" w:rsidRDefault="003E445D" w:rsidP="003E445D">
      <w:pPr>
        <w:spacing w:after="0"/>
        <w:rPr>
          <w:sz w:val="20"/>
        </w:rPr>
      </w:pPr>
      <w:r w:rsidRPr="006D455E">
        <w:rPr>
          <w:b/>
          <w:sz w:val="20"/>
          <w:u w:val="single"/>
        </w:rPr>
        <w:t>Les récepteurs 5-HT</w:t>
      </w:r>
      <w:r>
        <w:rPr>
          <w:sz w:val="20"/>
        </w:rPr>
        <w:t> :</w:t>
      </w:r>
    </w:p>
    <w:p w:rsidR="003E445D" w:rsidRDefault="003E445D" w:rsidP="003E445D">
      <w:pPr>
        <w:pStyle w:val="Paragraphedeliste"/>
        <w:numPr>
          <w:ilvl w:val="0"/>
          <w:numId w:val="1"/>
        </w:numPr>
        <w:spacing w:after="0"/>
        <w:rPr>
          <w:sz w:val="20"/>
        </w:rPr>
      </w:pPr>
      <w:r>
        <w:rPr>
          <w:sz w:val="20"/>
        </w:rPr>
        <w:t>5-HT</w:t>
      </w:r>
      <w:r w:rsidRPr="00E40940">
        <w:rPr>
          <w:sz w:val="20"/>
          <w:vertAlign w:val="subscript"/>
        </w:rPr>
        <w:t>1</w:t>
      </w:r>
      <w:r>
        <w:rPr>
          <w:sz w:val="20"/>
        </w:rPr>
        <w:t> : GPCR, active canaux K</w:t>
      </w:r>
      <w:r w:rsidRPr="003E445D">
        <w:rPr>
          <w:sz w:val="20"/>
          <w:vertAlign w:val="superscript"/>
        </w:rPr>
        <w:t>+</w:t>
      </w:r>
      <w:r>
        <w:rPr>
          <w:sz w:val="20"/>
        </w:rPr>
        <w:t xml:space="preserve"> et inhibe canaux Ca</w:t>
      </w:r>
      <w:r w:rsidRPr="003E445D">
        <w:rPr>
          <w:sz w:val="20"/>
          <w:vertAlign w:val="superscript"/>
        </w:rPr>
        <w:t>2+</w:t>
      </w:r>
      <w:r w:rsidR="006D455E">
        <w:rPr>
          <w:sz w:val="20"/>
          <w:vertAlign w:val="superscript"/>
        </w:rPr>
        <w:t> </w:t>
      </w:r>
      <w:r w:rsidR="006D455E">
        <w:rPr>
          <w:sz w:val="20"/>
        </w:rPr>
        <w:t>. Localisé plutôt dans SNC et induit vasoconstriction</w:t>
      </w:r>
      <w:r w:rsidR="00E40940">
        <w:rPr>
          <w:sz w:val="20"/>
        </w:rPr>
        <w:t>. Cet autorécepteur synaptique régule la libération de 5-HT dans le cerveau.</w:t>
      </w:r>
    </w:p>
    <w:p w:rsidR="003E445D" w:rsidRDefault="003E445D" w:rsidP="003E445D">
      <w:pPr>
        <w:pStyle w:val="Paragraphedeliste"/>
        <w:numPr>
          <w:ilvl w:val="0"/>
          <w:numId w:val="1"/>
        </w:numPr>
        <w:spacing w:after="0"/>
        <w:rPr>
          <w:sz w:val="20"/>
        </w:rPr>
      </w:pPr>
      <w:r>
        <w:rPr>
          <w:sz w:val="20"/>
        </w:rPr>
        <w:t>5-HT</w:t>
      </w:r>
      <w:r w:rsidRPr="00E40940">
        <w:rPr>
          <w:sz w:val="20"/>
          <w:vertAlign w:val="subscript"/>
        </w:rPr>
        <w:t>2</w:t>
      </w:r>
      <w:r>
        <w:rPr>
          <w:sz w:val="20"/>
        </w:rPr>
        <w:t> :</w:t>
      </w:r>
      <w:r w:rsidR="006D455E">
        <w:rPr>
          <w:sz w:val="20"/>
        </w:rPr>
        <w:t xml:space="preserve"> GPCR. Récepteur prédominant des vaisseaux sanguins périphériques et induit vasodilatation.</w:t>
      </w:r>
    </w:p>
    <w:p w:rsidR="006D455E" w:rsidRDefault="006D455E" w:rsidP="003E445D">
      <w:pPr>
        <w:pStyle w:val="Paragraphedeliste"/>
        <w:numPr>
          <w:ilvl w:val="0"/>
          <w:numId w:val="1"/>
        </w:numPr>
        <w:spacing w:after="0"/>
        <w:rPr>
          <w:sz w:val="20"/>
        </w:rPr>
      </w:pPr>
      <w:r>
        <w:rPr>
          <w:sz w:val="20"/>
        </w:rPr>
        <w:t>5-HT</w:t>
      </w:r>
      <w:r w:rsidRPr="00E40940">
        <w:rPr>
          <w:sz w:val="20"/>
          <w:vertAlign w:val="subscript"/>
        </w:rPr>
        <w:t>3</w:t>
      </w:r>
      <w:r>
        <w:rPr>
          <w:sz w:val="20"/>
        </w:rPr>
        <w:t> : canal ionique, liaison à 5-HT induit dépolarisation</w:t>
      </w:r>
    </w:p>
    <w:p w:rsidR="006D455E" w:rsidRDefault="006D455E" w:rsidP="003E445D">
      <w:pPr>
        <w:pStyle w:val="Paragraphedeliste"/>
        <w:numPr>
          <w:ilvl w:val="0"/>
          <w:numId w:val="1"/>
        </w:numPr>
        <w:spacing w:after="0"/>
        <w:rPr>
          <w:sz w:val="20"/>
        </w:rPr>
      </w:pPr>
      <w:r>
        <w:rPr>
          <w:sz w:val="20"/>
        </w:rPr>
        <w:t>5-HT</w:t>
      </w:r>
      <w:r w:rsidRPr="00E40940">
        <w:rPr>
          <w:sz w:val="20"/>
          <w:vertAlign w:val="subscript"/>
        </w:rPr>
        <w:t>4 </w:t>
      </w:r>
      <w:r>
        <w:rPr>
          <w:sz w:val="20"/>
        </w:rPr>
        <w:t>: GPCR couplé à Gs</w:t>
      </w:r>
    </w:p>
    <w:p w:rsidR="006D455E" w:rsidRDefault="006D455E" w:rsidP="006D455E">
      <w:pPr>
        <w:spacing w:after="0"/>
        <w:rPr>
          <w:sz w:val="20"/>
        </w:rPr>
      </w:pPr>
    </w:p>
    <w:p w:rsidR="006D455E" w:rsidRDefault="006D455E" w:rsidP="006D455E">
      <w:pPr>
        <w:spacing w:after="0"/>
        <w:rPr>
          <w:sz w:val="20"/>
        </w:rPr>
      </w:pPr>
      <w:r w:rsidRPr="006D455E">
        <w:rPr>
          <w:b/>
          <w:sz w:val="20"/>
          <w:u w:val="single"/>
        </w:rPr>
        <w:t>Les antimigraineux</w:t>
      </w:r>
      <w:r>
        <w:rPr>
          <w:sz w:val="20"/>
        </w:rPr>
        <w:t> :</w:t>
      </w:r>
    </w:p>
    <w:p w:rsidR="00E40940" w:rsidRDefault="00E40940" w:rsidP="00E40940">
      <w:pPr>
        <w:spacing w:after="0"/>
        <w:rPr>
          <w:sz w:val="20"/>
        </w:rPr>
      </w:pPr>
    </w:p>
    <w:p w:rsidR="00E40940" w:rsidRDefault="00E40940" w:rsidP="00E40940">
      <w:pPr>
        <w:spacing w:after="0"/>
        <w:rPr>
          <w:sz w:val="20"/>
        </w:rPr>
      </w:pPr>
      <w:r>
        <w:rPr>
          <w:sz w:val="20"/>
        </w:rPr>
        <w:t>Triptans (ex sumatriptan) :</w:t>
      </w:r>
    </w:p>
    <w:p w:rsidR="00E40940" w:rsidRDefault="00E40940" w:rsidP="00E40940">
      <w:pPr>
        <w:pStyle w:val="Paragraphedeliste"/>
        <w:numPr>
          <w:ilvl w:val="0"/>
          <w:numId w:val="1"/>
        </w:numPr>
        <w:spacing w:after="0"/>
        <w:rPr>
          <w:sz w:val="20"/>
        </w:rPr>
      </w:pPr>
      <w:r>
        <w:rPr>
          <w:sz w:val="20"/>
        </w:rPr>
        <w:t>Pharmacodynamie : agonistes 5-HT1, cause vasoconstriction des vaisseaux intracrâniens</w:t>
      </w:r>
    </w:p>
    <w:p w:rsidR="00E40940" w:rsidRDefault="00E40940" w:rsidP="00E40940">
      <w:pPr>
        <w:pStyle w:val="Paragraphedeliste"/>
        <w:numPr>
          <w:ilvl w:val="0"/>
          <w:numId w:val="1"/>
        </w:numPr>
        <w:spacing w:after="0"/>
        <w:rPr>
          <w:sz w:val="20"/>
        </w:rPr>
      </w:pPr>
      <w:r>
        <w:rPr>
          <w:sz w:val="20"/>
        </w:rPr>
        <w:t>Cinétique : administration orale/sous-cutanée, faible biodisponibilité.</w:t>
      </w:r>
    </w:p>
    <w:p w:rsidR="00E40940" w:rsidRDefault="00E40940" w:rsidP="00E40940">
      <w:pPr>
        <w:pStyle w:val="Paragraphedeliste"/>
        <w:numPr>
          <w:ilvl w:val="0"/>
          <w:numId w:val="1"/>
        </w:numPr>
        <w:spacing w:after="0"/>
        <w:rPr>
          <w:sz w:val="20"/>
        </w:rPr>
      </w:pPr>
      <w:r>
        <w:rPr>
          <w:sz w:val="20"/>
        </w:rPr>
        <w:t>Indications : efficace dans crise de migraine (prévention par β-bloquants).</w:t>
      </w:r>
    </w:p>
    <w:p w:rsidR="00E40940" w:rsidRDefault="00E40940" w:rsidP="00E40940">
      <w:pPr>
        <w:pStyle w:val="Paragraphedeliste"/>
        <w:numPr>
          <w:ilvl w:val="0"/>
          <w:numId w:val="1"/>
        </w:numPr>
        <w:spacing w:after="0"/>
        <w:rPr>
          <w:sz w:val="20"/>
        </w:rPr>
      </w:pPr>
      <w:r>
        <w:rPr>
          <w:sz w:val="20"/>
        </w:rPr>
        <w:t>Effets 2° : rares mais sérieux, ex spasme coronaire et ischémie (donc contrindiqué chez patients avec maladie coronarienne).</w:t>
      </w:r>
    </w:p>
    <w:p w:rsidR="00E40940" w:rsidRDefault="00E40940" w:rsidP="00E40940">
      <w:pPr>
        <w:spacing w:after="0"/>
        <w:rPr>
          <w:sz w:val="20"/>
        </w:rPr>
      </w:pPr>
    </w:p>
    <w:p w:rsidR="007A329C" w:rsidRDefault="00E40940" w:rsidP="00E40940">
      <w:pPr>
        <w:spacing w:after="0"/>
        <w:rPr>
          <w:sz w:val="20"/>
        </w:rPr>
      </w:pPr>
      <w:r w:rsidRPr="00E40940">
        <w:rPr>
          <w:sz w:val="20"/>
          <w:highlight w:val="yellow"/>
        </w:rPr>
        <w:t>Dihydroergotamine</w:t>
      </w:r>
      <w:r>
        <w:rPr>
          <w:sz w:val="20"/>
        </w:rPr>
        <w:t xml:space="preserve"> : alcaloïde de l’ergot de seigle. Effet similaire aux triptans mais moins spécifique. </w:t>
      </w:r>
      <w:r w:rsidRPr="007A329C">
        <w:rPr>
          <w:sz w:val="20"/>
          <w:highlight w:val="yellow"/>
        </w:rPr>
        <w:t>Ergotisme</w:t>
      </w:r>
      <w:r>
        <w:rPr>
          <w:sz w:val="20"/>
        </w:rPr>
        <w:t xml:space="preserve"> = intoxication : vasospasme coronaire et périphérique, ischémie, troubles du rythme, HTA…</w:t>
      </w:r>
    </w:p>
    <w:p w:rsidR="007A329C" w:rsidRDefault="007A329C">
      <w:pPr>
        <w:rPr>
          <w:sz w:val="20"/>
        </w:rPr>
      </w:pPr>
      <w:r>
        <w:rPr>
          <w:sz w:val="20"/>
        </w:rPr>
        <w:br w:type="page"/>
      </w:r>
    </w:p>
    <w:p w:rsidR="00E40940" w:rsidRPr="007A329C" w:rsidRDefault="007A329C" w:rsidP="007A329C">
      <w:pPr>
        <w:spacing w:after="0"/>
        <w:jc w:val="center"/>
        <w:rPr>
          <w:b/>
        </w:rPr>
      </w:pPr>
      <w:r w:rsidRPr="007A329C">
        <w:rPr>
          <w:b/>
        </w:rPr>
        <w:lastRenderedPageBreak/>
        <w:t>Les anesthésiques généraux</w:t>
      </w:r>
    </w:p>
    <w:p w:rsidR="007A329C" w:rsidRDefault="007A329C" w:rsidP="00E40940">
      <w:pPr>
        <w:spacing w:after="0"/>
        <w:rPr>
          <w:sz w:val="20"/>
        </w:rPr>
      </w:pPr>
    </w:p>
    <w:p w:rsidR="007A329C" w:rsidRPr="007A329C" w:rsidRDefault="007A329C" w:rsidP="007A329C">
      <w:pPr>
        <w:spacing w:after="0"/>
        <w:rPr>
          <w:sz w:val="20"/>
        </w:rPr>
      </w:pPr>
      <w:r w:rsidRPr="007A329C">
        <w:rPr>
          <w:b/>
          <w:sz w:val="20"/>
          <w:u w:val="single"/>
        </w:rPr>
        <w:t>Introduction</w:t>
      </w:r>
      <w:r>
        <w:rPr>
          <w:sz w:val="20"/>
        </w:rPr>
        <w:t> : l’anesthésie générale</w:t>
      </w:r>
      <w:r w:rsidRPr="007A329C">
        <w:rPr>
          <w:sz w:val="20"/>
        </w:rPr>
        <w:t xml:space="preserve"> comprend </w:t>
      </w:r>
      <w:r>
        <w:rPr>
          <w:sz w:val="20"/>
        </w:rPr>
        <w:t>par définition</w:t>
      </w:r>
    </w:p>
    <w:p w:rsidR="007A329C" w:rsidRPr="007A329C" w:rsidRDefault="007A329C" w:rsidP="007A329C">
      <w:pPr>
        <w:pStyle w:val="Paragraphedeliste"/>
        <w:numPr>
          <w:ilvl w:val="0"/>
          <w:numId w:val="1"/>
        </w:numPr>
        <w:spacing w:after="0"/>
        <w:rPr>
          <w:sz w:val="20"/>
        </w:rPr>
      </w:pPr>
      <w:r>
        <w:rPr>
          <w:sz w:val="20"/>
        </w:rPr>
        <w:t>Amnésie : parfois un état de conscience résiduel fait que le patient se rappelle de certains événements de son opération. C’est quelque chose qu’on veut éviter le plus possible.</w:t>
      </w:r>
    </w:p>
    <w:p w:rsidR="007A329C" w:rsidRPr="007A329C" w:rsidRDefault="007A329C" w:rsidP="007A329C">
      <w:pPr>
        <w:pStyle w:val="Paragraphedeliste"/>
        <w:numPr>
          <w:ilvl w:val="0"/>
          <w:numId w:val="1"/>
        </w:numPr>
        <w:spacing w:after="0"/>
        <w:rPr>
          <w:sz w:val="20"/>
        </w:rPr>
      </w:pPr>
      <w:r w:rsidRPr="007A329C">
        <w:rPr>
          <w:sz w:val="20"/>
        </w:rPr>
        <w:t>Immobilité</w:t>
      </w:r>
      <w:r>
        <w:rPr>
          <w:sz w:val="20"/>
        </w:rPr>
        <w:t xml:space="preserve"> en réponse à un stimulus nocif</w:t>
      </w:r>
    </w:p>
    <w:p w:rsidR="007A329C" w:rsidRDefault="007A329C" w:rsidP="007A329C">
      <w:pPr>
        <w:pStyle w:val="Paragraphedeliste"/>
        <w:numPr>
          <w:ilvl w:val="0"/>
          <w:numId w:val="1"/>
        </w:numPr>
        <w:spacing w:after="0"/>
        <w:rPr>
          <w:sz w:val="20"/>
        </w:rPr>
      </w:pPr>
      <w:r w:rsidRPr="007A329C">
        <w:rPr>
          <w:sz w:val="20"/>
        </w:rPr>
        <w:t>Atténuation de la réponse du système nerveux autonome à un stimulus nocif</w:t>
      </w:r>
      <w:r w:rsidR="00FC725D">
        <w:rPr>
          <w:sz w:val="20"/>
        </w:rPr>
        <w:t> : souvent l’effet qui apparaît le moins vite (nécessite doses plus élevées que pour les autres effets).</w:t>
      </w:r>
      <w:r w:rsidRPr="007A329C">
        <w:rPr>
          <w:sz w:val="20"/>
        </w:rPr>
        <w:t xml:space="preserve"> </w:t>
      </w:r>
    </w:p>
    <w:p w:rsidR="007A329C" w:rsidRPr="007A329C" w:rsidRDefault="007A329C" w:rsidP="007A329C">
      <w:pPr>
        <w:pStyle w:val="Paragraphedeliste"/>
        <w:numPr>
          <w:ilvl w:val="0"/>
          <w:numId w:val="1"/>
        </w:numPr>
        <w:spacing w:after="0"/>
        <w:rPr>
          <w:sz w:val="20"/>
        </w:rPr>
      </w:pPr>
      <w:r>
        <w:rPr>
          <w:sz w:val="20"/>
        </w:rPr>
        <w:t>A</w:t>
      </w:r>
      <w:r w:rsidRPr="007A329C">
        <w:rPr>
          <w:sz w:val="20"/>
        </w:rPr>
        <w:t>nalgésie</w:t>
      </w:r>
      <w:r>
        <w:rPr>
          <w:sz w:val="20"/>
        </w:rPr>
        <w:t> : on ajoute parfois des opiacés si elle n’est pas optimale</w:t>
      </w:r>
    </w:p>
    <w:p w:rsidR="007A329C" w:rsidRDefault="007A329C" w:rsidP="007A329C">
      <w:pPr>
        <w:pStyle w:val="Paragraphedeliste"/>
        <w:numPr>
          <w:ilvl w:val="0"/>
          <w:numId w:val="1"/>
        </w:numPr>
        <w:spacing w:after="0"/>
        <w:rPr>
          <w:sz w:val="20"/>
        </w:rPr>
      </w:pPr>
      <w:r>
        <w:rPr>
          <w:sz w:val="20"/>
        </w:rPr>
        <w:t>P</w:t>
      </w:r>
      <w:r w:rsidRPr="007A329C">
        <w:rPr>
          <w:sz w:val="20"/>
        </w:rPr>
        <w:t>erte de conscience</w:t>
      </w:r>
      <w:r>
        <w:rPr>
          <w:sz w:val="20"/>
        </w:rPr>
        <w:t> : n’implique pas forcément une analgésie, on peut être inconscient et ressentir des douleurs !!</w:t>
      </w:r>
    </w:p>
    <w:p w:rsidR="007A329C" w:rsidRDefault="007A329C" w:rsidP="007A329C">
      <w:pPr>
        <w:spacing w:after="0"/>
        <w:rPr>
          <w:sz w:val="20"/>
        </w:rPr>
      </w:pPr>
    </w:p>
    <w:p w:rsidR="007A329C" w:rsidRDefault="00902362" w:rsidP="007A329C">
      <w:pPr>
        <w:spacing w:after="0"/>
        <w:rPr>
          <w:sz w:val="20"/>
        </w:rPr>
      </w:pPr>
      <w:r w:rsidRPr="00902362">
        <w:rPr>
          <w:b/>
          <w:sz w:val="20"/>
        </w:rPr>
        <w:t>Critères et propriétés</w:t>
      </w:r>
      <w:r>
        <w:rPr>
          <w:sz w:val="20"/>
        </w:rPr>
        <w:t> : o</w:t>
      </w:r>
      <w:r w:rsidR="007A329C">
        <w:rPr>
          <w:sz w:val="20"/>
        </w:rPr>
        <w:t>n exige que les anesthésiques généraux soient contrôlables (i.e. ajustables), avec temps d’induction et d’arrêt courts.</w:t>
      </w:r>
      <w:r w:rsidR="007A329C" w:rsidRPr="007A329C">
        <w:rPr>
          <w:sz w:val="20"/>
        </w:rPr>
        <w:t xml:space="preserve"> </w:t>
      </w:r>
      <w:r w:rsidR="007A329C">
        <w:rPr>
          <w:sz w:val="20"/>
        </w:rPr>
        <w:t>Les anesthésiques généraux</w:t>
      </w:r>
      <w:r>
        <w:rPr>
          <w:sz w:val="20"/>
        </w:rPr>
        <w:t xml:space="preserve"> </w:t>
      </w:r>
      <w:r w:rsidR="007A329C">
        <w:rPr>
          <w:sz w:val="20"/>
        </w:rPr>
        <w:t xml:space="preserve">englobent </w:t>
      </w:r>
      <w:r>
        <w:rPr>
          <w:sz w:val="20"/>
        </w:rPr>
        <w:t>différentes classes de substances :</w:t>
      </w:r>
    </w:p>
    <w:p w:rsidR="00902362" w:rsidRDefault="00902362" w:rsidP="00902362">
      <w:pPr>
        <w:pStyle w:val="Paragraphedeliste"/>
        <w:numPr>
          <w:ilvl w:val="0"/>
          <w:numId w:val="1"/>
        </w:numPr>
        <w:spacing w:after="0"/>
        <w:rPr>
          <w:sz w:val="20"/>
        </w:rPr>
      </w:pPr>
      <w:r>
        <w:rPr>
          <w:sz w:val="20"/>
        </w:rPr>
        <w:t>Anesthésiques volatiles (gaz comme N</w:t>
      </w:r>
      <w:r w:rsidRPr="00902362">
        <w:rPr>
          <w:sz w:val="20"/>
          <w:vertAlign w:val="subscript"/>
        </w:rPr>
        <w:t>2</w:t>
      </w:r>
      <w:r>
        <w:rPr>
          <w:sz w:val="20"/>
        </w:rPr>
        <w:t>0</w:t>
      </w:r>
      <w:r w:rsidR="00CD1243">
        <w:rPr>
          <w:sz w:val="20"/>
        </w:rPr>
        <w:t xml:space="preserve"> = protoxyde d’azote,</w:t>
      </w:r>
      <w:r>
        <w:rPr>
          <w:sz w:val="20"/>
        </w:rPr>
        <w:t xml:space="preserve"> ou liquides volatilisés) : administrés par inhalation. La dose administrée équivaut à la pression partielle de l’anesthésique dans l’air inspiré.</w:t>
      </w:r>
    </w:p>
    <w:p w:rsidR="00902362" w:rsidRDefault="00902362" w:rsidP="00902362">
      <w:pPr>
        <w:pStyle w:val="Paragraphedeliste"/>
        <w:numPr>
          <w:ilvl w:val="0"/>
          <w:numId w:val="1"/>
        </w:numPr>
        <w:spacing w:after="0"/>
        <w:rPr>
          <w:sz w:val="20"/>
        </w:rPr>
      </w:pPr>
      <w:r>
        <w:rPr>
          <w:sz w:val="20"/>
        </w:rPr>
        <w:t>Anesthésiques administrés par voie parentérale</w:t>
      </w:r>
    </w:p>
    <w:p w:rsidR="00902362" w:rsidRDefault="00902362" w:rsidP="00902362">
      <w:pPr>
        <w:spacing w:after="0"/>
        <w:rPr>
          <w:sz w:val="20"/>
        </w:rPr>
      </w:pPr>
      <w:r>
        <w:rPr>
          <w:sz w:val="20"/>
        </w:rPr>
        <w:t>Ces substances ont une marge thérapeutique étroite  (index thérapeutique LD</w:t>
      </w:r>
      <w:r w:rsidRPr="00902362">
        <w:rPr>
          <w:sz w:val="20"/>
          <w:vertAlign w:val="subscript"/>
        </w:rPr>
        <w:t>50</w:t>
      </w:r>
      <w:r>
        <w:rPr>
          <w:sz w:val="20"/>
        </w:rPr>
        <w:t>/ED</w:t>
      </w:r>
      <w:r w:rsidRPr="00902362">
        <w:rPr>
          <w:sz w:val="20"/>
          <w:vertAlign w:val="subscript"/>
        </w:rPr>
        <w:t>50</w:t>
      </w:r>
      <w:r>
        <w:rPr>
          <w:sz w:val="20"/>
        </w:rPr>
        <w:t xml:space="preserve"> = 2-4). </w:t>
      </w:r>
      <w:r w:rsidR="00FC725D">
        <w:rPr>
          <w:sz w:val="20"/>
        </w:rPr>
        <w:t xml:space="preserve">Bien </w:t>
      </w:r>
      <w:r>
        <w:rPr>
          <w:sz w:val="20"/>
        </w:rPr>
        <w:t>qu’elles p</w:t>
      </w:r>
      <w:r w:rsidRPr="00902362">
        <w:rPr>
          <w:sz w:val="20"/>
        </w:rPr>
        <w:t xml:space="preserve">roduisent un état anesthésique relativement semblable, </w:t>
      </w:r>
      <w:r>
        <w:rPr>
          <w:sz w:val="20"/>
        </w:rPr>
        <w:t>elles</w:t>
      </w:r>
      <w:r w:rsidRPr="00902362">
        <w:rPr>
          <w:sz w:val="20"/>
        </w:rPr>
        <w:t xml:space="preserve"> diffèrent dans les effets </w:t>
      </w:r>
      <w:r>
        <w:rPr>
          <w:sz w:val="20"/>
        </w:rPr>
        <w:t>indésirables.</w:t>
      </w:r>
    </w:p>
    <w:p w:rsidR="00FC725D" w:rsidRDefault="00FC725D" w:rsidP="00902362">
      <w:pPr>
        <w:spacing w:after="0"/>
        <w:rPr>
          <w:sz w:val="20"/>
        </w:rPr>
      </w:pPr>
    </w:p>
    <w:p w:rsidR="00A532F2" w:rsidRDefault="00A532F2" w:rsidP="00A532F2">
      <w:pPr>
        <w:spacing w:after="0"/>
        <w:rPr>
          <w:rFonts w:eastAsiaTheme="minorEastAsia"/>
          <w:sz w:val="20"/>
        </w:rPr>
      </w:pPr>
      <w:r>
        <w:rPr>
          <w:rFonts w:eastAsiaTheme="minorEastAsia"/>
          <w:sz w:val="20"/>
        </w:rPr>
        <w:t>Objectifs thérapeutiques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 xml:space="preserve">Maintenir une anesthésie chirurgicale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 xml:space="preserve">Minimiser les effets indésirables potentiels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 xml:space="preserve">Maintenir l’homéostasie physiologique durant la procédure chirurgicale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Optimiser les suites post-opératoires</w:t>
      </w:r>
    </w:p>
    <w:p w:rsidR="00A532F2" w:rsidRDefault="00A532F2" w:rsidP="00FC725D">
      <w:pPr>
        <w:spacing w:after="0"/>
        <w:rPr>
          <w:b/>
          <w:sz w:val="20"/>
        </w:rPr>
      </w:pPr>
    </w:p>
    <w:p w:rsidR="00FC725D" w:rsidRDefault="00FC725D" w:rsidP="00FC725D">
      <w:pPr>
        <w:spacing w:after="0"/>
        <w:rPr>
          <w:sz w:val="20"/>
        </w:rPr>
      </w:pPr>
      <w:r w:rsidRPr="00FC725D">
        <w:rPr>
          <w:b/>
          <w:sz w:val="20"/>
        </w:rPr>
        <w:t>Mécanisme d’action des anesthésiques généraux</w:t>
      </w:r>
      <w:r>
        <w:rPr>
          <w:sz w:val="20"/>
        </w:rPr>
        <w:t xml:space="preserve"> : inhibition </w:t>
      </w:r>
      <w:r w:rsidRPr="00FC725D">
        <w:rPr>
          <w:sz w:val="20"/>
        </w:rPr>
        <w:t>des synapses excitatrices, activation de synapses inhibitrices</w:t>
      </w:r>
      <w:r>
        <w:rPr>
          <w:sz w:val="20"/>
        </w:rPr>
        <w:t>. Pour ce faire, ces substances doivent s’insérer dans la membrane plasmique, et à ce titre ont besoin d’avoir une certaine liposolubilité.</w:t>
      </w:r>
      <w:r w:rsidR="00361AF6">
        <w:rPr>
          <w:sz w:val="20"/>
        </w:rPr>
        <w:t xml:space="preserve"> On distingue plusieurs cibles moléculaires :</w:t>
      </w:r>
    </w:p>
    <w:p w:rsidR="00361AF6" w:rsidRPr="00361AF6" w:rsidRDefault="00361AF6" w:rsidP="00361AF6">
      <w:pPr>
        <w:pStyle w:val="Paragraphedeliste"/>
        <w:numPr>
          <w:ilvl w:val="0"/>
          <w:numId w:val="1"/>
        </w:numPr>
        <w:spacing w:after="0"/>
        <w:rPr>
          <w:sz w:val="20"/>
        </w:rPr>
      </w:pPr>
      <w:r w:rsidRPr="00361AF6">
        <w:rPr>
          <w:sz w:val="20"/>
        </w:rPr>
        <w:t>canaux ioniques : agonistes des récepteurs GABA</w:t>
      </w:r>
      <w:r w:rsidRPr="00361AF6">
        <w:rPr>
          <w:sz w:val="20"/>
          <w:vertAlign w:val="subscript"/>
        </w:rPr>
        <w:t>A</w:t>
      </w:r>
      <w:r w:rsidRPr="00361AF6">
        <w:rPr>
          <w:sz w:val="20"/>
        </w:rPr>
        <w:t xml:space="preserve"> et/ou des récepteurs à la glycine, antagonistes des </w:t>
      </w:r>
    </w:p>
    <w:p w:rsidR="00361AF6" w:rsidRPr="00361AF6" w:rsidRDefault="00361AF6" w:rsidP="00361AF6">
      <w:pPr>
        <w:pStyle w:val="Paragraphedeliste"/>
        <w:spacing w:after="0"/>
        <w:rPr>
          <w:sz w:val="20"/>
        </w:rPr>
      </w:pPr>
      <w:r>
        <w:rPr>
          <w:sz w:val="20"/>
        </w:rPr>
        <w:t>r</w:t>
      </w:r>
      <w:r w:rsidRPr="00361AF6">
        <w:rPr>
          <w:sz w:val="20"/>
        </w:rPr>
        <w:t>écepteurs au NMDA (N</w:t>
      </w:r>
      <w:r w:rsidRPr="00361AF6">
        <w:rPr>
          <w:sz w:val="20"/>
          <w:vertAlign w:val="subscript"/>
        </w:rPr>
        <w:t>2</w:t>
      </w:r>
      <w:r w:rsidRPr="00361AF6">
        <w:rPr>
          <w:sz w:val="20"/>
        </w:rPr>
        <w:t xml:space="preserve">O, kétamine), antagonistes des récepteur à Ach. </w:t>
      </w:r>
    </w:p>
    <w:p w:rsidR="00361AF6" w:rsidRDefault="00361AF6" w:rsidP="00361AF6">
      <w:pPr>
        <w:pStyle w:val="Paragraphedeliste"/>
        <w:numPr>
          <w:ilvl w:val="0"/>
          <w:numId w:val="1"/>
        </w:numPr>
        <w:spacing w:after="0"/>
        <w:rPr>
          <w:sz w:val="20"/>
        </w:rPr>
      </w:pPr>
      <w:r w:rsidRPr="00361AF6">
        <w:rPr>
          <w:sz w:val="20"/>
        </w:rPr>
        <w:t>Protéines impliquées dans la libération de neurotransmetteurs: syntaxine, synaptobrévine, SNAP-25</w:t>
      </w:r>
    </w:p>
    <w:p w:rsidR="00361AF6" w:rsidRDefault="00361AF6" w:rsidP="00361AF6">
      <w:pPr>
        <w:spacing w:after="0"/>
        <w:rPr>
          <w:sz w:val="20"/>
        </w:rPr>
      </w:pPr>
    </w:p>
    <w:p w:rsidR="00361AF6" w:rsidRDefault="00361AF6" w:rsidP="006D2A1D">
      <w:pPr>
        <w:spacing w:after="0"/>
        <w:rPr>
          <w:sz w:val="20"/>
        </w:rPr>
      </w:pPr>
      <w:r w:rsidRPr="00361AF6">
        <w:rPr>
          <w:b/>
          <w:sz w:val="20"/>
          <w:u w:val="single"/>
        </w:rPr>
        <w:t>Les anesthésiques volatiles (AV)</w:t>
      </w:r>
      <w:r>
        <w:rPr>
          <w:sz w:val="20"/>
        </w:rPr>
        <w:t> : l</w:t>
      </w:r>
      <w:r w:rsidRPr="00361AF6">
        <w:rPr>
          <w:sz w:val="20"/>
        </w:rPr>
        <w:t>a distribution tissulaire atteint un équilibre lorsque les pressions partielles de l’anesthésique sont égales entre l’air al</w:t>
      </w:r>
      <w:r>
        <w:rPr>
          <w:sz w:val="20"/>
        </w:rPr>
        <w:t xml:space="preserve">véolaire, le sang et les tissus. </w:t>
      </w:r>
      <w:r w:rsidRPr="00361AF6">
        <w:rPr>
          <w:sz w:val="20"/>
        </w:rPr>
        <w:t>L’anesthésie chirurgicale est a</w:t>
      </w:r>
      <w:r>
        <w:rPr>
          <w:sz w:val="20"/>
        </w:rPr>
        <w:t xml:space="preserve">tteinte lorsque cet </w:t>
      </w:r>
      <w:r w:rsidRPr="00361AF6">
        <w:rPr>
          <w:sz w:val="20"/>
        </w:rPr>
        <w:t>équilibre</w:t>
      </w:r>
      <w:r>
        <w:rPr>
          <w:sz w:val="20"/>
        </w:rPr>
        <w:t xml:space="preserve"> est établi ; on</w:t>
      </w:r>
      <w:r w:rsidRPr="00361AF6">
        <w:rPr>
          <w:sz w:val="20"/>
        </w:rPr>
        <w:t xml:space="preserve"> la </w:t>
      </w:r>
      <w:r>
        <w:rPr>
          <w:sz w:val="20"/>
        </w:rPr>
        <w:t xml:space="preserve">définit par la </w:t>
      </w:r>
      <w:r w:rsidR="001F7B5A">
        <w:rPr>
          <w:sz w:val="20"/>
        </w:rPr>
        <w:t>MAC</w:t>
      </w:r>
      <w:r>
        <w:rPr>
          <w:sz w:val="20"/>
        </w:rPr>
        <w:t xml:space="preserve"> (</w:t>
      </w:r>
      <w:r w:rsidR="001F7B5A">
        <w:rPr>
          <w:sz w:val="20"/>
        </w:rPr>
        <w:t>M</w:t>
      </w:r>
      <w:r w:rsidR="006D2A1D">
        <w:rPr>
          <w:sz w:val="20"/>
        </w:rPr>
        <w:t xml:space="preserve">inimal Alveolar Concentration), la </w:t>
      </w:r>
      <w:r w:rsidR="006D2A1D" w:rsidRPr="006D2A1D">
        <w:rPr>
          <w:sz w:val="20"/>
        </w:rPr>
        <w:t>pression partielle de l’anesthésique dans l’air alvéolaire nécessaire à la suppression de mouvements réflexes en réponse à un stimulus douloureux, chez 50% des patients soumis à une stimulation chirurgicale.</w:t>
      </w:r>
      <w:r w:rsidR="006D2A1D">
        <w:rPr>
          <w:sz w:val="20"/>
        </w:rPr>
        <w:t xml:space="preserve"> </w:t>
      </w:r>
      <w:r w:rsidR="001F7B5A">
        <w:rPr>
          <w:sz w:val="20"/>
        </w:rPr>
        <w:t xml:space="preserve">La MAC représente la </w:t>
      </w:r>
      <w:r>
        <w:rPr>
          <w:sz w:val="20"/>
        </w:rPr>
        <w:t>dose efficace</w:t>
      </w:r>
      <w:r w:rsidR="001F7B5A">
        <w:rPr>
          <w:sz w:val="20"/>
        </w:rPr>
        <w:t>,</w:t>
      </w:r>
      <w:r>
        <w:rPr>
          <w:sz w:val="20"/>
        </w:rPr>
        <w:t xml:space="preserve"> </w:t>
      </w:r>
      <w:r w:rsidR="001F7B5A">
        <w:rPr>
          <w:sz w:val="20"/>
        </w:rPr>
        <w:t>et donc détermine la puissance de l’anesthésique en vol%</w:t>
      </w:r>
      <w:r>
        <w:rPr>
          <w:sz w:val="20"/>
        </w:rPr>
        <w:t xml:space="preserve">. </w:t>
      </w:r>
      <w:r w:rsidRPr="00361AF6">
        <w:rPr>
          <w:sz w:val="20"/>
        </w:rPr>
        <w:t xml:space="preserve">A l’équilibre, </w:t>
      </w:r>
      <w:r w:rsidR="001F7B5A">
        <w:rPr>
          <w:sz w:val="20"/>
        </w:rPr>
        <w:t>MAC</w:t>
      </w:r>
      <w:r w:rsidRPr="00361AF6">
        <w:rPr>
          <w:sz w:val="20"/>
        </w:rPr>
        <w:t xml:space="preserve"> dans air </w:t>
      </w:r>
      <w:r>
        <w:rPr>
          <w:sz w:val="20"/>
        </w:rPr>
        <w:t>inspiré = MAC dans air expiré</w:t>
      </w:r>
      <w:r w:rsidR="001F7B5A">
        <w:rPr>
          <w:sz w:val="20"/>
        </w:rPr>
        <w:t xml:space="preserve">, et la mesure de la MAC équivaut </w:t>
      </w:r>
      <w:r w:rsidR="001F7B5A" w:rsidRPr="001F7B5A">
        <w:rPr>
          <w:sz w:val="20"/>
        </w:rPr>
        <w:t xml:space="preserve">une mesure de la pression partielle dans le SNC </w:t>
      </w:r>
      <w:r w:rsidR="001F7B5A">
        <w:rPr>
          <w:sz w:val="20"/>
        </w:rPr>
        <w:t>(</w:t>
      </w:r>
      <w:r w:rsidR="001F7B5A" w:rsidRPr="001F7B5A">
        <w:rPr>
          <w:sz w:val="20"/>
        </w:rPr>
        <w:t>donc de la concentration d’AV libre à son site d’action</w:t>
      </w:r>
      <w:r w:rsidR="001F7B5A">
        <w:rPr>
          <w:sz w:val="20"/>
        </w:rPr>
        <w:t>).</w:t>
      </w:r>
    </w:p>
    <w:p w:rsidR="00361AF6" w:rsidRPr="00361AF6" w:rsidRDefault="00361AF6" w:rsidP="00361AF6">
      <w:pPr>
        <w:spacing w:after="0"/>
        <w:rPr>
          <w:sz w:val="20"/>
        </w:rPr>
      </w:pPr>
      <w:r w:rsidRPr="00361AF6">
        <w:rPr>
          <w:sz w:val="20"/>
        </w:rPr>
        <w:t xml:space="preserve"> </w:t>
      </w:r>
    </w:p>
    <w:p w:rsidR="00163847" w:rsidRDefault="00361AF6" w:rsidP="00361AF6">
      <w:pPr>
        <w:spacing w:after="0"/>
        <w:rPr>
          <w:sz w:val="20"/>
        </w:rPr>
      </w:pPr>
      <w:r w:rsidRPr="001F7B5A">
        <w:rPr>
          <w:b/>
          <w:sz w:val="20"/>
        </w:rPr>
        <w:t xml:space="preserve">Le coefficient de partage </w:t>
      </w:r>
      <w:r w:rsidR="001F7B5A" w:rsidRPr="001F7B5A">
        <w:rPr>
          <w:b/>
          <w:sz w:val="20"/>
        </w:rPr>
        <w:t>d’un anesthésique volatile (AV)</w:t>
      </w:r>
      <w:r w:rsidR="001F7B5A">
        <w:rPr>
          <w:sz w:val="20"/>
        </w:rPr>
        <w:t xml:space="preserve"> : </w:t>
      </w:r>
      <w:r w:rsidRPr="00361AF6">
        <w:rPr>
          <w:sz w:val="20"/>
        </w:rPr>
        <w:t>définit le rapport des quantités d’AV dans deux tissus/milieux, à l’équilibre, lorsque les pressions partielles sont égales</w:t>
      </w:r>
      <w:r w:rsidR="001F7B5A">
        <w:rPr>
          <w:sz w:val="20"/>
        </w:rPr>
        <w:t>. Deux exemples à retenir :</w:t>
      </w:r>
    </w:p>
    <w:p w:rsidR="001F7B5A" w:rsidRDefault="00CD1243" w:rsidP="001F7B5A">
      <w:pPr>
        <w:pStyle w:val="Paragraphedeliste"/>
        <w:numPr>
          <w:ilvl w:val="0"/>
          <w:numId w:val="1"/>
        </w:numPr>
        <w:spacing w:after="0"/>
        <w:rPr>
          <w:sz w:val="20"/>
        </w:rPr>
      </w:pPr>
      <w:r>
        <w:rPr>
          <w:sz w:val="20"/>
        </w:rPr>
        <w:t>C</w:t>
      </w:r>
      <w:r w:rsidR="001F7B5A" w:rsidRPr="001F7B5A">
        <w:rPr>
          <w:sz w:val="20"/>
        </w:rPr>
        <w:t xml:space="preserve">oefficient de partage </w:t>
      </w:r>
      <w:r w:rsidR="001F7B5A">
        <w:rPr>
          <w:sz w:val="20"/>
        </w:rPr>
        <w:t>huile</w:t>
      </w:r>
      <w:r w:rsidR="00BA2078">
        <w:rPr>
          <w:sz w:val="20"/>
        </w:rPr>
        <w:t>/</w:t>
      </w:r>
      <w:r w:rsidR="001F7B5A">
        <w:rPr>
          <w:sz w:val="20"/>
        </w:rPr>
        <w:t>air</w:t>
      </w:r>
      <w:r w:rsidR="00BA2078">
        <w:rPr>
          <w:sz w:val="20"/>
        </w:rPr>
        <w:t xml:space="preserve"> : </w:t>
      </w:r>
      <w:r>
        <w:rPr>
          <w:sz w:val="20"/>
        </w:rPr>
        <w:t>définit la liposolubilité. S</w:t>
      </w:r>
      <w:r w:rsidR="00BA2078">
        <w:rPr>
          <w:sz w:val="20"/>
        </w:rPr>
        <w:t xml:space="preserve">elon la </w:t>
      </w:r>
      <w:r w:rsidR="00BA2078" w:rsidRPr="00CD1243">
        <w:rPr>
          <w:sz w:val="20"/>
          <w:highlight w:val="yellow"/>
        </w:rPr>
        <w:t>loi de Meyer-Overton</w:t>
      </w:r>
      <w:r w:rsidR="00BA2078">
        <w:rPr>
          <w:sz w:val="20"/>
        </w:rPr>
        <w:t xml:space="preserve">, </w:t>
      </w:r>
      <w:r>
        <w:rPr>
          <w:sz w:val="20"/>
        </w:rPr>
        <w:t>l</w:t>
      </w:r>
      <w:r w:rsidRPr="00CD1243">
        <w:rPr>
          <w:sz w:val="20"/>
        </w:rPr>
        <w:t xml:space="preserve">a puissance de l’anesthésique </w:t>
      </w:r>
      <w:r w:rsidR="007640FF">
        <w:rPr>
          <w:sz w:val="20"/>
        </w:rPr>
        <w:t>est proportionnelle</w:t>
      </w:r>
      <w:r w:rsidRPr="00CD1243">
        <w:rPr>
          <w:sz w:val="20"/>
        </w:rPr>
        <w:t xml:space="preserve"> sa </w:t>
      </w:r>
      <w:r>
        <w:rPr>
          <w:sz w:val="20"/>
        </w:rPr>
        <w:t xml:space="preserve">liposolubilité. </w:t>
      </w:r>
      <w:r w:rsidR="007640FF">
        <w:rPr>
          <w:sz w:val="20"/>
        </w:rPr>
        <w:t>En gros,</w:t>
      </w:r>
      <w:r>
        <w:rPr>
          <w:sz w:val="20"/>
        </w:rPr>
        <w:t xml:space="preserve"> plus l’anesthésique est lipophile, plus il est puissant et donc plus la MAC sera basse. Exemples :</w:t>
      </w:r>
    </w:p>
    <w:p w:rsidR="00CD1243" w:rsidRDefault="00CD1243" w:rsidP="00CD1243">
      <w:pPr>
        <w:pStyle w:val="Paragraphedeliste"/>
        <w:numPr>
          <w:ilvl w:val="0"/>
          <w:numId w:val="21"/>
        </w:numPr>
        <w:spacing w:after="0"/>
        <w:rPr>
          <w:sz w:val="20"/>
        </w:rPr>
      </w:pPr>
      <w:r>
        <w:rPr>
          <w:sz w:val="20"/>
        </w:rPr>
        <w:t>N</w:t>
      </w:r>
      <w:r w:rsidRPr="00CD1243">
        <w:rPr>
          <w:sz w:val="20"/>
          <w:vertAlign w:val="subscript"/>
        </w:rPr>
        <w:t>2</w:t>
      </w:r>
      <w:r>
        <w:rPr>
          <w:sz w:val="20"/>
        </w:rPr>
        <w:t>O</w:t>
      </w:r>
      <w:r w:rsidR="007640FF">
        <w:rPr>
          <w:sz w:val="20"/>
        </w:rPr>
        <w:t> : coefficient très faible, donc MAC élevée</w:t>
      </w:r>
    </w:p>
    <w:p w:rsidR="007640FF" w:rsidRDefault="007640FF" w:rsidP="00CD1243">
      <w:pPr>
        <w:pStyle w:val="Paragraphedeliste"/>
        <w:numPr>
          <w:ilvl w:val="0"/>
          <w:numId w:val="21"/>
        </w:numPr>
        <w:spacing w:after="0"/>
        <w:rPr>
          <w:sz w:val="20"/>
        </w:rPr>
      </w:pPr>
      <w:r>
        <w:rPr>
          <w:sz w:val="20"/>
        </w:rPr>
        <w:t>Halothane : coefficient très élevé, donc MAC basse</w:t>
      </w:r>
    </w:p>
    <w:p w:rsidR="00163847" w:rsidRPr="001F7B5A" w:rsidRDefault="00163847" w:rsidP="00163847">
      <w:pPr>
        <w:pStyle w:val="Paragraphedeliste"/>
        <w:spacing w:after="0"/>
        <w:ind w:left="1440"/>
        <w:rPr>
          <w:sz w:val="20"/>
        </w:rPr>
      </w:pPr>
    </w:p>
    <w:p w:rsidR="007640FF" w:rsidRDefault="00CD1243" w:rsidP="001F7B5A">
      <w:pPr>
        <w:pStyle w:val="Paragraphedeliste"/>
        <w:numPr>
          <w:ilvl w:val="0"/>
          <w:numId w:val="1"/>
        </w:numPr>
        <w:spacing w:after="0"/>
        <w:rPr>
          <w:sz w:val="20"/>
        </w:rPr>
      </w:pPr>
      <w:r>
        <w:rPr>
          <w:sz w:val="20"/>
        </w:rPr>
        <w:t>C</w:t>
      </w:r>
      <w:r w:rsidR="00361AF6" w:rsidRPr="001F7B5A">
        <w:rPr>
          <w:sz w:val="20"/>
        </w:rPr>
        <w:t>oefficient de partage sang</w:t>
      </w:r>
      <w:r w:rsidR="00BA2078">
        <w:rPr>
          <w:sz w:val="20"/>
        </w:rPr>
        <w:t>/</w:t>
      </w:r>
      <w:r w:rsidR="00361AF6" w:rsidRPr="001F7B5A">
        <w:rPr>
          <w:sz w:val="20"/>
        </w:rPr>
        <w:t>air</w:t>
      </w:r>
      <w:r w:rsidR="00BA2078">
        <w:rPr>
          <w:sz w:val="20"/>
        </w:rPr>
        <w:t> :</w:t>
      </w:r>
      <w:r w:rsidR="007640FF">
        <w:rPr>
          <w:sz w:val="20"/>
        </w:rPr>
        <w:t xml:space="preserve"> définit la solubilité relative de l’AV dans le sang par rapport à l’air (sous forme de gaz), ce qui définit la vitesse d’induction. Plus il est bas, plus les concentrations plasmatiques augmentent rapidement</w:t>
      </w:r>
      <w:r w:rsidR="00163847">
        <w:rPr>
          <w:sz w:val="20"/>
        </w:rPr>
        <w:t>.</w:t>
      </w:r>
    </w:p>
    <w:p w:rsidR="00163847" w:rsidRDefault="00163847" w:rsidP="00163847">
      <w:pPr>
        <w:pStyle w:val="Paragraphedeliste"/>
        <w:numPr>
          <w:ilvl w:val="0"/>
          <w:numId w:val="22"/>
        </w:numPr>
        <w:spacing w:after="0"/>
        <w:rPr>
          <w:sz w:val="20"/>
        </w:rPr>
      </w:pPr>
      <w:r>
        <w:rPr>
          <w:sz w:val="20"/>
        </w:rPr>
        <w:t>N</w:t>
      </w:r>
      <w:r w:rsidRPr="00CD1243">
        <w:rPr>
          <w:sz w:val="20"/>
          <w:vertAlign w:val="subscript"/>
        </w:rPr>
        <w:t>2</w:t>
      </w:r>
      <w:r>
        <w:rPr>
          <w:sz w:val="20"/>
        </w:rPr>
        <w:t>O : coefficient très faible, donc l’équilibre air-sang est vite atteint</w:t>
      </w:r>
    </w:p>
    <w:p w:rsidR="00163847" w:rsidRDefault="00163847" w:rsidP="00163847">
      <w:pPr>
        <w:pStyle w:val="Paragraphedeliste"/>
        <w:numPr>
          <w:ilvl w:val="0"/>
          <w:numId w:val="22"/>
        </w:numPr>
        <w:spacing w:after="0"/>
        <w:rPr>
          <w:sz w:val="20"/>
        </w:rPr>
      </w:pPr>
      <w:r>
        <w:rPr>
          <w:sz w:val="20"/>
        </w:rPr>
        <w:t>Halothane : coefficient très élevé, donc l’équilibre air-sang prend plus de temps</w:t>
      </w:r>
    </w:p>
    <w:p w:rsidR="00A532F2" w:rsidRDefault="00A532F2" w:rsidP="00A532F2">
      <w:pPr>
        <w:pStyle w:val="Paragraphedeliste"/>
        <w:spacing w:after="0"/>
        <w:ind w:left="1440"/>
        <w:rPr>
          <w:sz w:val="20"/>
        </w:rPr>
      </w:pPr>
    </w:p>
    <w:p w:rsidR="001F7B5A" w:rsidRDefault="00163847" w:rsidP="00163847">
      <w:pPr>
        <w:spacing w:after="0"/>
        <w:rPr>
          <w:rFonts w:eastAsiaTheme="minorEastAsia"/>
          <w:sz w:val="20"/>
        </w:rPr>
      </w:pPr>
      <w:r>
        <w:rPr>
          <w:sz w:val="20"/>
        </w:rPr>
        <w:t>Synthèse : on veut quelque chose qui agit à faibles doses (coefficient tissus/air élevé) et le plus rapidement possible (coefficient sang/air bas). Cela revient à dire qu’on</w:t>
      </w:r>
      <w:r w:rsidR="007640FF" w:rsidRPr="007640FF">
        <w:rPr>
          <w:sz w:val="20"/>
        </w:rPr>
        <w:t xml:space="preserve"> veut avoir un coefficient huile/sang élevé :</w:t>
      </w:r>
      <w:r w:rsidR="007640FF" w:rsidRPr="007640FF">
        <w:rPr>
          <w:sz w:val="20"/>
        </w:rPr>
        <w:tab/>
      </w:r>
      <w:r>
        <w:rPr>
          <w:sz w:val="20"/>
        </w:rPr>
        <w:tab/>
      </w:r>
      <w:r>
        <w:rPr>
          <w:sz w:val="20"/>
        </w:rPr>
        <w:tab/>
      </w:r>
      <w:r>
        <w:rPr>
          <w:sz w:val="20"/>
        </w:rPr>
        <w:tab/>
      </w:r>
      <w:r>
        <w:rPr>
          <w:sz w:val="20"/>
        </w:rPr>
        <w:tab/>
      </w:r>
      <m:oMath>
        <m:f>
          <m:fPr>
            <m:ctrlPr>
              <w:rPr>
                <w:rFonts w:ascii="Cambria Math" w:hAnsi="Cambria Math"/>
                <w:sz w:val="20"/>
              </w:rPr>
            </m:ctrlPr>
          </m:fPr>
          <m:num>
            <m:r>
              <m:rPr>
                <m:sty m:val="p"/>
              </m:rPr>
              <w:rPr>
                <w:rFonts w:ascii="Cambria Math" w:hAnsi="Cambria Math"/>
                <w:sz w:val="20"/>
              </w:rPr>
              <m:t>huile</m:t>
            </m:r>
          </m:num>
          <m:den>
            <m:r>
              <m:rPr>
                <m:sty m:val="p"/>
              </m:rPr>
              <w:rPr>
                <w:rFonts w:ascii="Cambria Math" w:hAnsi="Cambria Math"/>
                <w:sz w:val="20"/>
              </w:rPr>
              <m:t>sang</m:t>
            </m:r>
          </m:den>
        </m:f>
        <m:r>
          <m:rPr>
            <m:sty m:val="p"/>
          </m:rPr>
          <w:rPr>
            <w:rFonts w:ascii="Cambria Math" w:hAnsi="Cambria Math"/>
            <w:sz w:val="20"/>
          </w:rPr>
          <m:t xml:space="preserve">= </m:t>
        </m:r>
        <m:f>
          <m:fPr>
            <m:ctrlPr>
              <w:rPr>
                <w:rFonts w:ascii="Cambria Math" w:hAnsi="Cambria Math"/>
                <w:sz w:val="20"/>
              </w:rPr>
            </m:ctrlPr>
          </m:fPr>
          <m:num>
            <m:r>
              <m:rPr>
                <m:sty m:val="p"/>
              </m:rPr>
              <w:rPr>
                <w:rFonts w:ascii="Cambria Math" w:hAnsi="Cambria Math"/>
                <w:sz w:val="20"/>
              </w:rPr>
              <m:t>huile</m:t>
            </m:r>
          </m:num>
          <m:den>
            <m:r>
              <m:rPr>
                <m:sty m:val="p"/>
              </m:rPr>
              <w:rPr>
                <w:rFonts w:ascii="Cambria Math" w:hAnsi="Cambria Math"/>
                <w:sz w:val="20"/>
              </w:rPr>
              <m:t>air</m:t>
            </m:r>
          </m:den>
        </m:f>
        <m:r>
          <m:rPr>
            <m:sty m:val="p"/>
          </m:rPr>
          <w:rPr>
            <w:rFonts w:ascii="Cambria Math" w:hAnsi="Cambria Math"/>
            <w:sz w:val="20"/>
          </w:rPr>
          <m:t>÷</m:t>
        </m:r>
        <m:f>
          <m:fPr>
            <m:ctrlPr>
              <w:rPr>
                <w:rFonts w:ascii="Cambria Math" w:hAnsi="Cambria Math"/>
                <w:sz w:val="20"/>
              </w:rPr>
            </m:ctrlPr>
          </m:fPr>
          <m:num>
            <m:r>
              <m:rPr>
                <m:sty m:val="p"/>
              </m:rPr>
              <w:rPr>
                <w:rFonts w:ascii="Cambria Math" w:hAnsi="Cambria Math"/>
                <w:sz w:val="20"/>
              </w:rPr>
              <m:t>sang</m:t>
            </m:r>
          </m:num>
          <m:den>
            <m:r>
              <m:rPr>
                <m:sty m:val="p"/>
              </m:rPr>
              <w:rPr>
                <w:rFonts w:ascii="Cambria Math" w:hAnsi="Cambria Math"/>
                <w:sz w:val="20"/>
              </w:rPr>
              <m:t>air</m:t>
            </m:r>
          </m:den>
        </m:f>
        <m:r>
          <m:rPr>
            <m:sty m:val="p"/>
          </m:rPr>
          <w:rPr>
            <w:rFonts w:ascii="Cambria Math" w:hAnsi="Cambria Math"/>
            <w:sz w:val="20"/>
          </w:rPr>
          <m:t>=</m:t>
        </m:r>
        <m:f>
          <m:fPr>
            <m:ctrlPr>
              <w:rPr>
                <w:rFonts w:ascii="Cambria Math" w:hAnsi="Cambria Math"/>
                <w:sz w:val="20"/>
              </w:rPr>
            </m:ctrlPr>
          </m:fPr>
          <m:num>
            <m:r>
              <m:rPr>
                <m:sty m:val="p"/>
              </m:rPr>
              <w:rPr>
                <w:rFonts w:ascii="Cambria Math" w:hAnsi="Cambria Math"/>
                <w:sz w:val="20"/>
              </w:rPr>
              <m:t>huile</m:t>
            </m:r>
          </m:num>
          <m:den>
            <m:r>
              <m:rPr>
                <m:sty m:val="p"/>
              </m:rPr>
              <w:rPr>
                <w:rFonts w:ascii="Cambria Math" w:hAnsi="Cambria Math"/>
                <w:sz w:val="20"/>
              </w:rPr>
              <m:t>air</m:t>
            </m:r>
          </m:den>
        </m:f>
        <m:r>
          <m:rPr>
            <m:sty m:val="p"/>
          </m:rPr>
          <w:rPr>
            <w:rFonts w:ascii="Cambria Math" w:hAnsi="Cambria Math"/>
            <w:sz w:val="20"/>
          </w:rPr>
          <m:t>×</m:t>
        </m:r>
        <m:f>
          <m:fPr>
            <m:ctrlPr>
              <w:rPr>
                <w:rFonts w:ascii="Cambria Math" w:hAnsi="Cambria Math"/>
                <w:sz w:val="20"/>
              </w:rPr>
            </m:ctrlPr>
          </m:fPr>
          <m:num>
            <m:r>
              <m:rPr>
                <m:sty m:val="p"/>
              </m:rPr>
              <w:rPr>
                <w:rFonts w:ascii="Cambria Math" w:hAnsi="Cambria Math"/>
                <w:sz w:val="20"/>
              </w:rPr>
              <m:t>air</m:t>
            </m:r>
          </m:num>
          <m:den>
            <m:r>
              <m:rPr>
                <m:sty m:val="p"/>
              </m:rPr>
              <w:rPr>
                <w:rFonts w:ascii="Cambria Math" w:hAnsi="Cambria Math"/>
                <w:sz w:val="20"/>
              </w:rPr>
              <m:t>sang</m:t>
            </m:r>
          </m:den>
        </m:f>
      </m:oMath>
    </w:p>
    <w:p w:rsidR="00163847" w:rsidRDefault="00163847" w:rsidP="00163847">
      <w:pPr>
        <w:spacing w:after="0"/>
        <w:rPr>
          <w:rFonts w:eastAsiaTheme="minorEastAsia"/>
          <w:sz w:val="20"/>
        </w:rPr>
      </w:pPr>
    </w:p>
    <w:p w:rsidR="00163847" w:rsidRDefault="00163847" w:rsidP="00163847">
      <w:pPr>
        <w:spacing w:after="0"/>
        <w:rPr>
          <w:sz w:val="20"/>
        </w:rPr>
      </w:pPr>
      <w:r>
        <w:rPr>
          <w:sz w:val="20"/>
        </w:rPr>
        <w:t>Le N</w:t>
      </w:r>
      <w:r w:rsidRPr="00163847">
        <w:rPr>
          <w:sz w:val="20"/>
          <w:vertAlign w:val="subscript"/>
        </w:rPr>
        <w:t>2</w:t>
      </w:r>
      <w:r>
        <w:rPr>
          <w:sz w:val="20"/>
        </w:rPr>
        <w:t>O par exemple doit être administrée à hautes doses mais agit très rapidement. À l’autre extrême, l’halothane nécessite de très faibles doses mais doit être administrée plusieurs heures avant une opération.</w:t>
      </w:r>
      <w:r w:rsidR="006D2A1D">
        <w:rPr>
          <w:sz w:val="20"/>
        </w:rPr>
        <w:t xml:space="preserve"> Actuellement la Desflurane et Sevoflurane sont les plus utilisées (aussi pour interventions ambulatoires) car combinent une puissance et vitesse d’induction acceptables.</w:t>
      </w:r>
    </w:p>
    <w:p w:rsidR="006D2A1D" w:rsidRDefault="006D2A1D" w:rsidP="00163847">
      <w:pPr>
        <w:spacing w:after="0"/>
        <w:rPr>
          <w:sz w:val="20"/>
        </w:rPr>
      </w:pPr>
    </w:p>
    <w:p w:rsidR="006D2A1D" w:rsidRDefault="006D2A1D" w:rsidP="00163847">
      <w:pPr>
        <w:spacing w:after="0"/>
        <w:rPr>
          <w:sz w:val="20"/>
        </w:rPr>
      </w:pPr>
      <w:r w:rsidRPr="006D2A1D">
        <w:rPr>
          <w:b/>
          <w:sz w:val="20"/>
        </w:rPr>
        <w:t>Les médicaments</w:t>
      </w:r>
      <w:r w:rsidRPr="00E51FB4">
        <w:rPr>
          <w:b/>
          <w:sz w:val="20"/>
        </w:rPr>
        <w:t> </w:t>
      </w:r>
      <w:r w:rsidR="00E51FB4" w:rsidRPr="00E51FB4">
        <w:rPr>
          <w:b/>
          <w:sz w:val="20"/>
        </w:rPr>
        <w:t>(AV)</w:t>
      </w:r>
      <w:r w:rsidR="00E51FB4">
        <w:rPr>
          <w:sz w:val="20"/>
        </w:rPr>
        <w:t xml:space="preserve"> </w:t>
      </w:r>
      <w:r>
        <w:rPr>
          <w:sz w:val="20"/>
        </w:rPr>
        <w:t>:</w:t>
      </w:r>
    </w:p>
    <w:p w:rsidR="00E51FB4" w:rsidRDefault="00E51FB4" w:rsidP="00E51FB4">
      <w:pPr>
        <w:pStyle w:val="Paragraphedeliste"/>
        <w:numPr>
          <w:ilvl w:val="0"/>
          <w:numId w:val="1"/>
        </w:numPr>
        <w:spacing w:after="0"/>
        <w:rPr>
          <w:rFonts w:eastAsiaTheme="minorEastAsia"/>
          <w:sz w:val="20"/>
        </w:rPr>
      </w:pPr>
      <w:r>
        <w:rPr>
          <w:rFonts w:eastAsiaTheme="minorEastAsia"/>
          <w:sz w:val="20"/>
        </w:rPr>
        <w:t xml:space="preserve">Halothane : s’utilise de moins en moins car est tellement lipophile que ça s’accumule aussi dans les autres tissus graisseux. Ceci rend la récupération lente et cause des symptômes type « gueule de bois ». </w:t>
      </w:r>
      <w:r w:rsidR="00906571">
        <w:rPr>
          <w:rFonts w:eastAsiaTheme="minorEastAsia"/>
          <w:sz w:val="20"/>
        </w:rPr>
        <w:t xml:space="preserve">Autres </w:t>
      </w:r>
      <w:r>
        <w:rPr>
          <w:rFonts w:eastAsiaTheme="minorEastAsia"/>
          <w:sz w:val="20"/>
        </w:rPr>
        <w:t>ffets 2° :</w:t>
      </w:r>
    </w:p>
    <w:p w:rsidR="00E51FB4" w:rsidRPr="00E51FB4" w:rsidRDefault="00E51FB4" w:rsidP="00E51FB4">
      <w:pPr>
        <w:pStyle w:val="Paragraphedeliste"/>
        <w:numPr>
          <w:ilvl w:val="0"/>
          <w:numId w:val="23"/>
        </w:numPr>
        <w:spacing w:after="0"/>
        <w:rPr>
          <w:rFonts w:eastAsiaTheme="minorEastAsia"/>
          <w:sz w:val="20"/>
        </w:rPr>
      </w:pPr>
      <w:r>
        <w:rPr>
          <w:rFonts w:eastAsiaTheme="minorEastAsia"/>
          <w:sz w:val="20"/>
        </w:rPr>
        <w:t>↓</w:t>
      </w:r>
      <w:r w:rsidRPr="00E51FB4">
        <w:rPr>
          <w:rFonts w:eastAsiaTheme="minorEastAsia"/>
          <w:sz w:val="20"/>
        </w:rPr>
        <w:t xml:space="preserve">TA, dépression cardiaque, arythmies </w:t>
      </w:r>
    </w:p>
    <w:p w:rsidR="00E51FB4" w:rsidRPr="00E51FB4" w:rsidRDefault="00E51FB4" w:rsidP="00E51FB4">
      <w:pPr>
        <w:pStyle w:val="Paragraphedeliste"/>
        <w:numPr>
          <w:ilvl w:val="0"/>
          <w:numId w:val="23"/>
        </w:numPr>
        <w:spacing w:after="0"/>
        <w:rPr>
          <w:rFonts w:eastAsiaTheme="minorEastAsia"/>
          <w:sz w:val="20"/>
        </w:rPr>
      </w:pPr>
      <w:r>
        <w:rPr>
          <w:rFonts w:eastAsiaTheme="minorEastAsia"/>
          <w:sz w:val="20"/>
        </w:rPr>
        <w:t>↓</w:t>
      </w:r>
      <w:r w:rsidRPr="00E51FB4">
        <w:rPr>
          <w:rFonts w:eastAsiaTheme="minorEastAsia"/>
          <w:sz w:val="20"/>
        </w:rPr>
        <w:t>réponse ventilatoire au CO</w:t>
      </w:r>
      <w:r w:rsidRPr="00E51FB4">
        <w:rPr>
          <w:rFonts w:eastAsiaTheme="minorEastAsia"/>
          <w:sz w:val="20"/>
          <w:vertAlign w:val="subscript"/>
        </w:rPr>
        <w:t>2</w:t>
      </w:r>
      <w:r w:rsidRPr="00E51FB4">
        <w:rPr>
          <w:rFonts w:eastAsiaTheme="minorEastAsia"/>
          <w:sz w:val="20"/>
        </w:rPr>
        <w:t xml:space="preserve"> </w:t>
      </w:r>
    </w:p>
    <w:p w:rsidR="00E51FB4" w:rsidRPr="00E51FB4" w:rsidRDefault="00E51FB4" w:rsidP="00E51FB4">
      <w:pPr>
        <w:pStyle w:val="Paragraphedeliste"/>
        <w:numPr>
          <w:ilvl w:val="0"/>
          <w:numId w:val="23"/>
        </w:numPr>
        <w:spacing w:after="0"/>
        <w:rPr>
          <w:rFonts w:eastAsiaTheme="minorEastAsia"/>
          <w:sz w:val="20"/>
        </w:rPr>
      </w:pPr>
      <w:r>
        <w:rPr>
          <w:rFonts w:eastAsiaTheme="minorEastAsia"/>
          <w:sz w:val="20"/>
        </w:rPr>
        <w:t>↑</w:t>
      </w:r>
      <w:r w:rsidRPr="00E51FB4">
        <w:rPr>
          <w:rFonts w:eastAsiaTheme="minorEastAsia"/>
          <w:sz w:val="20"/>
        </w:rPr>
        <w:t xml:space="preserve">flux sanguin cérébral (cave: hypertension intracrânienne) </w:t>
      </w:r>
    </w:p>
    <w:p w:rsidR="00E51FB4" w:rsidRPr="00E51FB4" w:rsidRDefault="00E51FB4" w:rsidP="00E51FB4">
      <w:pPr>
        <w:pStyle w:val="Paragraphedeliste"/>
        <w:numPr>
          <w:ilvl w:val="0"/>
          <w:numId w:val="23"/>
        </w:numPr>
        <w:spacing w:after="0"/>
        <w:rPr>
          <w:rFonts w:eastAsiaTheme="minorEastAsia"/>
          <w:sz w:val="20"/>
        </w:rPr>
      </w:pPr>
      <w:r>
        <w:rPr>
          <w:rFonts w:eastAsiaTheme="minorEastAsia"/>
          <w:sz w:val="20"/>
        </w:rPr>
        <w:t>R</w:t>
      </w:r>
      <w:r w:rsidRPr="00E51FB4">
        <w:rPr>
          <w:rFonts w:eastAsiaTheme="minorEastAsia"/>
          <w:sz w:val="20"/>
        </w:rPr>
        <w:t xml:space="preserve">éaction immune: hépatite fulminante </w:t>
      </w:r>
    </w:p>
    <w:p w:rsidR="00E51FB4" w:rsidRDefault="00E51FB4" w:rsidP="00E51FB4">
      <w:pPr>
        <w:pStyle w:val="Paragraphedeliste"/>
        <w:numPr>
          <w:ilvl w:val="0"/>
          <w:numId w:val="23"/>
        </w:numPr>
        <w:spacing w:after="0"/>
        <w:rPr>
          <w:rFonts w:eastAsiaTheme="minorEastAsia"/>
          <w:sz w:val="20"/>
        </w:rPr>
      </w:pPr>
      <w:r w:rsidRPr="00E51FB4">
        <w:rPr>
          <w:rFonts w:eastAsiaTheme="minorEastAsia"/>
          <w:sz w:val="20"/>
        </w:rPr>
        <w:t>Hyperthermie maligne (prédisposition génétique) : contraction musculaire, hyperthermie, augmentation du métaboli</w:t>
      </w:r>
      <w:r>
        <w:rPr>
          <w:rFonts w:eastAsiaTheme="minorEastAsia"/>
          <w:sz w:val="20"/>
        </w:rPr>
        <w:t>sme, se traite par dantrolène (myorelaxant)</w:t>
      </w:r>
    </w:p>
    <w:p w:rsidR="00906571" w:rsidRPr="00E51FB4" w:rsidRDefault="00906571" w:rsidP="00906571">
      <w:pPr>
        <w:pStyle w:val="Paragraphedeliste"/>
        <w:spacing w:after="0"/>
        <w:ind w:left="1440"/>
        <w:rPr>
          <w:rFonts w:eastAsiaTheme="minorEastAsia"/>
          <w:sz w:val="20"/>
        </w:rPr>
      </w:pPr>
    </w:p>
    <w:p w:rsidR="00906571" w:rsidRDefault="00E51FB4" w:rsidP="00E51FB4">
      <w:pPr>
        <w:pStyle w:val="Paragraphedeliste"/>
        <w:numPr>
          <w:ilvl w:val="0"/>
          <w:numId w:val="1"/>
        </w:numPr>
        <w:spacing w:after="0"/>
        <w:rPr>
          <w:rFonts w:eastAsiaTheme="minorEastAsia"/>
          <w:sz w:val="20"/>
        </w:rPr>
      </w:pPr>
      <w:r w:rsidRPr="00906571">
        <w:rPr>
          <w:rFonts w:eastAsiaTheme="minorEastAsia"/>
          <w:sz w:val="20"/>
        </w:rPr>
        <w:t>Isoflurane :</w:t>
      </w:r>
      <w:r w:rsidRPr="00E51FB4">
        <w:t xml:space="preserve"> </w:t>
      </w:r>
      <w:r w:rsidRPr="00906571">
        <w:rPr>
          <w:rFonts w:eastAsiaTheme="minorEastAsia"/>
          <w:sz w:val="20"/>
        </w:rPr>
        <w:t>maintien de l’anesthés</w:t>
      </w:r>
      <w:r w:rsidR="00906571" w:rsidRPr="00906571">
        <w:rPr>
          <w:rFonts w:eastAsiaTheme="minorEastAsia"/>
          <w:sz w:val="20"/>
        </w:rPr>
        <w:t xml:space="preserve">ie après induction (odeur âcre). </w:t>
      </w:r>
      <w:r w:rsidR="00906571">
        <w:rPr>
          <w:rFonts w:eastAsiaTheme="minorEastAsia"/>
          <w:sz w:val="20"/>
        </w:rPr>
        <w:t>Effets 2° :</w:t>
      </w:r>
    </w:p>
    <w:p w:rsidR="00906571" w:rsidRDefault="00906571" w:rsidP="00906571">
      <w:pPr>
        <w:pStyle w:val="Paragraphedeliste"/>
        <w:numPr>
          <w:ilvl w:val="0"/>
          <w:numId w:val="24"/>
        </w:numPr>
        <w:spacing w:after="0"/>
        <w:rPr>
          <w:rFonts w:eastAsiaTheme="minorEastAsia"/>
          <w:sz w:val="20"/>
        </w:rPr>
      </w:pPr>
      <w:r w:rsidRPr="00906571">
        <w:rPr>
          <w:rFonts w:eastAsiaTheme="minorEastAsia"/>
          <w:sz w:val="20"/>
        </w:rPr>
        <w:t>hy</w:t>
      </w:r>
      <w:r w:rsidR="00E51FB4" w:rsidRPr="00906571">
        <w:rPr>
          <w:rFonts w:eastAsiaTheme="minorEastAsia"/>
          <w:sz w:val="20"/>
        </w:rPr>
        <w:t>potension artérielle</w:t>
      </w:r>
    </w:p>
    <w:p w:rsidR="00906571" w:rsidRDefault="00906571" w:rsidP="00906571">
      <w:pPr>
        <w:pStyle w:val="Paragraphedeliste"/>
        <w:numPr>
          <w:ilvl w:val="0"/>
          <w:numId w:val="24"/>
        </w:numPr>
        <w:spacing w:after="0"/>
        <w:rPr>
          <w:rFonts w:eastAsiaTheme="minorEastAsia"/>
          <w:sz w:val="20"/>
        </w:rPr>
      </w:pPr>
      <w:r>
        <w:rPr>
          <w:rFonts w:eastAsiaTheme="minorEastAsia"/>
          <w:sz w:val="20"/>
        </w:rPr>
        <w:t>↓</w:t>
      </w:r>
      <w:r w:rsidR="00E51FB4" w:rsidRPr="00906571">
        <w:rPr>
          <w:rFonts w:eastAsiaTheme="minorEastAsia"/>
          <w:sz w:val="20"/>
        </w:rPr>
        <w:t>résistances périphériques, vasodilatat</w:t>
      </w:r>
      <w:r w:rsidRPr="00906571">
        <w:rPr>
          <w:rFonts w:eastAsiaTheme="minorEastAsia"/>
          <w:sz w:val="20"/>
        </w:rPr>
        <w:t>ion</w:t>
      </w:r>
      <w:r w:rsidR="00E51FB4" w:rsidRPr="00906571">
        <w:rPr>
          <w:rFonts w:eastAsiaTheme="minorEastAsia"/>
          <w:sz w:val="20"/>
        </w:rPr>
        <w:t xml:space="preserve"> coronaire (risque d’ischémie chez patients coronarien</w:t>
      </w:r>
      <w:r w:rsidRPr="00906571">
        <w:rPr>
          <w:rFonts w:eastAsiaTheme="minorEastAsia"/>
          <w:sz w:val="20"/>
        </w:rPr>
        <w:t>s)</w:t>
      </w:r>
    </w:p>
    <w:p w:rsidR="00E51FB4" w:rsidRDefault="00E51FB4" w:rsidP="00906571">
      <w:pPr>
        <w:pStyle w:val="Paragraphedeliste"/>
        <w:numPr>
          <w:ilvl w:val="0"/>
          <w:numId w:val="24"/>
        </w:numPr>
        <w:spacing w:after="0"/>
        <w:rPr>
          <w:rFonts w:eastAsiaTheme="minorEastAsia"/>
          <w:sz w:val="20"/>
        </w:rPr>
      </w:pPr>
      <w:r w:rsidRPr="00906571">
        <w:rPr>
          <w:rFonts w:eastAsiaTheme="minorEastAsia"/>
          <w:sz w:val="20"/>
        </w:rPr>
        <w:t>dépression respiratoire</w:t>
      </w:r>
    </w:p>
    <w:p w:rsidR="00906571" w:rsidRPr="00906571" w:rsidRDefault="00906571" w:rsidP="00906571">
      <w:pPr>
        <w:pStyle w:val="Paragraphedeliste"/>
        <w:spacing w:after="0"/>
        <w:ind w:left="1440"/>
        <w:rPr>
          <w:rFonts w:eastAsiaTheme="minorEastAsia"/>
          <w:sz w:val="20"/>
        </w:rPr>
      </w:pPr>
    </w:p>
    <w:p w:rsidR="00906571" w:rsidRPr="00906571" w:rsidRDefault="00E51FB4" w:rsidP="00906571">
      <w:pPr>
        <w:pStyle w:val="Paragraphedeliste"/>
        <w:numPr>
          <w:ilvl w:val="0"/>
          <w:numId w:val="1"/>
        </w:numPr>
        <w:spacing w:after="0"/>
        <w:rPr>
          <w:rFonts w:eastAsiaTheme="minorEastAsia"/>
          <w:sz w:val="20"/>
        </w:rPr>
      </w:pPr>
      <w:r w:rsidRPr="00906571">
        <w:rPr>
          <w:rFonts w:eastAsiaTheme="minorEastAsia"/>
          <w:sz w:val="20"/>
        </w:rPr>
        <w:t>Desflurane :</w:t>
      </w:r>
      <w:r w:rsidR="00906571" w:rsidRPr="00906571">
        <w:rPr>
          <w:rFonts w:eastAsiaTheme="minorEastAsia"/>
          <w:sz w:val="20"/>
        </w:rPr>
        <w:t xml:space="preserve"> similaire à isoflurane, induction plus rapide, utile pour chir. ambulatoire </w:t>
      </w:r>
      <w:r w:rsidR="00906571">
        <w:rPr>
          <w:rFonts w:eastAsiaTheme="minorEastAsia"/>
          <w:sz w:val="20"/>
        </w:rPr>
        <w:t>(24h). P</w:t>
      </w:r>
      <w:r w:rsidR="00906571" w:rsidRPr="00906571">
        <w:rPr>
          <w:rFonts w:eastAsiaTheme="minorEastAsia"/>
          <w:sz w:val="20"/>
        </w:rPr>
        <w:t>otentialise les myorelaxants</w:t>
      </w:r>
      <w:r w:rsidR="00906571">
        <w:rPr>
          <w:rFonts w:eastAsiaTheme="minorEastAsia"/>
          <w:sz w:val="20"/>
        </w:rPr>
        <w:t>.</w:t>
      </w:r>
      <w:r w:rsidR="00906571" w:rsidRPr="00906571">
        <w:rPr>
          <w:rFonts w:eastAsiaTheme="minorEastAsia"/>
          <w:sz w:val="20"/>
        </w:rPr>
        <w:t xml:space="preserve"> </w:t>
      </w:r>
      <w:r w:rsidR="00906571">
        <w:rPr>
          <w:rFonts w:eastAsiaTheme="minorEastAsia"/>
          <w:sz w:val="20"/>
        </w:rPr>
        <w:t>Effets 2° :</w:t>
      </w:r>
    </w:p>
    <w:p w:rsidR="00906571" w:rsidRDefault="00906571" w:rsidP="00906571">
      <w:pPr>
        <w:pStyle w:val="Paragraphedeliste"/>
        <w:numPr>
          <w:ilvl w:val="0"/>
          <w:numId w:val="25"/>
        </w:numPr>
        <w:spacing w:after="0"/>
        <w:rPr>
          <w:rFonts w:eastAsiaTheme="minorEastAsia"/>
          <w:sz w:val="20"/>
        </w:rPr>
      </w:pPr>
      <w:r w:rsidRPr="00906571">
        <w:rPr>
          <w:rFonts w:eastAsiaTheme="minorEastAsia"/>
          <w:sz w:val="20"/>
        </w:rPr>
        <w:t>irritant (toux, laryngospasme)</w:t>
      </w:r>
    </w:p>
    <w:p w:rsidR="00906571" w:rsidRDefault="00906571" w:rsidP="00906571">
      <w:pPr>
        <w:pStyle w:val="Paragraphedeliste"/>
        <w:numPr>
          <w:ilvl w:val="0"/>
          <w:numId w:val="25"/>
        </w:numPr>
        <w:spacing w:after="0"/>
        <w:rPr>
          <w:rFonts w:eastAsiaTheme="minorEastAsia"/>
          <w:sz w:val="20"/>
        </w:rPr>
      </w:pPr>
      <w:r>
        <w:rPr>
          <w:rFonts w:eastAsiaTheme="minorEastAsia"/>
          <w:sz w:val="20"/>
        </w:rPr>
        <w:t xml:space="preserve">↓ </w:t>
      </w:r>
      <w:r w:rsidRPr="00906571">
        <w:rPr>
          <w:rFonts w:eastAsiaTheme="minorEastAsia"/>
          <w:sz w:val="20"/>
        </w:rPr>
        <w:t>résistances vasculaires périphériques</w:t>
      </w:r>
    </w:p>
    <w:p w:rsidR="00E51FB4" w:rsidRPr="00906571" w:rsidRDefault="00906571" w:rsidP="00906571">
      <w:pPr>
        <w:pStyle w:val="Paragraphedeliste"/>
        <w:numPr>
          <w:ilvl w:val="0"/>
          <w:numId w:val="25"/>
        </w:numPr>
        <w:spacing w:after="0"/>
        <w:rPr>
          <w:rFonts w:eastAsiaTheme="minorEastAsia"/>
          <w:sz w:val="20"/>
        </w:rPr>
      </w:pPr>
      <w:r w:rsidRPr="00906571">
        <w:rPr>
          <w:rFonts w:eastAsiaTheme="minorEastAsia"/>
          <w:sz w:val="20"/>
        </w:rPr>
        <w:t xml:space="preserve">dépression respiratoire </w:t>
      </w:r>
      <w:r w:rsidRPr="00906571">
        <w:rPr>
          <w:rFonts w:eastAsiaTheme="minorEastAsia"/>
          <w:sz w:val="20"/>
        </w:rPr>
        <w:cr/>
      </w:r>
    </w:p>
    <w:p w:rsidR="00E51FB4" w:rsidRDefault="00E51FB4" w:rsidP="00E51FB4">
      <w:pPr>
        <w:pStyle w:val="Paragraphedeliste"/>
        <w:numPr>
          <w:ilvl w:val="0"/>
          <w:numId w:val="1"/>
        </w:numPr>
        <w:spacing w:after="0"/>
        <w:rPr>
          <w:rFonts w:eastAsiaTheme="minorEastAsia"/>
          <w:sz w:val="20"/>
        </w:rPr>
      </w:pPr>
      <w:r>
        <w:rPr>
          <w:rFonts w:eastAsiaTheme="minorEastAsia"/>
          <w:sz w:val="20"/>
        </w:rPr>
        <w:t>Sévoflurane :</w:t>
      </w:r>
      <w:r w:rsidR="00906571" w:rsidRPr="00906571">
        <w:t xml:space="preserve"> </w:t>
      </w:r>
      <w:r w:rsidR="00906571" w:rsidRPr="00906571">
        <w:rPr>
          <w:rFonts w:eastAsiaTheme="minorEastAsia"/>
          <w:sz w:val="20"/>
        </w:rPr>
        <w:t xml:space="preserve">similaire à desflurane, moins irritant </w:t>
      </w:r>
      <w:r w:rsidR="00906571" w:rsidRPr="00906571">
        <w:rPr>
          <w:rFonts w:eastAsiaTheme="minorEastAsia"/>
          <w:sz w:val="20"/>
        </w:rPr>
        <w:cr/>
      </w:r>
    </w:p>
    <w:p w:rsidR="00E51FB4" w:rsidRDefault="00E51FB4" w:rsidP="00906571">
      <w:pPr>
        <w:pStyle w:val="Paragraphedeliste"/>
        <w:numPr>
          <w:ilvl w:val="0"/>
          <w:numId w:val="1"/>
        </w:numPr>
        <w:spacing w:after="0"/>
        <w:rPr>
          <w:rFonts w:eastAsiaTheme="minorEastAsia"/>
          <w:sz w:val="20"/>
        </w:rPr>
      </w:pPr>
      <w:r>
        <w:rPr>
          <w:rFonts w:eastAsiaTheme="minorEastAsia"/>
          <w:sz w:val="20"/>
        </w:rPr>
        <w:t>Protoxyde d’azote (N</w:t>
      </w:r>
      <w:r w:rsidRPr="00E51FB4">
        <w:rPr>
          <w:rFonts w:eastAsiaTheme="minorEastAsia"/>
          <w:sz w:val="20"/>
          <w:vertAlign w:val="subscript"/>
        </w:rPr>
        <w:t>2</w:t>
      </w:r>
      <w:r>
        <w:rPr>
          <w:rFonts w:eastAsiaTheme="minorEastAsia"/>
          <w:sz w:val="20"/>
        </w:rPr>
        <w:t>O) :</w:t>
      </w:r>
      <w:r w:rsidR="00906571" w:rsidRPr="00906571">
        <w:t xml:space="preserve"> </w:t>
      </w:r>
      <w:r w:rsidR="00906571" w:rsidRPr="00906571">
        <w:rPr>
          <w:rFonts w:eastAsiaTheme="minorEastAsia"/>
          <w:sz w:val="20"/>
        </w:rPr>
        <w:t>faible puissance anesthésiante, s</w:t>
      </w:r>
      <w:r w:rsidR="00906571">
        <w:rPr>
          <w:rFonts w:eastAsiaTheme="minorEastAsia"/>
          <w:sz w:val="20"/>
        </w:rPr>
        <w:t xml:space="preserve">édation à MAC 30-80 vol% (concentrations </w:t>
      </w:r>
      <w:r w:rsidR="00906571" w:rsidRPr="00906571">
        <w:rPr>
          <w:rFonts w:eastAsiaTheme="minorEastAsia"/>
          <w:sz w:val="20"/>
        </w:rPr>
        <w:t>hypoxiques). Analgésie à MAC 20 vol%, induction rapide mais accumulation dans cavités gazeuses. Utilisé comme adjuvant. Cave : anémie si utilisation répétée/</w:t>
      </w:r>
      <w:r w:rsidR="00906571">
        <w:rPr>
          <w:rFonts w:eastAsiaTheme="minorEastAsia"/>
          <w:sz w:val="20"/>
        </w:rPr>
        <w:t>prolongée.</w:t>
      </w:r>
    </w:p>
    <w:p w:rsidR="00906571" w:rsidRDefault="00906571" w:rsidP="00906571">
      <w:pPr>
        <w:spacing w:after="0"/>
        <w:rPr>
          <w:rFonts w:eastAsiaTheme="minorEastAsia"/>
          <w:sz w:val="20"/>
        </w:rPr>
      </w:pPr>
    </w:p>
    <w:p w:rsidR="00A532F2" w:rsidRDefault="00A532F2">
      <w:pPr>
        <w:rPr>
          <w:b/>
          <w:sz w:val="20"/>
          <w:u w:val="single"/>
        </w:rPr>
      </w:pPr>
      <w:r>
        <w:rPr>
          <w:b/>
          <w:sz w:val="20"/>
          <w:u w:val="single"/>
        </w:rPr>
        <w:br w:type="page"/>
      </w:r>
    </w:p>
    <w:p w:rsidR="00906571" w:rsidRDefault="00906571" w:rsidP="00906571">
      <w:pPr>
        <w:spacing w:after="0"/>
        <w:rPr>
          <w:sz w:val="20"/>
        </w:rPr>
      </w:pPr>
      <w:r w:rsidRPr="00361AF6">
        <w:rPr>
          <w:b/>
          <w:sz w:val="20"/>
          <w:u w:val="single"/>
        </w:rPr>
        <w:lastRenderedPageBreak/>
        <w:t xml:space="preserve">Les anesthésiques </w:t>
      </w:r>
      <w:r>
        <w:rPr>
          <w:b/>
          <w:sz w:val="20"/>
          <w:u w:val="single"/>
        </w:rPr>
        <w:t>généraux parentéraux</w:t>
      </w:r>
      <w:r>
        <w:rPr>
          <w:sz w:val="20"/>
        </w:rPr>
        <w:t> :</w:t>
      </w:r>
    </w:p>
    <w:p w:rsidR="00477690" w:rsidRDefault="00477690" w:rsidP="00906571">
      <w:pPr>
        <w:spacing w:after="0"/>
        <w:rPr>
          <w:rFonts w:eastAsiaTheme="minorEastAsia"/>
          <w:sz w:val="20"/>
        </w:rPr>
      </w:pPr>
    </w:p>
    <w:p w:rsidR="00906571" w:rsidRPr="00906571" w:rsidRDefault="00906571" w:rsidP="00906571">
      <w:pPr>
        <w:spacing w:after="0"/>
        <w:rPr>
          <w:rFonts w:eastAsiaTheme="minorEastAsia"/>
          <w:sz w:val="20"/>
        </w:rPr>
      </w:pPr>
      <w:r w:rsidRPr="00477690">
        <w:rPr>
          <w:rFonts w:eastAsiaTheme="minorEastAsia"/>
          <w:b/>
          <w:sz w:val="20"/>
        </w:rPr>
        <w:t>Potentialisent le système GABAergique</w:t>
      </w:r>
      <w:r w:rsidR="00477690">
        <w:rPr>
          <w:rFonts w:eastAsiaTheme="minorEastAsia"/>
          <w:sz w:val="20"/>
        </w:rPr>
        <w:t> : système inhibiteur du SNC. Rappel, il y a deux types de récepteurs GABA, GABA</w:t>
      </w:r>
      <w:r w:rsidR="00477690" w:rsidRPr="00477690">
        <w:rPr>
          <w:rFonts w:eastAsiaTheme="minorEastAsia"/>
          <w:sz w:val="20"/>
          <w:vertAlign w:val="subscript"/>
        </w:rPr>
        <w:t>A</w:t>
      </w:r>
      <w:r w:rsidR="00477690">
        <w:rPr>
          <w:rFonts w:eastAsiaTheme="minorEastAsia"/>
          <w:sz w:val="20"/>
        </w:rPr>
        <w:t xml:space="preserve"> (ionique, leur ouverture permet entrée de chlore et hyperpolarisation) et GABA</w:t>
      </w:r>
      <w:r w:rsidR="00477690" w:rsidRPr="00477690">
        <w:rPr>
          <w:rFonts w:eastAsiaTheme="minorEastAsia"/>
          <w:sz w:val="20"/>
          <w:vertAlign w:val="subscript"/>
        </w:rPr>
        <w:t>B</w:t>
      </w:r>
      <w:r w:rsidR="00477690">
        <w:rPr>
          <w:rFonts w:eastAsiaTheme="minorEastAsia"/>
          <w:sz w:val="20"/>
        </w:rPr>
        <w:t xml:space="preserve"> (métabotrope). </w:t>
      </w:r>
      <w:r w:rsidR="00C96246">
        <w:rPr>
          <w:rFonts w:eastAsiaTheme="minorEastAsia"/>
          <w:sz w:val="20"/>
        </w:rPr>
        <w:t>Les anesthésiques parentéraux activent le récepteur GABA</w:t>
      </w:r>
      <w:r w:rsidR="00C96246" w:rsidRPr="00C96246">
        <w:rPr>
          <w:rFonts w:eastAsiaTheme="minorEastAsia"/>
          <w:sz w:val="20"/>
          <w:vertAlign w:val="subscript"/>
        </w:rPr>
        <w:t>A</w:t>
      </w:r>
      <w:r w:rsidR="00C96246">
        <w:rPr>
          <w:rFonts w:eastAsiaTheme="minorEastAsia"/>
          <w:sz w:val="20"/>
        </w:rPr>
        <w:t>.</w:t>
      </w:r>
    </w:p>
    <w:p w:rsidR="00C96246" w:rsidRDefault="00906571" w:rsidP="00C96246">
      <w:pPr>
        <w:pStyle w:val="Paragraphedeliste"/>
        <w:numPr>
          <w:ilvl w:val="0"/>
          <w:numId w:val="1"/>
        </w:numPr>
        <w:spacing w:after="0"/>
        <w:rPr>
          <w:rFonts w:eastAsiaTheme="minorEastAsia"/>
          <w:sz w:val="20"/>
        </w:rPr>
      </w:pPr>
      <w:r w:rsidRPr="00477690">
        <w:rPr>
          <w:rFonts w:eastAsiaTheme="minorEastAsia"/>
          <w:sz w:val="20"/>
        </w:rPr>
        <w:t>Barbituriques (</w:t>
      </w:r>
      <w:r w:rsidR="00C96246" w:rsidRPr="00C96246">
        <w:rPr>
          <w:rFonts w:eastAsiaTheme="minorEastAsia"/>
          <w:sz w:val="20"/>
          <w:highlight w:val="yellow"/>
        </w:rPr>
        <w:t>pentobarbital</w:t>
      </w:r>
      <w:r w:rsidR="00C96246">
        <w:rPr>
          <w:rFonts w:eastAsiaTheme="minorEastAsia"/>
          <w:sz w:val="20"/>
        </w:rPr>
        <w:t xml:space="preserve">, </w:t>
      </w:r>
      <w:r w:rsidRPr="00C96246">
        <w:rPr>
          <w:rFonts w:eastAsiaTheme="minorEastAsia"/>
          <w:sz w:val="20"/>
          <w:highlight w:val="yellow"/>
        </w:rPr>
        <w:t>thiopental</w:t>
      </w:r>
      <w:r w:rsidRPr="00477690">
        <w:rPr>
          <w:rFonts w:eastAsiaTheme="minorEastAsia"/>
          <w:sz w:val="20"/>
        </w:rPr>
        <w:t>)</w:t>
      </w:r>
      <w:r w:rsidR="00C96246">
        <w:rPr>
          <w:rFonts w:eastAsiaTheme="minorEastAsia"/>
          <w:sz w:val="20"/>
        </w:rPr>
        <w:t> : agissent à l’extérieur du récepteur.</w:t>
      </w:r>
    </w:p>
    <w:p w:rsidR="00C96246" w:rsidRPr="00C96246" w:rsidRDefault="00C96246" w:rsidP="00C96246">
      <w:pPr>
        <w:pStyle w:val="Paragraphedeliste"/>
        <w:numPr>
          <w:ilvl w:val="0"/>
          <w:numId w:val="27"/>
        </w:numPr>
        <w:spacing w:after="0"/>
        <w:rPr>
          <w:rFonts w:eastAsiaTheme="minorEastAsia"/>
          <w:sz w:val="20"/>
        </w:rPr>
      </w:pPr>
      <w:r w:rsidRPr="00C96246">
        <w:rPr>
          <w:rFonts w:eastAsiaTheme="minorEastAsia"/>
          <w:sz w:val="20"/>
        </w:rPr>
        <w:t xml:space="preserve">Effets : sédation légère à anesthésie générale, prolonge la durée du sommeil, tolérance, </w:t>
      </w:r>
      <w:r>
        <w:rPr>
          <w:rFonts w:eastAsiaTheme="minorEastAsia"/>
          <w:sz w:val="20"/>
        </w:rPr>
        <w:t>dépression respiratoire.</w:t>
      </w:r>
      <w:r w:rsidR="0055658A">
        <w:rPr>
          <w:rFonts w:eastAsiaTheme="minorEastAsia"/>
          <w:sz w:val="20"/>
        </w:rPr>
        <w:t xml:space="preserve"> Ne sont</w:t>
      </w:r>
      <w:r w:rsidR="000A33F2">
        <w:rPr>
          <w:rFonts w:eastAsiaTheme="minorEastAsia"/>
          <w:sz w:val="20"/>
        </w:rPr>
        <w:t xml:space="preserve"> </w:t>
      </w:r>
      <w:r w:rsidR="0055658A">
        <w:rPr>
          <w:rFonts w:eastAsiaTheme="minorEastAsia"/>
          <w:sz w:val="20"/>
        </w:rPr>
        <w:t xml:space="preserve">plus utilisés sauf pour </w:t>
      </w:r>
      <w:r w:rsidR="000A33F2">
        <w:rPr>
          <w:rFonts w:eastAsiaTheme="minorEastAsia"/>
          <w:sz w:val="20"/>
        </w:rPr>
        <w:t>indications précises (ex épilepsie).</w:t>
      </w:r>
    </w:p>
    <w:p w:rsidR="00C96246" w:rsidRPr="00C96246" w:rsidRDefault="00C96246" w:rsidP="00C96246">
      <w:pPr>
        <w:pStyle w:val="Paragraphedeliste"/>
        <w:numPr>
          <w:ilvl w:val="0"/>
          <w:numId w:val="27"/>
        </w:numPr>
        <w:spacing w:after="0"/>
        <w:rPr>
          <w:rFonts w:eastAsiaTheme="minorEastAsia"/>
          <w:sz w:val="20"/>
        </w:rPr>
      </w:pPr>
      <w:r w:rsidRPr="00C96246">
        <w:rPr>
          <w:rFonts w:eastAsiaTheme="minorEastAsia"/>
          <w:sz w:val="20"/>
        </w:rPr>
        <w:t>Pharmacocinétique : lipophile (accumulation lors de doses répétées</w:t>
      </w:r>
      <w:r w:rsidR="0055658A">
        <w:rPr>
          <w:rFonts w:eastAsiaTheme="minorEastAsia"/>
          <w:sz w:val="20"/>
        </w:rPr>
        <w:t xml:space="preserve"> = effe</w:t>
      </w:r>
      <w:r w:rsidR="000A33F2">
        <w:rPr>
          <w:rFonts w:eastAsiaTheme="minorEastAsia"/>
          <w:sz w:val="20"/>
        </w:rPr>
        <w:t xml:space="preserve">t de redistribution), </w:t>
      </w:r>
      <w:r w:rsidRPr="00C96246">
        <w:rPr>
          <w:rFonts w:eastAsiaTheme="minorEastAsia"/>
          <w:sz w:val="20"/>
        </w:rPr>
        <w:t>inhibiteur des CYP et inducteur enzymatique (glucuronyl tranférase et CYP)</w:t>
      </w:r>
      <w:r>
        <w:rPr>
          <w:rFonts w:eastAsiaTheme="minorEastAsia"/>
          <w:sz w:val="20"/>
        </w:rPr>
        <w:t>.</w:t>
      </w:r>
    </w:p>
    <w:p w:rsidR="00A532F2" w:rsidRDefault="00A532F2" w:rsidP="000A33F2">
      <w:pPr>
        <w:spacing w:after="0"/>
        <w:rPr>
          <w:rFonts w:eastAsiaTheme="minorEastAsia"/>
          <w:sz w:val="20"/>
        </w:rPr>
      </w:pPr>
    </w:p>
    <w:p w:rsidR="000A33F2" w:rsidRDefault="000A33F2" w:rsidP="000A33F2">
      <w:pPr>
        <w:spacing w:after="0"/>
        <w:rPr>
          <w:rFonts w:eastAsiaTheme="minorEastAsia"/>
          <w:sz w:val="20"/>
        </w:rPr>
      </w:pPr>
      <w:r>
        <w:rPr>
          <w:rFonts w:eastAsiaTheme="minorEastAsia"/>
          <w:sz w:val="20"/>
        </w:rPr>
        <w:t xml:space="preserve">Phénomène de redistribution : </w:t>
      </w:r>
      <w:r w:rsidRPr="000A33F2">
        <w:rPr>
          <w:rFonts w:eastAsiaTheme="minorEastAsia"/>
          <w:sz w:val="20"/>
        </w:rPr>
        <w:t>distribution séquentielle des anesthésiques hydrophobes dans diffé</w:t>
      </w:r>
      <w:r>
        <w:rPr>
          <w:rFonts w:eastAsiaTheme="minorEastAsia"/>
          <w:sz w:val="20"/>
        </w:rPr>
        <w:t>rents compartiments tissulaires. A</w:t>
      </w:r>
      <w:r w:rsidRPr="000A33F2">
        <w:rPr>
          <w:rFonts w:eastAsiaTheme="minorEastAsia"/>
          <w:sz w:val="20"/>
        </w:rPr>
        <w:t>près injection unique, distribution dans tissus bien vascularisés et lipophiles (SNC</w:t>
      </w:r>
      <w:r>
        <w:rPr>
          <w:rFonts w:eastAsiaTheme="minorEastAsia"/>
          <w:sz w:val="20"/>
        </w:rPr>
        <w:t xml:space="preserve">), </w:t>
      </w:r>
      <w:r w:rsidRPr="000A33F2">
        <w:rPr>
          <w:rFonts w:eastAsiaTheme="minorEastAsia"/>
          <w:sz w:val="20"/>
        </w:rPr>
        <w:t>puis redistribution/accumulation hors du SNC dans d’a</w:t>
      </w:r>
      <w:r>
        <w:rPr>
          <w:rFonts w:eastAsiaTheme="minorEastAsia"/>
          <w:sz w:val="20"/>
        </w:rPr>
        <w:t>utres compartiments tissulaires (à</w:t>
      </w:r>
      <w:r w:rsidRPr="000A33F2">
        <w:rPr>
          <w:rFonts w:eastAsiaTheme="minorEastAsia"/>
          <w:sz w:val="20"/>
        </w:rPr>
        <w:t xml:space="preserve"> la fin de l’anesthésie</w:t>
      </w:r>
      <w:r>
        <w:rPr>
          <w:rFonts w:eastAsiaTheme="minorEastAsia"/>
          <w:sz w:val="20"/>
        </w:rPr>
        <w:t>).</w:t>
      </w:r>
    </w:p>
    <w:p w:rsidR="005E4A19" w:rsidRDefault="005E4A19" w:rsidP="000A33F2">
      <w:pPr>
        <w:spacing w:after="0"/>
        <w:rPr>
          <w:rFonts w:eastAsiaTheme="minorEastAsia"/>
          <w:sz w:val="20"/>
        </w:rPr>
      </w:pPr>
    </w:p>
    <w:p w:rsidR="005E4A19" w:rsidRDefault="005E4A19" w:rsidP="005E4A19">
      <w:pPr>
        <w:spacing w:after="0"/>
        <w:rPr>
          <w:rFonts w:eastAsiaTheme="minorEastAsia"/>
          <w:sz w:val="20"/>
        </w:rPr>
      </w:pPr>
      <w:r>
        <w:rPr>
          <w:rFonts w:eastAsiaTheme="minorEastAsia"/>
          <w:sz w:val="20"/>
        </w:rPr>
        <w:t>Thiopental :</w:t>
      </w:r>
      <w:r w:rsidRPr="005E4A19">
        <w:rPr>
          <w:rFonts w:eastAsiaTheme="minorEastAsia"/>
          <w:sz w:val="20"/>
        </w:rPr>
        <w:t xml:space="preserve"> induction rapide, inconscience après 20s. , mais red</w:t>
      </w:r>
      <w:r>
        <w:rPr>
          <w:rFonts w:eastAsiaTheme="minorEastAsia"/>
          <w:sz w:val="20"/>
        </w:rPr>
        <w:t>istribution (‘gueule de bois’). Effets :</w:t>
      </w:r>
    </w:p>
    <w:p w:rsidR="005E4A19" w:rsidRPr="005E4A19" w:rsidRDefault="005E4A19" w:rsidP="00774D88">
      <w:pPr>
        <w:pStyle w:val="Paragraphedeliste"/>
        <w:spacing w:after="0"/>
        <w:rPr>
          <w:rFonts w:eastAsiaTheme="minorEastAsia"/>
          <w:sz w:val="20"/>
        </w:rPr>
      </w:pPr>
      <w:r>
        <w:rPr>
          <w:rFonts w:eastAsiaTheme="minorEastAsia"/>
          <w:sz w:val="20"/>
        </w:rPr>
        <w:t>↓</w:t>
      </w:r>
      <w:r w:rsidRPr="005E4A19">
        <w:rPr>
          <w:rFonts w:eastAsiaTheme="minorEastAsia"/>
          <w:sz w:val="20"/>
        </w:rPr>
        <w:t xml:space="preserve">métabolisme cérébral </w:t>
      </w:r>
    </w:p>
    <w:p w:rsidR="005E4A19" w:rsidRPr="005E4A19" w:rsidRDefault="005E4A19" w:rsidP="00774D88">
      <w:pPr>
        <w:pStyle w:val="Paragraphedeliste"/>
        <w:spacing w:after="0"/>
        <w:rPr>
          <w:rFonts w:eastAsiaTheme="minorEastAsia"/>
          <w:sz w:val="20"/>
        </w:rPr>
      </w:pPr>
      <w:r>
        <w:rPr>
          <w:rFonts w:eastAsiaTheme="minorEastAsia"/>
          <w:sz w:val="20"/>
        </w:rPr>
        <w:t>↓</w:t>
      </w:r>
      <w:r w:rsidRPr="005E4A19">
        <w:rPr>
          <w:rFonts w:eastAsiaTheme="minorEastAsia"/>
          <w:sz w:val="20"/>
        </w:rPr>
        <w:t xml:space="preserve">TA (dose-dépendante) </w:t>
      </w:r>
    </w:p>
    <w:p w:rsidR="005E4A19" w:rsidRPr="005E4A19" w:rsidRDefault="005E4A19" w:rsidP="00774D88">
      <w:pPr>
        <w:pStyle w:val="Paragraphedeliste"/>
        <w:spacing w:after="0"/>
        <w:rPr>
          <w:rFonts w:eastAsiaTheme="minorEastAsia"/>
          <w:sz w:val="20"/>
        </w:rPr>
      </w:pPr>
      <w:r w:rsidRPr="005E4A19">
        <w:rPr>
          <w:rFonts w:eastAsiaTheme="minorEastAsia"/>
          <w:sz w:val="20"/>
        </w:rPr>
        <w:t xml:space="preserve">dépression respitatoire, laryngospasme </w:t>
      </w:r>
      <w:r w:rsidRPr="005E4A19">
        <w:rPr>
          <w:rFonts w:eastAsiaTheme="minorEastAsia"/>
          <w:sz w:val="20"/>
        </w:rPr>
        <w:cr/>
      </w:r>
    </w:p>
    <w:p w:rsidR="00C96246" w:rsidRDefault="00477690" w:rsidP="00C96246">
      <w:pPr>
        <w:pStyle w:val="Paragraphedeliste"/>
        <w:numPr>
          <w:ilvl w:val="0"/>
          <w:numId w:val="1"/>
        </w:numPr>
        <w:spacing w:after="0"/>
        <w:rPr>
          <w:rFonts w:eastAsiaTheme="minorEastAsia"/>
          <w:sz w:val="20"/>
        </w:rPr>
      </w:pPr>
      <w:r>
        <w:rPr>
          <w:rFonts w:eastAsiaTheme="minorEastAsia"/>
          <w:sz w:val="20"/>
        </w:rPr>
        <w:t>Benzodiazépines (</w:t>
      </w:r>
      <w:r w:rsidRPr="00C96246">
        <w:rPr>
          <w:rFonts w:eastAsiaTheme="minorEastAsia"/>
          <w:sz w:val="20"/>
          <w:highlight w:val="yellow"/>
        </w:rPr>
        <w:t>midazolam</w:t>
      </w:r>
      <w:r>
        <w:rPr>
          <w:rFonts w:eastAsiaTheme="minorEastAsia"/>
          <w:sz w:val="20"/>
        </w:rPr>
        <w:t>)</w:t>
      </w:r>
      <w:r w:rsidR="00C96246">
        <w:rPr>
          <w:rFonts w:eastAsiaTheme="minorEastAsia"/>
          <w:sz w:val="20"/>
        </w:rPr>
        <w:t> :</w:t>
      </w:r>
      <w:r w:rsidR="00C96246" w:rsidRPr="00C96246">
        <w:rPr>
          <w:rFonts w:eastAsiaTheme="minorEastAsia"/>
          <w:sz w:val="20"/>
        </w:rPr>
        <w:t xml:space="preserve"> </w:t>
      </w:r>
      <w:r w:rsidR="00C96246">
        <w:rPr>
          <w:rFonts w:eastAsiaTheme="minorEastAsia"/>
          <w:sz w:val="20"/>
        </w:rPr>
        <w:t>agissent à l’intérieur du récepteur.</w:t>
      </w:r>
    </w:p>
    <w:p w:rsidR="00C96246" w:rsidRPr="00C96246" w:rsidRDefault="00C96246" w:rsidP="00C96246">
      <w:pPr>
        <w:pStyle w:val="Paragraphedeliste"/>
        <w:numPr>
          <w:ilvl w:val="0"/>
          <w:numId w:val="26"/>
        </w:numPr>
        <w:spacing w:after="0"/>
        <w:rPr>
          <w:rFonts w:eastAsiaTheme="minorEastAsia"/>
          <w:sz w:val="20"/>
        </w:rPr>
      </w:pPr>
      <w:r w:rsidRPr="00C96246">
        <w:rPr>
          <w:rFonts w:eastAsiaTheme="minorEastAsia"/>
          <w:sz w:val="20"/>
        </w:rPr>
        <w:t>Effets (pas de tolérance) :</w:t>
      </w:r>
      <w:r w:rsidRPr="00C96246">
        <w:t xml:space="preserve"> </w:t>
      </w:r>
      <w:r w:rsidRPr="00C96246">
        <w:rPr>
          <w:rFonts w:eastAsiaTheme="minorEastAsia"/>
          <w:sz w:val="20"/>
        </w:rPr>
        <w:t xml:space="preserve">sédation, hypnose, diminution de l’anxiété, relaxation musculaire, anticonvulsivant, </w:t>
      </w:r>
      <w:r>
        <w:rPr>
          <w:rFonts w:eastAsiaTheme="minorEastAsia"/>
          <w:sz w:val="20"/>
        </w:rPr>
        <w:t>a</w:t>
      </w:r>
      <w:r w:rsidRPr="00C96246">
        <w:rPr>
          <w:rFonts w:eastAsiaTheme="minorEastAsia"/>
          <w:sz w:val="20"/>
        </w:rPr>
        <w:t>mnésie antérograde</w:t>
      </w:r>
      <w:r>
        <w:rPr>
          <w:rFonts w:eastAsiaTheme="minorEastAsia"/>
          <w:sz w:val="20"/>
        </w:rPr>
        <w:t>.</w:t>
      </w:r>
    </w:p>
    <w:p w:rsidR="00C96246" w:rsidRDefault="00C96246" w:rsidP="00C96246">
      <w:pPr>
        <w:pStyle w:val="Paragraphedeliste"/>
        <w:numPr>
          <w:ilvl w:val="0"/>
          <w:numId w:val="26"/>
        </w:numPr>
        <w:spacing w:after="0"/>
        <w:rPr>
          <w:rFonts w:eastAsiaTheme="minorEastAsia"/>
          <w:sz w:val="20"/>
        </w:rPr>
      </w:pPr>
      <w:r>
        <w:rPr>
          <w:rFonts w:eastAsiaTheme="minorEastAsia"/>
          <w:sz w:val="20"/>
        </w:rPr>
        <w:t xml:space="preserve">Antagoniste : </w:t>
      </w:r>
      <w:r w:rsidRPr="00C96246">
        <w:rPr>
          <w:rFonts w:eastAsiaTheme="minorEastAsia"/>
          <w:sz w:val="20"/>
          <w:highlight w:val="yellow"/>
        </w:rPr>
        <w:t>flumazénil</w:t>
      </w:r>
    </w:p>
    <w:p w:rsidR="00C96246" w:rsidRPr="00477690" w:rsidRDefault="00C96246" w:rsidP="00C96246">
      <w:pPr>
        <w:pStyle w:val="Paragraphedeliste"/>
        <w:numPr>
          <w:ilvl w:val="0"/>
          <w:numId w:val="26"/>
        </w:numPr>
        <w:spacing w:after="0"/>
        <w:rPr>
          <w:rFonts w:eastAsiaTheme="minorEastAsia"/>
          <w:sz w:val="20"/>
        </w:rPr>
      </w:pPr>
      <w:r>
        <w:rPr>
          <w:rFonts w:eastAsiaTheme="minorEastAsia"/>
          <w:sz w:val="20"/>
        </w:rPr>
        <w:t>Pharmacocinétique : composés lipophiles classés selon leur ½ vie. Hydroxylés (CYP3A4 ou 2C19) et conjugués par le foie, métabolites peuvent être actifs dans certains cas.</w:t>
      </w:r>
    </w:p>
    <w:p w:rsidR="00906571" w:rsidRPr="00477690" w:rsidRDefault="00906571" w:rsidP="00C96246">
      <w:pPr>
        <w:pStyle w:val="Paragraphedeliste"/>
        <w:spacing w:after="0"/>
        <w:rPr>
          <w:rFonts w:eastAsiaTheme="minorEastAsia"/>
          <w:sz w:val="20"/>
        </w:rPr>
      </w:pPr>
    </w:p>
    <w:p w:rsidR="00906571" w:rsidRPr="00A532F2" w:rsidRDefault="00906571" w:rsidP="00A532F2">
      <w:pPr>
        <w:pStyle w:val="Paragraphedeliste"/>
        <w:numPr>
          <w:ilvl w:val="0"/>
          <w:numId w:val="1"/>
        </w:numPr>
        <w:spacing w:after="0"/>
        <w:rPr>
          <w:rFonts w:eastAsiaTheme="minorEastAsia"/>
          <w:sz w:val="20"/>
        </w:rPr>
      </w:pPr>
      <w:r w:rsidRPr="00A532F2">
        <w:rPr>
          <w:rFonts w:eastAsiaTheme="minorEastAsia"/>
          <w:sz w:val="20"/>
        </w:rPr>
        <w:t>Propofol</w:t>
      </w:r>
      <w:r w:rsidR="00774D88" w:rsidRPr="00A532F2">
        <w:rPr>
          <w:rFonts w:eastAsiaTheme="minorEastAsia"/>
          <w:sz w:val="20"/>
        </w:rPr>
        <w:t xml:space="preserve"> : </w:t>
      </w:r>
      <w:r w:rsidR="00A532F2" w:rsidRPr="00A532F2">
        <w:rPr>
          <w:rFonts w:eastAsiaTheme="minorEastAsia"/>
          <w:sz w:val="20"/>
        </w:rPr>
        <w:t>effets et cinétique similaires à thiopental, mais clairance plus rapide (</w:t>
      </w:r>
      <w:r w:rsidR="00A532F2">
        <w:rPr>
          <w:rFonts w:eastAsiaTheme="minorEastAsia"/>
          <w:sz w:val="20"/>
        </w:rPr>
        <w:t xml:space="preserve">plus </w:t>
      </w:r>
      <w:r w:rsidR="00A532F2" w:rsidRPr="00A532F2">
        <w:rPr>
          <w:rFonts w:eastAsiaTheme="minorEastAsia"/>
          <w:sz w:val="20"/>
        </w:rPr>
        <w:t>lipophile</w:t>
      </w:r>
      <w:r w:rsidR="00A532F2">
        <w:rPr>
          <w:rFonts w:eastAsiaTheme="minorEastAsia"/>
          <w:sz w:val="20"/>
        </w:rPr>
        <w:t>). Inotrope négatif, ↓TA et peut causer dépression respiratoire.</w:t>
      </w:r>
    </w:p>
    <w:p w:rsidR="00906571" w:rsidRDefault="00906571" w:rsidP="00906571">
      <w:pPr>
        <w:spacing w:after="0"/>
        <w:rPr>
          <w:rFonts w:eastAsiaTheme="minorEastAsia"/>
          <w:sz w:val="20"/>
        </w:rPr>
      </w:pPr>
    </w:p>
    <w:p w:rsidR="00477690" w:rsidRPr="00477690" w:rsidRDefault="00477690" w:rsidP="00477690">
      <w:pPr>
        <w:spacing w:after="0"/>
        <w:rPr>
          <w:rFonts w:eastAsiaTheme="minorEastAsia"/>
          <w:sz w:val="20"/>
        </w:rPr>
      </w:pPr>
      <w:r w:rsidRPr="00477690">
        <w:rPr>
          <w:rFonts w:eastAsiaTheme="minorEastAsia"/>
          <w:sz w:val="20"/>
        </w:rPr>
        <w:t xml:space="preserve">Autres </w:t>
      </w:r>
    </w:p>
    <w:p w:rsidR="00A532F2" w:rsidRDefault="00477690" w:rsidP="00A532F2">
      <w:pPr>
        <w:pStyle w:val="Paragraphedeliste"/>
        <w:numPr>
          <w:ilvl w:val="0"/>
          <w:numId w:val="1"/>
        </w:numPr>
        <w:spacing w:after="0"/>
        <w:rPr>
          <w:rFonts w:eastAsiaTheme="minorEastAsia"/>
          <w:sz w:val="20"/>
        </w:rPr>
      </w:pPr>
      <w:r w:rsidRPr="00477690">
        <w:rPr>
          <w:rFonts w:eastAsiaTheme="minorEastAsia"/>
          <w:sz w:val="20"/>
        </w:rPr>
        <w:t>Kétamine : inhibiteur de récepteur au NMDA</w:t>
      </w:r>
      <w:r w:rsidR="00A532F2">
        <w:rPr>
          <w:rFonts w:eastAsiaTheme="minorEastAsia"/>
          <w:sz w:val="20"/>
        </w:rPr>
        <w:t> :</w:t>
      </w:r>
    </w:p>
    <w:p w:rsidR="00A532F2" w:rsidRPr="00A532F2" w:rsidRDefault="00A532F2" w:rsidP="00A532F2">
      <w:pPr>
        <w:pStyle w:val="Paragraphedeliste"/>
        <w:numPr>
          <w:ilvl w:val="0"/>
          <w:numId w:val="31"/>
        </w:numPr>
        <w:spacing w:after="0"/>
        <w:rPr>
          <w:rFonts w:eastAsiaTheme="minorEastAsia"/>
          <w:sz w:val="20"/>
        </w:rPr>
      </w:pPr>
      <w:r>
        <w:rPr>
          <w:rFonts w:eastAsiaTheme="minorEastAsia"/>
          <w:sz w:val="20"/>
        </w:rPr>
        <w:t>induction lente (2-5 min</w:t>
      </w:r>
      <w:r w:rsidRPr="00A532F2">
        <w:rPr>
          <w:rFonts w:eastAsiaTheme="minorEastAsia"/>
          <w:sz w:val="20"/>
        </w:rPr>
        <w:t xml:space="preserve">) </w:t>
      </w:r>
    </w:p>
    <w:p w:rsidR="00A532F2" w:rsidRPr="00A532F2" w:rsidRDefault="00A532F2" w:rsidP="00A532F2">
      <w:pPr>
        <w:pStyle w:val="Paragraphedeliste"/>
        <w:numPr>
          <w:ilvl w:val="0"/>
          <w:numId w:val="31"/>
        </w:numPr>
        <w:spacing w:after="0"/>
        <w:rPr>
          <w:rFonts w:eastAsiaTheme="minorEastAsia"/>
          <w:sz w:val="20"/>
        </w:rPr>
      </w:pPr>
      <w:r w:rsidRPr="00A532F2">
        <w:rPr>
          <w:rFonts w:eastAsiaTheme="minorEastAsia"/>
          <w:color w:val="FF0000"/>
          <w:sz w:val="20"/>
        </w:rPr>
        <w:t>activité sympathicomimétique indirecte</w:t>
      </w:r>
      <w:r w:rsidRPr="00A532F2">
        <w:rPr>
          <w:rFonts w:eastAsiaTheme="minorEastAsia"/>
          <w:sz w:val="20"/>
        </w:rPr>
        <w:t xml:space="preserve"> , </w:t>
      </w:r>
      <w:r>
        <w:rPr>
          <w:rFonts w:eastAsiaTheme="minorEastAsia"/>
          <w:sz w:val="20"/>
        </w:rPr>
        <w:t>↑</w:t>
      </w:r>
      <w:r w:rsidRPr="00A532F2">
        <w:rPr>
          <w:rFonts w:eastAsiaTheme="minorEastAsia"/>
          <w:sz w:val="20"/>
        </w:rPr>
        <w:t>pression intracrânienne</w:t>
      </w:r>
      <w:r>
        <w:rPr>
          <w:rFonts w:eastAsiaTheme="minorEastAsia"/>
          <w:sz w:val="20"/>
        </w:rPr>
        <w:t>/</w:t>
      </w:r>
      <w:r w:rsidRPr="00A532F2">
        <w:rPr>
          <w:rFonts w:eastAsiaTheme="minorEastAsia"/>
          <w:sz w:val="20"/>
        </w:rPr>
        <w:t xml:space="preserve"> TA</w:t>
      </w:r>
      <w:r>
        <w:rPr>
          <w:rFonts w:eastAsiaTheme="minorEastAsia"/>
          <w:sz w:val="20"/>
        </w:rPr>
        <w:t>/</w:t>
      </w:r>
      <w:r w:rsidRPr="00A532F2">
        <w:rPr>
          <w:rFonts w:eastAsiaTheme="minorEastAsia"/>
          <w:sz w:val="20"/>
        </w:rPr>
        <w:t xml:space="preserve">rythme cardiaque </w:t>
      </w:r>
    </w:p>
    <w:p w:rsidR="00A532F2" w:rsidRDefault="00A532F2" w:rsidP="00A532F2">
      <w:pPr>
        <w:pStyle w:val="Paragraphedeliste"/>
        <w:numPr>
          <w:ilvl w:val="0"/>
          <w:numId w:val="31"/>
        </w:numPr>
        <w:spacing w:after="0"/>
        <w:rPr>
          <w:rFonts w:eastAsiaTheme="minorEastAsia"/>
          <w:sz w:val="20"/>
        </w:rPr>
      </w:pPr>
      <w:r w:rsidRPr="00A532F2">
        <w:rPr>
          <w:rFonts w:eastAsiaTheme="minorEastAsia"/>
          <w:sz w:val="20"/>
        </w:rPr>
        <w:t>anesthésie dissociée (analgésie, amnésie, perte de conscience, mais mouvements involontaires, respiration spontanée)</w:t>
      </w:r>
    </w:p>
    <w:p w:rsidR="00A532F2" w:rsidRPr="00A532F2" w:rsidRDefault="00A532F2" w:rsidP="00A532F2">
      <w:pPr>
        <w:pStyle w:val="Paragraphedeliste"/>
        <w:spacing w:after="0"/>
        <w:ind w:left="1440"/>
        <w:rPr>
          <w:rFonts w:eastAsiaTheme="minorEastAsia"/>
          <w:sz w:val="20"/>
        </w:rPr>
      </w:pPr>
    </w:p>
    <w:p w:rsidR="00906571" w:rsidRDefault="00477690" w:rsidP="00477690">
      <w:pPr>
        <w:pStyle w:val="Paragraphedeliste"/>
        <w:numPr>
          <w:ilvl w:val="0"/>
          <w:numId w:val="1"/>
        </w:numPr>
        <w:spacing w:after="0"/>
        <w:rPr>
          <w:rFonts w:eastAsiaTheme="minorEastAsia"/>
          <w:sz w:val="20"/>
        </w:rPr>
      </w:pPr>
      <w:r w:rsidRPr="00477690">
        <w:rPr>
          <w:rFonts w:eastAsiaTheme="minorEastAsia"/>
          <w:sz w:val="20"/>
        </w:rPr>
        <w:t>Etomidate : mécanisme d’action inconnu</w:t>
      </w:r>
    </w:p>
    <w:p w:rsidR="00A532F2" w:rsidRDefault="00A532F2" w:rsidP="00A532F2">
      <w:pPr>
        <w:pStyle w:val="Paragraphedeliste"/>
        <w:numPr>
          <w:ilvl w:val="0"/>
          <w:numId w:val="30"/>
        </w:numPr>
        <w:spacing w:after="0"/>
        <w:rPr>
          <w:rFonts w:eastAsiaTheme="minorEastAsia"/>
          <w:sz w:val="20"/>
        </w:rPr>
      </w:pPr>
      <w:r w:rsidRPr="00A532F2">
        <w:rPr>
          <w:rFonts w:eastAsiaTheme="minorEastAsia"/>
          <w:sz w:val="20"/>
        </w:rPr>
        <w:t xml:space="preserve">Induction rapide puis redistribution </w:t>
      </w:r>
    </w:p>
    <w:p w:rsidR="00A532F2" w:rsidRDefault="00A532F2" w:rsidP="00A532F2">
      <w:pPr>
        <w:pStyle w:val="Paragraphedeliste"/>
        <w:numPr>
          <w:ilvl w:val="0"/>
          <w:numId w:val="30"/>
        </w:numPr>
        <w:spacing w:after="0"/>
        <w:rPr>
          <w:rFonts w:eastAsiaTheme="minorEastAsia"/>
          <w:sz w:val="20"/>
        </w:rPr>
      </w:pPr>
      <w:r w:rsidRPr="00A532F2">
        <w:rPr>
          <w:rFonts w:eastAsiaTheme="minorEastAsia"/>
          <w:sz w:val="20"/>
        </w:rPr>
        <w:t>Stabilité cardiovasculaire</w:t>
      </w:r>
    </w:p>
    <w:p w:rsidR="00A532F2" w:rsidRDefault="00A532F2" w:rsidP="00A532F2">
      <w:pPr>
        <w:pStyle w:val="Paragraphedeliste"/>
        <w:numPr>
          <w:ilvl w:val="0"/>
          <w:numId w:val="30"/>
        </w:numPr>
        <w:spacing w:after="0"/>
        <w:rPr>
          <w:rFonts w:eastAsiaTheme="minorEastAsia"/>
          <w:sz w:val="20"/>
        </w:rPr>
      </w:pPr>
      <w:r w:rsidRPr="00A532F2">
        <w:rPr>
          <w:rFonts w:eastAsiaTheme="minorEastAsia"/>
          <w:sz w:val="20"/>
        </w:rPr>
        <w:t>Excitation pendant l’induction</w:t>
      </w:r>
    </w:p>
    <w:p w:rsidR="00A532F2" w:rsidRDefault="00A532F2" w:rsidP="00A532F2">
      <w:pPr>
        <w:spacing w:after="0"/>
        <w:rPr>
          <w:rFonts w:eastAsiaTheme="minorEastAsia"/>
          <w:sz w:val="20"/>
        </w:rPr>
      </w:pPr>
    </w:p>
    <w:p w:rsidR="00A532F2" w:rsidRDefault="00A532F2" w:rsidP="00A532F2">
      <w:pPr>
        <w:spacing w:after="0"/>
        <w:rPr>
          <w:rFonts w:eastAsiaTheme="minorEastAsia"/>
          <w:sz w:val="20"/>
        </w:rPr>
      </w:pPr>
      <w:r w:rsidRPr="00A532F2">
        <w:rPr>
          <w:rFonts w:eastAsiaTheme="minorEastAsia"/>
          <w:b/>
          <w:sz w:val="20"/>
          <w:u w:val="single"/>
        </w:rPr>
        <w:t>Co-médications d’anesthésie</w:t>
      </w:r>
      <w:r>
        <w:rPr>
          <w:rFonts w:eastAsiaTheme="minorEastAsia"/>
          <w:sz w:val="20"/>
        </w:rPr>
        <w:t> :</w:t>
      </w:r>
    </w:p>
    <w:p w:rsidR="00A532F2" w:rsidRDefault="00A532F2" w:rsidP="00A532F2">
      <w:pPr>
        <w:spacing w:after="0"/>
        <w:rPr>
          <w:rFonts w:eastAsiaTheme="minorEastAsia"/>
          <w:sz w:val="20"/>
        </w:rPr>
      </w:pPr>
      <w:r w:rsidRPr="00A532F2">
        <w:rPr>
          <w:rFonts w:eastAsiaTheme="minorEastAsia"/>
          <w:b/>
          <w:sz w:val="20"/>
        </w:rPr>
        <w:t>Myorelaxants</w:t>
      </w:r>
      <w:r>
        <w:rPr>
          <w:rFonts w:eastAsiaTheme="minorEastAsia"/>
          <w:sz w:val="20"/>
        </w:rPr>
        <w:t>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 xml:space="preserve">antagonistes de l’ACh : tubocurarine, pancuronium, vécuronium (bloqueurs non dépolarisants) </w:t>
      </w:r>
    </w:p>
    <w:p w:rsidR="00A532F2" w:rsidRPr="00A532F2" w:rsidRDefault="00A532F2" w:rsidP="00A532F2">
      <w:pPr>
        <w:pStyle w:val="Paragraphedeliste"/>
        <w:numPr>
          <w:ilvl w:val="0"/>
          <w:numId w:val="1"/>
        </w:numPr>
        <w:spacing w:after="0"/>
        <w:rPr>
          <w:rFonts w:eastAsiaTheme="minorEastAsia"/>
          <w:sz w:val="20"/>
        </w:rPr>
      </w:pPr>
      <w:r w:rsidRPr="00A532F2">
        <w:rPr>
          <w:rFonts w:eastAsiaTheme="minorEastAsia"/>
          <w:sz w:val="20"/>
        </w:rPr>
        <w:t>bloqueurs dépolarisants : suxaméthonium</w:t>
      </w:r>
    </w:p>
    <w:p w:rsidR="00A532F2" w:rsidRDefault="00A532F2" w:rsidP="00A532F2">
      <w:pPr>
        <w:spacing w:after="0"/>
        <w:rPr>
          <w:rFonts w:eastAsiaTheme="minorEastAsia"/>
          <w:sz w:val="20"/>
        </w:rPr>
      </w:pPr>
    </w:p>
    <w:p w:rsidR="00A532F2" w:rsidRDefault="00A532F2" w:rsidP="00A532F2">
      <w:pPr>
        <w:spacing w:after="0"/>
        <w:rPr>
          <w:rFonts w:eastAsiaTheme="minorEastAsia"/>
          <w:sz w:val="20"/>
        </w:rPr>
      </w:pPr>
      <w:r w:rsidRPr="00A532F2">
        <w:rPr>
          <w:rFonts w:eastAsiaTheme="minorEastAsia"/>
          <w:b/>
          <w:sz w:val="20"/>
        </w:rPr>
        <w:t>Analgésiques morphiniques</w:t>
      </w:r>
      <w:r>
        <w:rPr>
          <w:rFonts w:eastAsiaTheme="minorEastAsia"/>
          <w:sz w:val="20"/>
        </w:rPr>
        <w:t xml:space="preserve"> : </w:t>
      </w:r>
      <w:r w:rsidRPr="00A532F2">
        <w:rPr>
          <w:rFonts w:eastAsiaTheme="minorEastAsia"/>
          <w:sz w:val="20"/>
          <w:highlight w:val="yellow"/>
        </w:rPr>
        <w:t>fentanyl</w:t>
      </w:r>
    </w:p>
    <w:p w:rsidR="00A532F2" w:rsidRDefault="00A532F2">
      <w:pPr>
        <w:rPr>
          <w:rFonts w:eastAsiaTheme="minorEastAsia"/>
          <w:sz w:val="20"/>
        </w:rPr>
      </w:pPr>
      <w:r>
        <w:rPr>
          <w:rFonts w:eastAsiaTheme="minorEastAsia"/>
          <w:sz w:val="20"/>
        </w:rPr>
        <w:br w:type="page"/>
      </w:r>
    </w:p>
    <w:p w:rsidR="00A532F2" w:rsidRPr="00C0741A" w:rsidRDefault="00A532F2" w:rsidP="00C0741A">
      <w:pPr>
        <w:spacing w:after="0"/>
        <w:jc w:val="center"/>
        <w:rPr>
          <w:rFonts w:eastAsiaTheme="minorEastAsia"/>
          <w:b/>
        </w:rPr>
      </w:pPr>
      <w:r w:rsidRPr="00C0741A">
        <w:rPr>
          <w:rFonts w:eastAsiaTheme="minorEastAsia"/>
          <w:b/>
        </w:rPr>
        <w:lastRenderedPageBreak/>
        <w:t>Les anesthésiques locaux</w:t>
      </w:r>
    </w:p>
    <w:p w:rsidR="00C0741A" w:rsidRDefault="00C0741A" w:rsidP="00A532F2">
      <w:pPr>
        <w:spacing w:after="0"/>
        <w:rPr>
          <w:rFonts w:eastAsiaTheme="minorEastAsia"/>
          <w:b/>
          <w:sz w:val="20"/>
          <w:u w:val="single"/>
        </w:rPr>
      </w:pPr>
    </w:p>
    <w:p w:rsidR="00A532F2" w:rsidRDefault="00A532F2" w:rsidP="00C0741A">
      <w:pPr>
        <w:spacing w:after="0"/>
        <w:rPr>
          <w:rFonts w:eastAsiaTheme="minorEastAsia"/>
          <w:sz w:val="20"/>
        </w:rPr>
      </w:pPr>
      <w:r w:rsidRPr="00C0741A">
        <w:rPr>
          <w:rFonts w:eastAsiaTheme="minorEastAsia"/>
          <w:b/>
          <w:sz w:val="20"/>
          <w:u w:val="single"/>
        </w:rPr>
        <w:t>Introduction</w:t>
      </w:r>
      <w:r>
        <w:rPr>
          <w:rFonts w:eastAsiaTheme="minorEastAsia"/>
          <w:sz w:val="20"/>
        </w:rPr>
        <w:t> :</w:t>
      </w:r>
      <w:r w:rsidR="00C0741A">
        <w:rPr>
          <w:rFonts w:eastAsiaTheme="minorEastAsia"/>
          <w:sz w:val="20"/>
        </w:rPr>
        <w:t xml:space="preserve"> les anesthésiques locaux sont des </w:t>
      </w:r>
      <w:r w:rsidR="00C0741A" w:rsidRPr="00C0741A">
        <w:rPr>
          <w:rFonts w:eastAsiaTheme="minorEastAsia"/>
          <w:sz w:val="20"/>
        </w:rPr>
        <w:t xml:space="preserve">inhibiteurs non spécifiques des voies périphériques </w:t>
      </w:r>
      <w:r w:rsidR="00C0741A">
        <w:rPr>
          <w:rFonts w:eastAsiaTheme="minorEastAsia"/>
          <w:sz w:val="20"/>
        </w:rPr>
        <w:t>s</w:t>
      </w:r>
      <w:r w:rsidR="00C0741A" w:rsidRPr="00C0741A">
        <w:rPr>
          <w:rFonts w:eastAsiaTheme="minorEastAsia"/>
          <w:sz w:val="20"/>
        </w:rPr>
        <w:t xml:space="preserve">ensorielles, motrices et </w:t>
      </w:r>
      <w:r w:rsidR="00C0741A">
        <w:rPr>
          <w:rFonts w:eastAsiaTheme="minorEastAsia"/>
          <w:sz w:val="20"/>
        </w:rPr>
        <w:t>autonomes</w:t>
      </w:r>
      <w:r w:rsidR="005671EA">
        <w:rPr>
          <w:rFonts w:eastAsiaTheme="minorEastAsia"/>
          <w:sz w:val="20"/>
        </w:rPr>
        <w:t xml:space="preserve"> (l’effet dépend de la dose)</w:t>
      </w:r>
      <w:r w:rsidR="00C0741A">
        <w:rPr>
          <w:rFonts w:eastAsiaTheme="minorEastAsia"/>
          <w:sz w:val="20"/>
        </w:rPr>
        <w:t>. À ne pas confondre avec les analgésiques qui, eux, sont</w:t>
      </w:r>
      <w:r w:rsidR="00C0741A" w:rsidRPr="00C0741A">
        <w:rPr>
          <w:rFonts w:eastAsiaTheme="minorEastAsia"/>
          <w:sz w:val="20"/>
        </w:rPr>
        <w:t xml:space="preserve"> inhibiteurs spécifiques des voies de transmission de la douleur</w:t>
      </w:r>
      <w:r w:rsidR="00C0741A">
        <w:rPr>
          <w:rFonts w:eastAsiaTheme="minorEastAsia"/>
          <w:sz w:val="20"/>
        </w:rPr>
        <w:t xml:space="preserve"> (nociception).</w:t>
      </w:r>
      <w:r w:rsidR="00C0741A" w:rsidRPr="00C0741A">
        <w:rPr>
          <w:rFonts w:eastAsiaTheme="minorEastAsia"/>
          <w:sz w:val="20"/>
        </w:rPr>
        <w:t xml:space="preserve"> </w:t>
      </w:r>
      <w:r w:rsidR="00C0741A">
        <w:rPr>
          <w:rFonts w:eastAsiaTheme="minorEastAsia"/>
          <w:sz w:val="20"/>
        </w:rPr>
        <w:t>Ces anesthésiques sont des bases faibles de pKa 7-9, i.e. des substances bipolaires.</w:t>
      </w:r>
    </w:p>
    <w:p w:rsidR="005671EA" w:rsidRDefault="005671EA" w:rsidP="00C0741A">
      <w:pPr>
        <w:spacing w:after="0"/>
        <w:rPr>
          <w:rFonts w:eastAsiaTheme="minorEastAsia"/>
          <w:sz w:val="20"/>
        </w:rPr>
      </w:pPr>
    </w:p>
    <w:p w:rsidR="00180608" w:rsidRDefault="005671EA" w:rsidP="005671EA">
      <w:pPr>
        <w:spacing w:after="0"/>
        <w:rPr>
          <w:rFonts w:eastAsiaTheme="minorEastAsia"/>
          <w:sz w:val="20"/>
        </w:rPr>
      </w:pPr>
      <w:r w:rsidRPr="00006EB8">
        <w:rPr>
          <w:rFonts w:eastAsiaTheme="minorEastAsia"/>
          <w:b/>
          <w:sz w:val="20"/>
          <w:u w:val="single"/>
        </w:rPr>
        <w:t>Mécanisme d’action des anesthésiques locaux (AL)</w:t>
      </w:r>
      <w:r>
        <w:rPr>
          <w:rFonts w:eastAsiaTheme="minorEastAsia"/>
          <w:sz w:val="20"/>
        </w:rPr>
        <w:t xml:space="preserve"> : </w:t>
      </w:r>
      <w:r w:rsidRPr="005671EA">
        <w:rPr>
          <w:rFonts w:eastAsiaTheme="minorEastAsia"/>
          <w:sz w:val="20"/>
        </w:rPr>
        <w:t>bloc du can</w:t>
      </w:r>
      <w:r>
        <w:rPr>
          <w:rFonts w:eastAsiaTheme="minorEastAsia"/>
          <w:sz w:val="20"/>
        </w:rPr>
        <w:t xml:space="preserve">al sodique dépendant du voltage. Le site d’action/liaison est intracellulaire, donc l’AL doit d’abord traverser la membrane plasmique </w:t>
      </w:r>
      <w:r w:rsidR="00180608">
        <w:rPr>
          <w:rFonts w:eastAsiaTheme="minorEastAsia"/>
          <w:sz w:val="20"/>
        </w:rPr>
        <w:t xml:space="preserve">par diffusion non ionique </w:t>
      </w:r>
      <w:r>
        <w:rPr>
          <w:rFonts w:eastAsiaTheme="minorEastAsia"/>
          <w:sz w:val="20"/>
        </w:rPr>
        <w:t>pour agir sur le récepteur. L’</w:t>
      </w:r>
      <w:r w:rsidRPr="005671EA">
        <w:rPr>
          <w:rFonts w:eastAsiaTheme="minorEastAsia"/>
          <w:sz w:val="20"/>
        </w:rPr>
        <w:t>affinité des AL varie selon les états de conformation du canal : affinité état ouvert/inac</w:t>
      </w:r>
      <w:r>
        <w:rPr>
          <w:rFonts w:eastAsiaTheme="minorEastAsia"/>
          <w:sz w:val="20"/>
        </w:rPr>
        <w:t>tivé &gt;&gt; affinité état de repos, donc</w:t>
      </w:r>
      <w:r w:rsidRPr="005671EA">
        <w:rPr>
          <w:rFonts w:eastAsiaTheme="minorEastAsia"/>
          <w:sz w:val="20"/>
        </w:rPr>
        <w:t xml:space="preserve"> </w:t>
      </w:r>
      <w:r>
        <w:rPr>
          <w:rFonts w:eastAsiaTheme="minorEastAsia"/>
          <w:sz w:val="20"/>
        </w:rPr>
        <w:t xml:space="preserve">le </w:t>
      </w:r>
      <w:r w:rsidRPr="005671EA">
        <w:rPr>
          <w:rFonts w:eastAsiaTheme="minorEastAsia"/>
          <w:sz w:val="20"/>
        </w:rPr>
        <w:t>bloc</w:t>
      </w:r>
      <w:r>
        <w:rPr>
          <w:rFonts w:eastAsiaTheme="minorEastAsia"/>
          <w:sz w:val="20"/>
        </w:rPr>
        <w:t xml:space="preserve"> est dit</w:t>
      </w:r>
      <w:r w:rsidRPr="005671EA">
        <w:rPr>
          <w:rFonts w:eastAsiaTheme="minorEastAsia"/>
          <w:sz w:val="20"/>
        </w:rPr>
        <w:t xml:space="preserve"> fréquence dépendant</w:t>
      </w:r>
      <w:r>
        <w:rPr>
          <w:rFonts w:eastAsiaTheme="minorEastAsia"/>
          <w:sz w:val="20"/>
        </w:rPr>
        <w:t>. Plus la fréquence d’ouverture est rapide, plus l’inhibition de l’AL est efficace.</w:t>
      </w:r>
    </w:p>
    <w:p w:rsidR="00180608" w:rsidRDefault="00090E6E" w:rsidP="00180608">
      <w:pPr>
        <w:pStyle w:val="Paragraphedeliste"/>
        <w:numPr>
          <w:ilvl w:val="0"/>
          <w:numId w:val="1"/>
        </w:numPr>
        <w:spacing w:after="0"/>
        <w:rPr>
          <w:sz w:val="20"/>
        </w:rPr>
      </w:pPr>
      <w:r w:rsidRPr="00180608">
        <w:rPr>
          <w:rFonts w:eastAsiaTheme="minorEastAsia"/>
          <w:sz w:val="20"/>
        </w:rPr>
        <w:t xml:space="preserve">L’inhibition est </w:t>
      </w:r>
      <w:r w:rsidRPr="00180608">
        <w:rPr>
          <w:sz w:val="20"/>
          <w:highlight w:val="yellow"/>
        </w:rPr>
        <w:t>tonique</w:t>
      </w:r>
      <w:r w:rsidRPr="00180608">
        <w:rPr>
          <w:sz w:val="20"/>
        </w:rPr>
        <w:t xml:space="preserve"> quand la fréquence de stimulation est basse</w:t>
      </w:r>
      <w:r w:rsidR="00180608">
        <w:rPr>
          <w:sz w:val="20"/>
        </w:rPr>
        <w:t>. Le temps entre les PA excède le temps de dissociation de l’anesthésique, donc la fraction de canaux liés est la même pour chaque stimulation.</w:t>
      </w:r>
    </w:p>
    <w:p w:rsidR="005671EA" w:rsidRPr="00180608" w:rsidRDefault="00180608" w:rsidP="00180608">
      <w:pPr>
        <w:pStyle w:val="Paragraphedeliste"/>
        <w:numPr>
          <w:ilvl w:val="0"/>
          <w:numId w:val="1"/>
        </w:numPr>
        <w:spacing w:after="0"/>
        <w:rPr>
          <w:sz w:val="20"/>
        </w:rPr>
      </w:pPr>
      <w:r>
        <w:rPr>
          <w:sz w:val="20"/>
        </w:rPr>
        <w:t>L</w:t>
      </w:r>
      <w:r w:rsidR="00090E6E" w:rsidRPr="00180608">
        <w:rPr>
          <w:sz w:val="20"/>
        </w:rPr>
        <w:t xml:space="preserve">'inhibition </w:t>
      </w:r>
      <w:r>
        <w:rPr>
          <w:sz w:val="20"/>
        </w:rPr>
        <w:t xml:space="preserve">est </w:t>
      </w:r>
      <w:r w:rsidR="00090E6E" w:rsidRPr="00180608">
        <w:rPr>
          <w:sz w:val="20"/>
          <w:highlight w:val="yellow"/>
        </w:rPr>
        <w:t>phasique</w:t>
      </w:r>
      <w:r w:rsidR="00090E6E" w:rsidRPr="00180608">
        <w:rPr>
          <w:sz w:val="20"/>
        </w:rPr>
        <w:t xml:space="preserve"> </w:t>
      </w:r>
      <w:r>
        <w:rPr>
          <w:sz w:val="20"/>
        </w:rPr>
        <w:t>pour des fréquences de stimulation plus élevées. Le temps entre les PA est plus court que le temps de dissociation de l’anesthésique, donc la fraction de canaux liés augmente avec chaque stimulation (jusqu’à ce que tous les canaux soient bloqués).</w:t>
      </w:r>
    </w:p>
    <w:p w:rsidR="00A532F2" w:rsidRDefault="00A532F2" w:rsidP="00A532F2">
      <w:pPr>
        <w:spacing w:after="0"/>
        <w:rPr>
          <w:rFonts w:eastAsiaTheme="minorEastAsia"/>
          <w:sz w:val="20"/>
        </w:rPr>
      </w:pPr>
    </w:p>
    <w:p w:rsidR="00256354" w:rsidRDefault="00256354" w:rsidP="00A532F2">
      <w:pPr>
        <w:spacing w:after="0"/>
        <w:rPr>
          <w:rFonts w:eastAsiaTheme="minorEastAsia"/>
          <w:sz w:val="20"/>
        </w:rPr>
      </w:pPr>
      <w:r w:rsidRPr="00006EB8">
        <w:rPr>
          <w:rFonts w:eastAsiaTheme="minorEastAsia"/>
          <w:b/>
          <w:sz w:val="20"/>
          <w:u w:val="single"/>
        </w:rPr>
        <w:t>Distribution par diffusion non ionique</w:t>
      </w:r>
      <w:r w:rsidRPr="00006EB8">
        <w:rPr>
          <w:rFonts w:eastAsiaTheme="minorEastAsia"/>
          <w:sz w:val="20"/>
          <w:u w:val="single"/>
        </w:rPr>
        <w:t> </w:t>
      </w:r>
      <w:r>
        <w:rPr>
          <w:rFonts w:eastAsiaTheme="minorEastAsia"/>
          <w:sz w:val="20"/>
        </w:rPr>
        <w:t>: le pKa de ces bases faibles est généralement proche du pH physiologique, ce qui fait qu’ils ne sont généralement pas chargés et peuvent traverser les membranes plasmiques. Mais en cas d’acidose (métabolique, respiratoire, plaie ouvertes etc) les anesthésies locales se lient aux protons, deviennent chargés positivement et ne peuvent plus traverser les membranes (non sont donc plus efficaces !).</w:t>
      </w:r>
    </w:p>
    <w:p w:rsidR="00256354" w:rsidRDefault="00256354" w:rsidP="00A532F2">
      <w:pPr>
        <w:spacing w:after="0"/>
        <w:rPr>
          <w:rFonts w:eastAsiaTheme="minorEastAsia"/>
          <w:sz w:val="20"/>
        </w:rPr>
      </w:pPr>
    </w:p>
    <w:p w:rsidR="00256354" w:rsidRDefault="00256354" w:rsidP="00A532F2">
      <w:pPr>
        <w:spacing w:after="0"/>
        <w:rPr>
          <w:rFonts w:eastAsiaTheme="minorEastAsia"/>
          <w:sz w:val="20"/>
        </w:rPr>
      </w:pPr>
      <w:r w:rsidRPr="00006EB8">
        <w:rPr>
          <w:rFonts w:eastAsiaTheme="minorEastAsia"/>
          <w:b/>
          <w:sz w:val="20"/>
          <w:u w:val="single"/>
        </w:rPr>
        <w:t>Sensibilité différentielle des fibres nerveuses aux AL</w:t>
      </w:r>
      <w:r>
        <w:rPr>
          <w:rFonts w:eastAsiaTheme="minorEastAsia"/>
          <w:sz w:val="20"/>
        </w:rPr>
        <w:t xml:space="preserve"> : moins il y a de myéline, moins la couche de lipides que l’AL </w:t>
      </w:r>
      <w:r w:rsidR="00006EB8">
        <w:rPr>
          <w:rFonts w:eastAsiaTheme="minorEastAsia"/>
          <w:sz w:val="20"/>
        </w:rPr>
        <w:t xml:space="preserve">doit traverser est fine, donc plus la fibre y est sensible. Les fibres moins myélinisées ont une conduction lente et sont généralement aussi de plus petit </w:t>
      </w:r>
      <w:r>
        <w:rPr>
          <w:rFonts w:eastAsiaTheme="minorEastAsia"/>
          <w:sz w:val="20"/>
        </w:rPr>
        <w:t>calibre</w:t>
      </w:r>
      <w:r w:rsidR="00006EB8">
        <w:rPr>
          <w:rFonts w:eastAsiaTheme="minorEastAsia"/>
          <w:sz w:val="20"/>
        </w:rPr>
        <w:t>. En somme, les AL sont très efficaces pour les fibres C (nociception et fibres post-ganglionnaires), B (fibres pré ganglionnaires ) et A</w:t>
      </w:r>
      <m:oMath>
        <m:r>
          <w:rPr>
            <w:rFonts w:ascii="Cambria Math" w:eastAsiaTheme="minorEastAsia" w:hAnsi="Cambria Math"/>
            <w:sz w:val="20"/>
          </w:rPr>
          <m:t>δ</m:t>
        </m:r>
      </m:oMath>
      <w:r w:rsidR="00006EB8">
        <w:rPr>
          <w:rFonts w:eastAsiaTheme="minorEastAsia"/>
          <w:sz w:val="20"/>
        </w:rPr>
        <w:t xml:space="preserve"> (douleur et température). En revanche elles sont moins efficaces pour les autres fibres A (bloc possible mais concentrations très hautes !).</w:t>
      </w:r>
    </w:p>
    <w:p w:rsidR="00006EB8" w:rsidRDefault="00006EB8" w:rsidP="00A532F2">
      <w:pPr>
        <w:spacing w:after="0"/>
        <w:rPr>
          <w:rFonts w:eastAsiaTheme="minorEastAsia"/>
          <w:sz w:val="20"/>
        </w:rPr>
      </w:pPr>
    </w:p>
    <w:p w:rsidR="00006EB8" w:rsidRDefault="00006EB8" w:rsidP="00A532F2">
      <w:pPr>
        <w:spacing w:after="0"/>
        <w:rPr>
          <w:rFonts w:eastAsiaTheme="minorEastAsia"/>
          <w:sz w:val="20"/>
        </w:rPr>
      </w:pPr>
      <w:r w:rsidRPr="00006EB8">
        <w:rPr>
          <w:rFonts w:eastAsiaTheme="minorEastAsia"/>
          <w:b/>
          <w:sz w:val="20"/>
          <w:u w:val="single"/>
        </w:rPr>
        <w:t>Effets des AL</w:t>
      </w:r>
      <w:r>
        <w:rPr>
          <w:rFonts w:eastAsiaTheme="minorEastAsia"/>
          <w:sz w:val="20"/>
        </w:rPr>
        <w:t> :</w:t>
      </w:r>
    </w:p>
    <w:p w:rsidR="00006EB8" w:rsidRDefault="00006EB8" w:rsidP="00006EB8">
      <w:pPr>
        <w:pStyle w:val="Paragraphedeliste"/>
        <w:numPr>
          <w:ilvl w:val="0"/>
          <w:numId w:val="1"/>
        </w:numPr>
        <w:spacing w:after="0"/>
        <w:rPr>
          <w:rFonts w:eastAsiaTheme="minorEastAsia"/>
          <w:sz w:val="20"/>
        </w:rPr>
      </w:pPr>
      <w:r w:rsidRPr="00006EB8">
        <w:rPr>
          <w:rFonts w:eastAsiaTheme="minorEastAsia"/>
          <w:sz w:val="20"/>
        </w:rPr>
        <w:t>Effets 2° :</w:t>
      </w:r>
      <w:r w:rsidRPr="00006EB8">
        <w:t xml:space="preserve"> </w:t>
      </w:r>
      <w:r w:rsidRPr="00006EB8">
        <w:rPr>
          <w:rFonts w:eastAsiaTheme="minorEastAsia"/>
          <w:sz w:val="20"/>
        </w:rPr>
        <w:t>effets proportionnels à la concentration dans la circulation sanguine (</w:t>
      </w:r>
      <w:r>
        <w:rPr>
          <w:rFonts w:eastAsiaTheme="minorEastAsia"/>
          <w:sz w:val="20"/>
        </w:rPr>
        <w:t xml:space="preserve">attnetion injection iv) </w:t>
      </w:r>
    </w:p>
    <w:p w:rsidR="00006EB8" w:rsidRPr="00006EB8" w:rsidRDefault="00006EB8" w:rsidP="00006EB8">
      <w:pPr>
        <w:pStyle w:val="Paragraphedeliste"/>
        <w:numPr>
          <w:ilvl w:val="0"/>
          <w:numId w:val="1"/>
        </w:numPr>
        <w:spacing w:after="0"/>
        <w:rPr>
          <w:rFonts w:eastAsiaTheme="minorEastAsia"/>
          <w:sz w:val="20"/>
        </w:rPr>
      </w:pPr>
      <w:r w:rsidRPr="00006EB8">
        <w:rPr>
          <w:rFonts w:eastAsiaTheme="minorEastAsia"/>
          <w:sz w:val="20"/>
        </w:rPr>
        <w:t>SNP : bloc douleur, sensibilité froid-chaud, toucher, pression, fibres motrices, bloc jonction neur</w:t>
      </w:r>
      <w:r>
        <w:rPr>
          <w:rFonts w:eastAsiaTheme="minorEastAsia"/>
          <w:sz w:val="20"/>
        </w:rPr>
        <w:t xml:space="preserve">omusculaire (effet curarisant) </w:t>
      </w:r>
    </w:p>
    <w:p w:rsidR="00006EB8" w:rsidRDefault="00006EB8" w:rsidP="00006EB8">
      <w:pPr>
        <w:pStyle w:val="Paragraphedeliste"/>
        <w:numPr>
          <w:ilvl w:val="0"/>
          <w:numId w:val="1"/>
        </w:numPr>
        <w:spacing w:after="0"/>
        <w:rPr>
          <w:rFonts w:eastAsiaTheme="minorEastAsia"/>
          <w:sz w:val="20"/>
        </w:rPr>
      </w:pPr>
      <w:r>
        <w:rPr>
          <w:rFonts w:eastAsiaTheme="minorEastAsia"/>
          <w:sz w:val="20"/>
        </w:rPr>
        <w:t>SNC : s</w:t>
      </w:r>
      <w:r w:rsidRPr="00006EB8">
        <w:rPr>
          <w:rFonts w:eastAsiaTheme="minorEastAsia"/>
          <w:sz w:val="20"/>
        </w:rPr>
        <w:t>timulation tremor, convulsion, puis dépression</w:t>
      </w:r>
    </w:p>
    <w:p w:rsidR="00006EB8" w:rsidRPr="00006EB8" w:rsidRDefault="00006EB8" w:rsidP="00006EB8">
      <w:pPr>
        <w:pStyle w:val="Paragraphedeliste"/>
        <w:numPr>
          <w:ilvl w:val="0"/>
          <w:numId w:val="1"/>
        </w:numPr>
        <w:spacing w:after="0"/>
        <w:rPr>
          <w:rFonts w:eastAsiaTheme="minorEastAsia"/>
          <w:sz w:val="20"/>
        </w:rPr>
      </w:pPr>
      <w:r>
        <w:rPr>
          <w:rFonts w:eastAsiaTheme="minorEastAsia"/>
          <w:sz w:val="20"/>
        </w:rPr>
        <w:t xml:space="preserve">Cardiovasculaire : </w:t>
      </w:r>
      <w:r w:rsidRPr="00006EB8">
        <w:rPr>
          <w:rFonts w:eastAsiaTheme="minorEastAsia"/>
          <w:sz w:val="20"/>
        </w:rPr>
        <w:t>cible primaire</w:t>
      </w:r>
      <w:r>
        <w:rPr>
          <w:rFonts w:eastAsiaTheme="minorEastAsia"/>
          <w:sz w:val="20"/>
        </w:rPr>
        <w:t xml:space="preserve"> =</w:t>
      </w:r>
      <w:r w:rsidRPr="00006EB8">
        <w:rPr>
          <w:rFonts w:eastAsiaTheme="minorEastAsia"/>
          <w:sz w:val="20"/>
        </w:rPr>
        <w:t xml:space="preserve"> le myocarde </w:t>
      </w:r>
    </w:p>
    <w:p w:rsidR="00006EB8" w:rsidRDefault="00006EB8" w:rsidP="00006EB8">
      <w:pPr>
        <w:pStyle w:val="Paragraphedeliste"/>
        <w:numPr>
          <w:ilvl w:val="0"/>
          <w:numId w:val="32"/>
        </w:numPr>
        <w:spacing w:after="0"/>
        <w:rPr>
          <w:rFonts w:eastAsiaTheme="minorEastAsia"/>
          <w:sz w:val="20"/>
        </w:rPr>
      </w:pPr>
      <w:r w:rsidRPr="00006EB8">
        <w:rPr>
          <w:rFonts w:eastAsiaTheme="minorEastAsia"/>
          <w:sz w:val="20"/>
        </w:rPr>
        <w:t>↓ excitabilité, conduction ventriculaire</w:t>
      </w:r>
    </w:p>
    <w:p w:rsidR="00006EB8" w:rsidRDefault="00006EB8" w:rsidP="00006EB8">
      <w:pPr>
        <w:pStyle w:val="Paragraphedeliste"/>
        <w:numPr>
          <w:ilvl w:val="0"/>
          <w:numId w:val="32"/>
        </w:numPr>
        <w:spacing w:after="0"/>
        <w:rPr>
          <w:rFonts w:eastAsiaTheme="minorEastAsia"/>
          <w:sz w:val="20"/>
        </w:rPr>
      </w:pPr>
      <w:r w:rsidRPr="00006EB8">
        <w:rPr>
          <w:rFonts w:eastAsiaTheme="minorEastAsia"/>
          <w:sz w:val="20"/>
        </w:rPr>
        <w:t>↓ force de contractio</w:t>
      </w:r>
      <w:r>
        <w:rPr>
          <w:rFonts w:eastAsiaTheme="minorEastAsia"/>
          <w:sz w:val="20"/>
        </w:rPr>
        <w:t>n</w:t>
      </w:r>
    </w:p>
    <w:p w:rsidR="00006EB8" w:rsidRDefault="00006EB8" w:rsidP="00006EB8">
      <w:pPr>
        <w:pStyle w:val="Paragraphedeliste"/>
        <w:numPr>
          <w:ilvl w:val="0"/>
          <w:numId w:val="32"/>
        </w:numPr>
        <w:spacing w:after="0"/>
        <w:rPr>
          <w:rFonts w:eastAsiaTheme="minorEastAsia"/>
          <w:sz w:val="20"/>
        </w:rPr>
      </w:pPr>
      <w:r w:rsidRPr="00006EB8">
        <w:rPr>
          <w:rFonts w:eastAsiaTheme="minorEastAsia"/>
          <w:sz w:val="20"/>
        </w:rPr>
        <w:t>Dilatation artériolaire, cocaïne: vasoconstriction coronaire</w:t>
      </w:r>
    </w:p>
    <w:p w:rsidR="003B6968" w:rsidRDefault="003B6968" w:rsidP="003B6968">
      <w:pPr>
        <w:spacing w:after="0"/>
        <w:rPr>
          <w:rFonts w:eastAsiaTheme="minorEastAsia"/>
          <w:sz w:val="20"/>
        </w:rPr>
      </w:pPr>
    </w:p>
    <w:p w:rsidR="003B6968" w:rsidRDefault="003B6968" w:rsidP="003B6968">
      <w:pPr>
        <w:spacing w:after="0"/>
        <w:rPr>
          <w:rFonts w:eastAsiaTheme="minorEastAsia"/>
          <w:sz w:val="20"/>
        </w:rPr>
      </w:pPr>
      <w:r w:rsidRPr="003B6968">
        <w:rPr>
          <w:rFonts w:eastAsiaTheme="minorEastAsia"/>
          <w:b/>
          <w:sz w:val="20"/>
          <w:u w:val="single"/>
        </w:rPr>
        <w:t>Pharmacocinétique</w:t>
      </w:r>
      <w:r>
        <w:rPr>
          <w:rFonts w:eastAsiaTheme="minorEastAsia"/>
          <w:sz w:val="20"/>
        </w:rPr>
        <w:t> :</w:t>
      </w:r>
    </w:p>
    <w:p w:rsidR="003B6968" w:rsidRDefault="003B6968" w:rsidP="003B6968">
      <w:pPr>
        <w:spacing w:after="0"/>
        <w:rPr>
          <w:rFonts w:eastAsiaTheme="minorEastAsia"/>
          <w:sz w:val="20"/>
        </w:rPr>
      </w:pPr>
    </w:p>
    <w:p w:rsidR="003B6968" w:rsidRDefault="003B6968" w:rsidP="003B6968">
      <w:pPr>
        <w:spacing w:after="0"/>
        <w:rPr>
          <w:rFonts w:eastAsiaTheme="minorEastAsia"/>
          <w:sz w:val="20"/>
        </w:rPr>
      </w:pPr>
      <w:r w:rsidRPr="003B6968">
        <w:rPr>
          <w:rFonts w:eastAsiaTheme="minorEastAsia"/>
          <w:b/>
          <w:sz w:val="20"/>
        </w:rPr>
        <w:t>Voie d’administration</w:t>
      </w:r>
      <w:r>
        <w:rPr>
          <w:rFonts w:eastAsiaTheme="minorEastAsia"/>
          <w:sz w:val="20"/>
        </w:rPr>
        <w:t>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 xml:space="preserve">anesthésie de surface : lidocaïne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 xml:space="preserve">infiltration : lidocaïne +/- adrénaline, mépivacaïne, procaïne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 xml:space="preserve">action prolongée par vasoconstriction (adrénaline)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 xml:space="preserve">bloc tronculaire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anesthésie régionale (</w:t>
      </w:r>
      <w:r>
        <w:rPr>
          <w:rFonts w:eastAsiaTheme="minorEastAsia"/>
          <w:sz w:val="20"/>
        </w:rPr>
        <w:t>i.v.</w:t>
      </w:r>
      <w:r w:rsidRPr="003B6968">
        <w:rPr>
          <w:rFonts w:eastAsiaTheme="minorEastAsia"/>
          <w:sz w:val="20"/>
        </w:rPr>
        <w:t xml:space="preserve">)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lastRenderedPageBreak/>
        <w:t>anesthésie rachidienne</w:t>
      </w:r>
      <w:r>
        <w:rPr>
          <w:rFonts w:eastAsiaTheme="minorEastAsia"/>
          <w:sz w:val="20"/>
        </w:rPr>
        <w:t> :</w:t>
      </w:r>
      <w:r w:rsidRPr="003B6968">
        <w:rPr>
          <w:rFonts w:eastAsiaTheme="minorEastAsia"/>
          <w:sz w:val="20"/>
        </w:rPr>
        <w:t xml:space="preserve"> </w:t>
      </w:r>
      <w:r>
        <w:rPr>
          <w:rFonts w:eastAsiaTheme="minorEastAsia"/>
          <w:sz w:val="20"/>
        </w:rPr>
        <w:t xml:space="preserve">via </w:t>
      </w:r>
      <w:r w:rsidRPr="003B6968">
        <w:rPr>
          <w:rFonts w:eastAsiaTheme="minorEastAsia"/>
          <w:sz w:val="20"/>
        </w:rPr>
        <w:t xml:space="preserve">a.spinale ou rachianesthésie par administration dans l’espace sous-arachnoïdien, dans le </w:t>
      </w:r>
      <w:r>
        <w:rPr>
          <w:rFonts w:eastAsiaTheme="minorEastAsia"/>
          <w:sz w:val="20"/>
        </w:rPr>
        <w:t>LCP</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anesthésie péridurale (épidurale) : injection dans l’espace péridura</w:t>
      </w:r>
      <w:r>
        <w:rPr>
          <w:rFonts w:eastAsiaTheme="minorEastAsia"/>
          <w:sz w:val="20"/>
        </w:rPr>
        <w:t>l</w:t>
      </w:r>
    </w:p>
    <w:p w:rsidR="003B6968" w:rsidRDefault="003B6968" w:rsidP="003B6968">
      <w:pPr>
        <w:spacing w:after="0"/>
        <w:rPr>
          <w:rFonts w:eastAsiaTheme="minorEastAsia"/>
          <w:sz w:val="20"/>
        </w:rPr>
      </w:pPr>
    </w:p>
    <w:p w:rsidR="003B6968" w:rsidRDefault="003B6968" w:rsidP="003B6968">
      <w:pPr>
        <w:spacing w:after="0"/>
        <w:rPr>
          <w:rFonts w:eastAsiaTheme="minorEastAsia"/>
          <w:sz w:val="20"/>
        </w:rPr>
      </w:pPr>
      <w:r w:rsidRPr="003B6968">
        <w:rPr>
          <w:rFonts w:eastAsiaTheme="minorEastAsia"/>
          <w:b/>
          <w:sz w:val="20"/>
        </w:rPr>
        <w:t>Métabolisme</w:t>
      </w:r>
      <w:r>
        <w:rPr>
          <w:rFonts w:eastAsiaTheme="minorEastAsia"/>
          <w:sz w:val="20"/>
        </w:rPr>
        <w:t> :</w:t>
      </w:r>
    </w:p>
    <w:p w:rsidR="003B6968" w:rsidRPr="003B6968" w:rsidRDefault="003B6968" w:rsidP="003B6968">
      <w:pPr>
        <w:pStyle w:val="Paragraphedeliste"/>
        <w:numPr>
          <w:ilvl w:val="0"/>
          <w:numId w:val="1"/>
        </w:numPr>
        <w:spacing w:after="0"/>
        <w:rPr>
          <w:rFonts w:eastAsiaTheme="minorEastAsia"/>
          <w:sz w:val="20"/>
        </w:rPr>
      </w:pPr>
      <w:r w:rsidRPr="003B6968">
        <w:rPr>
          <w:rFonts w:eastAsiaTheme="minorEastAsia"/>
          <w:sz w:val="20"/>
        </w:rPr>
        <w:t>esters : dégrad</w:t>
      </w:r>
      <w:r>
        <w:rPr>
          <w:rFonts w:eastAsiaTheme="minorEastAsia"/>
          <w:sz w:val="20"/>
        </w:rPr>
        <w:t>ation</w:t>
      </w:r>
      <w:r w:rsidRPr="003B6968">
        <w:rPr>
          <w:rFonts w:eastAsiaTheme="minorEastAsia"/>
          <w:sz w:val="20"/>
        </w:rPr>
        <w:t xml:space="preserve"> par estérases plasmatiques (courte durée) </w:t>
      </w:r>
    </w:p>
    <w:p w:rsidR="003B6968" w:rsidRDefault="003B6968" w:rsidP="003B6968">
      <w:pPr>
        <w:pStyle w:val="Paragraphedeliste"/>
        <w:numPr>
          <w:ilvl w:val="0"/>
          <w:numId w:val="1"/>
        </w:numPr>
        <w:spacing w:after="0"/>
        <w:rPr>
          <w:rFonts w:eastAsiaTheme="minorEastAsia"/>
          <w:sz w:val="20"/>
        </w:rPr>
      </w:pPr>
      <w:r w:rsidRPr="003B6968">
        <w:rPr>
          <w:rFonts w:eastAsiaTheme="minorEastAsia"/>
          <w:sz w:val="20"/>
        </w:rPr>
        <w:t>amides : cytochrome P-450, hydrolyse, N-alkylation, oxydases à fonction mixtes</w:t>
      </w:r>
    </w:p>
    <w:p w:rsidR="003B6968" w:rsidRDefault="003B6968" w:rsidP="003B6968">
      <w:pPr>
        <w:spacing w:after="0"/>
        <w:rPr>
          <w:rFonts w:eastAsiaTheme="minorEastAsia"/>
          <w:sz w:val="20"/>
        </w:rPr>
      </w:pPr>
    </w:p>
    <w:p w:rsidR="003B6968" w:rsidRDefault="003B6968" w:rsidP="003B6968">
      <w:pPr>
        <w:spacing w:after="0"/>
        <w:rPr>
          <w:rFonts w:eastAsiaTheme="minorEastAsia"/>
          <w:sz w:val="20"/>
        </w:rPr>
      </w:pPr>
      <w:r w:rsidRPr="003B6968">
        <w:rPr>
          <w:rFonts w:eastAsiaTheme="minorEastAsia"/>
          <w:b/>
          <w:sz w:val="20"/>
          <w:u w:val="single"/>
        </w:rPr>
        <w:t>Anesthésiques locaux à connaître</w:t>
      </w:r>
      <w:r>
        <w:rPr>
          <w:rFonts w:eastAsiaTheme="minorEastAsia"/>
          <w:sz w:val="20"/>
        </w:rPr>
        <w:t> :</w:t>
      </w:r>
    </w:p>
    <w:p w:rsidR="003B6968" w:rsidRDefault="003B6968" w:rsidP="003B6968">
      <w:pPr>
        <w:spacing w:after="0"/>
        <w:rPr>
          <w:rFonts w:eastAsiaTheme="minorEastAsia"/>
          <w:sz w:val="20"/>
        </w:rPr>
      </w:pPr>
    </w:p>
    <w:tbl>
      <w:tblPr>
        <w:tblStyle w:val="Grilledutableau"/>
        <w:tblW w:w="11058" w:type="dxa"/>
        <w:tblInd w:w="-885" w:type="dxa"/>
        <w:tblLook w:val="04A0" w:firstRow="1" w:lastRow="0" w:firstColumn="1" w:lastColumn="0" w:noHBand="0" w:noVBand="1"/>
      </w:tblPr>
      <w:tblGrid>
        <w:gridCol w:w="1277"/>
        <w:gridCol w:w="992"/>
        <w:gridCol w:w="1559"/>
        <w:gridCol w:w="1843"/>
        <w:gridCol w:w="992"/>
        <w:gridCol w:w="4395"/>
      </w:tblGrid>
      <w:tr w:rsidR="003B6968" w:rsidTr="003B6968">
        <w:tc>
          <w:tcPr>
            <w:tcW w:w="1277" w:type="dxa"/>
          </w:tcPr>
          <w:p w:rsidR="003B6968" w:rsidRPr="003B6968" w:rsidRDefault="003B6968" w:rsidP="003B6968">
            <w:pPr>
              <w:jc w:val="center"/>
              <w:rPr>
                <w:rFonts w:eastAsiaTheme="minorEastAsia"/>
                <w:b/>
                <w:sz w:val="20"/>
              </w:rPr>
            </w:pPr>
            <w:r w:rsidRPr="003B6968">
              <w:rPr>
                <w:rFonts w:eastAsiaTheme="minorEastAsia"/>
                <w:b/>
                <w:sz w:val="20"/>
              </w:rPr>
              <w:t>Substance</w:t>
            </w:r>
          </w:p>
        </w:tc>
        <w:tc>
          <w:tcPr>
            <w:tcW w:w="992" w:type="dxa"/>
          </w:tcPr>
          <w:p w:rsidR="003B6968" w:rsidRPr="003B6968" w:rsidRDefault="003B6968" w:rsidP="003B6968">
            <w:pPr>
              <w:jc w:val="center"/>
              <w:rPr>
                <w:rFonts w:eastAsiaTheme="minorEastAsia"/>
                <w:b/>
                <w:sz w:val="20"/>
              </w:rPr>
            </w:pPr>
            <w:r w:rsidRPr="003B6968">
              <w:rPr>
                <w:rFonts w:eastAsiaTheme="minorEastAsia"/>
                <w:b/>
                <w:sz w:val="20"/>
              </w:rPr>
              <w:t>Début</w:t>
            </w:r>
          </w:p>
        </w:tc>
        <w:tc>
          <w:tcPr>
            <w:tcW w:w="1559" w:type="dxa"/>
          </w:tcPr>
          <w:p w:rsidR="003B6968" w:rsidRPr="003B6968" w:rsidRDefault="003B6968" w:rsidP="003B6968">
            <w:pPr>
              <w:jc w:val="center"/>
              <w:rPr>
                <w:rFonts w:eastAsiaTheme="minorEastAsia"/>
                <w:b/>
                <w:sz w:val="20"/>
              </w:rPr>
            </w:pPr>
            <w:r w:rsidRPr="003B6968">
              <w:rPr>
                <w:rFonts w:eastAsiaTheme="minorEastAsia"/>
                <w:b/>
                <w:sz w:val="20"/>
              </w:rPr>
              <w:t>Durée d’action</w:t>
            </w:r>
          </w:p>
        </w:tc>
        <w:tc>
          <w:tcPr>
            <w:tcW w:w="1843" w:type="dxa"/>
          </w:tcPr>
          <w:p w:rsidR="003B6968" w:rsidRPr="003B6968" w:rsidRDefault="003B6968" w:rsidP="003B6968">
            <w:pPr>
              <w:jc w:val="center"/>
              <w:rPr>
                <w:rFonts w:eastAsiaTheme="minorEastAsia"/>
                <w:b/>
                <w:sz w:val="20"/>
              </w:rPr>
            </w:pPr>
            <w:r w:rsidRPr="003B6968">
              <w:rPr>
                <w:rFonts w:eastAsiaTheme="minorEastAsia"/>
                <w:b/>
                <w:sz w:val="20"/>
              </w:rPr>
              <w:t>Pénétration tissus</w:t>
            </w:r>
          </w:p>
        </w:tc>
        <w:tc>
          <w:tcPr>
            <w:tcW w:w="992" w:type="dxa"/>
          </w:tcPr>
          <w:p w:rsidR="003B6968" w:rsidRPr="003B6968" w:rsidRDefault="003B6968" w:rsidP="003B6968">
            <w:pPr>
              <w:jc w:val="center"/>
              <w:rPr>
                <w:rFonts w:eastAsiaTheme="minorEastAsia"/>
                <w:b/>
                <w:sz w:val="20"/>
              </w:rPr>
            </w:pPr>
            <w:r w:rsidRPr="003B6968">
              <w:rPr>
                <w:rFonts w:eastAsiaTheme="minorEastAsia"/>
                <w:b/>
                <w:sz w:val="20"/>
              </w:rPr>
              <w:t>½ vie (h)</w:t>
            </w:r>
          </w:p>
        </w:tc>
        <w:tc>
          <w:tcPr>
            <w:tcW w:w="4395" w:type="dxa"/>
          </w:tcPr>
          <w:p w:rsidR="003B6968" w:rsidRPr="003B6968" w:rsidRDefault="003B6968" w:rsidP="003B6968">
            <w:pPr>
              <w:jc w:val="center"/>
              <w:rPr>
                <w:rFonts w:eastAsiaTheme="minorEastAsia"/>
                <w:b/>
                <w:sz w:val="20"/>
              </w:rPr>
            </w:pPr>
            <w:r w:rsidRPr="003B6968">
              <w:rPr>
                <w:rFonts w:eastAsiaTheme="minorEastAsia"/>
                <w:b/>
                <w:sz w:val="20"/>
              </w:rPr>
              <w:t>NB</w:t>
            </w:r>
          </w:p>
        </w:tc>
      </w:tr>
      <w:tr w:rsidR="003B6968" w:rsidTr="009D5457">
        <w:tc>
          <w:tcPr>
            <w:tcW w:w="1277" w:type="dxa"/>
            <w:vAlign w:val="center"/>
          </w:tcPr>
          <w:p w:rsidR="003B6968" w:rsidRDefault="003B6968" w:rsidP="009D5457">
            <w:pPr>
              <w:jc w:val="center"/>
              <w:rPr>
                <w:rFonts w:eastAsiaTheme="minorEastAsia"/>
                <w:sz w:val="20"/>
              </w:rPr>
            </w:pPr>
            <w:r>
              <w:rPr>
                <w:rFonts w:eastAsiaTheme="minorEastAsia"/>
                <w:sz w:val="20"/>
              </w:rPr>
              <w:t>Procaïne</w:t>
            </w:r>
          </w:p>
        </w:tc>
        <w:tc>
          <w:tcPr>
            <w:tcW w:w="992" w:type="dxa"/>
            <w:vAlign w:val="center"/>
          </w:tcPr>
          <w:p w:rsidR="003B6968" w:rsidRDefault="003B6968" w:rsidP="009D5457">
            <w:pPr>
              <w:jc w:val="center"/>
              <w:rPr>
                <w:rFonts w:eastAsiaTheme="minorEastAsia"/>
                <w:sz w:val="20"/>
              </w:rPr>
            </w:pPr>
            <w:r>
              <w:rPr>
                <w:rFonts w:eastAsiaTheme="minorEastAsia"/>
                <w:sz w:val="20"/>
              </w:rPr>
              <w:t>Lent</w:t>
            </w:r>
          </w:p>
        </w:tc>
        <w:tc>
          <w:tcPr>
            <w:tcW w:w="1559" w:type="dxa"/>
            <w:vAlign w:val="center"/>
          </w:tcPr>
          <w:p w:rsidR="003B6968" w:rsidRDefault="003B6968" w:rsidP="009D5457">
            <w:pPr>
              <w:jc w:val="center"/>
              <w:rPr>
                <w:rFonts w:eastAsiaTheme="minorEastAsia"/>
                <w:sz w:val="20"/>
              </w:rPr>
            </w:pPr>
            <w:r>
              <w:rPr>
                <w:rFonts w:eastAsiaTheme="minorEastAsia"/>
                <w:sz w:val="20"/>
              </w:rPr>
              <w:t>Courte</w:t>
            </w:r>
          </w:p>
        </w:tc>
        <w:tc>
          <w:tcPr>
            <w:tcW w:w="1843" w:type="dxa"/>
            <w:vAlign w:val="center"/>
          </w:tcPr>
          <w:p w:rsidR="003B6968" w:rsidRDefault="003B6968" w:rsidP="009D5457">
            <w:pPr>
              <w:jc w:val="center"/>
              <w:rPr>
                <w:rFonts w:eastAsiaTheme="minorEastAsia"/>
                <w:sz w:val="20"/>
              </w:rPr>
            </w:pPr>
            <w:r>
              <w:rPr>
                <w:rFonts w:eastAsiaTheme="minorEastAsia"/>
                <w:sz w:val="20"/>
              </w:rPr>
              <w:t>Mauvaise</w:t>
            </w:r>
          </w:p>
        </w:tc>
        <w:tc>
          <w:tcPr>
            <w:tcW w:w="992" w:type="dxa"/>
            <w:vAlign w:val="center"/>
          </w:tcPr>
          <w:p w:rsidR="003B6968" w:rsidRDefault="003B6968" w:rsidP="009D5457">
            <w:pPr>
              <w:jc w:val="center"/>
              <w:rPr>
                <w:rFonts w:eastAsiaTheme="minorEastAsia"/>
                <w:sz w:val="20"/>
              </w:rPr>
            </w:pPr>
            <w:r>
              <w:rPr>
                <w:rFonts w:eastAsiaTheme="minorEastAsia"/>
                <w:sz w:val="20"/>
              </w:rPr>
              <w:t>&lt;1h</w:t>
            </w:r>
          </w:p>
        </w:tc>
        <w:tc>
          <w:tcPr>
            <w:tcW w:w="4395" w:type="dxa"/>
            <w:vAlign w:val="center"/>
          </w:tcPr>
          <w:p w:rsidR="003B6968" w:rsidRDefault="003B6968" w:rsidP="009D5457">
            <w:pPr>
              <w:jc w:val="center"/>
              <w:rPr>
                <w:rFonts w:eastAsiaTheme="minorEastAsia"/>
                <w:sz w:val="20"/>
              </w:rPr>
            </w:pPr>
            <w:r w:rsidRPr="003B6968">
              <w:rPr>
                <w:rFonts w:eastAsiaTheme="minorEastAsia"/>
                <w:sz w:val="20"/>
              </w:rPr>
              <w:t>Peu utilisé, infiltration, médecine dentaire</w:t>
            </w:r>
          </w:p>
        </w:tc>
      </w:tr>
      <w:tr w:rsidR="003B6968" w:rsidTr="009D5457">
        <w:tc>
          <w:tcPr>
            <w:tcW w:w="1277" w:type="dxa"/>
            <w:vAlign w:val="center"/>
          </w:tcPr>
          <w:p w:rsidR="003B6968" w:rsidRDefault="003B6968" w:rsidP="009D5457">
            <w:pPr>
              <w:jc w:val="center"/>
              <w:rPr>
                <w:rFonts w:eastAsiaTheme="minorEastAsia"/>
                <w:sz w:val="20"/>
              </w:rPr>
            </w:pPr>
            <w:r>
              <w:rPr>
                <w:rFonts w:eastAsiaTheme="minorEastAsia"/>
                <w:sz w:val="20"/>
              </w:rPr>
              <w:t>Lidocaïne</w:t>
            </w:r>
          </w:p>
        </w:tc>
        <w:tc>
          <w:tcPr>
            <w:tcW w:w="992" w:type="dxa"/>
            <w:vAlign w:val="center"/>
          </w:tcPr>
          <w:p w:rsidR="003B6968" w:rsidRDefault="003B6968" w:rsidP="009D5457">
            <w:pPr>
              <w:jc w:val="center"/>
              <w:rPr>
                <w:rFonts w:eastAsiaTheme="minorEastAsia"/>
                <w:sz w:val="20"/>
              </w:rPr>
            </w:pPr>
            <w:r>
              <w:rPr>
                <w:rFonts w:eastAsiaTheme="minorEastAsia"/>
                <w:sz w:val="20"/>
              </w:rPr>
              <w:t>Rapide</w:t>
            </w:r>
          </w:p>
        </w:tc>
        <w:tc>
          <w:tcPr>
            <w:tcW w:w="1559" w:type="dxa"/>
            <w:vAlign w:val="center"/>
          </w:tcPr>
          <w:p w:rsidR="003B6968" w:rsidRDefault="003B6968" w:rsidP="009D5457">
            <w:pPr>
              <w:jc w:val="center"/>
              <w:rPr>
                <w:rFonts w:eastAsiaTheme="minorEastAsia"/>
                <w:sz w:val="20"/>
              </w:rPr>
            </w:pPr>
            <w:r>
              <w:rPr>
                <w:rFonts w:eastAsiaTheme="minorEastAsia"/>
                <w:sz w:val="20"/>
              </w:rPr>
              <w:t>Moyenne</w:t>
            </w:r>
          </w:p>
        </w:tc>
        <w:tc>
          <w:tcPr>
            <w:tcW w:w="1843" w:type="dxa"/>
            <w:vAlign w:val="center"/>
          </w:tcPr>
          <w:p w:rsidR="003B6968" w:rsidRDefault="003B6968" w:rsidP="009D5457">
            <w:pPr>
              <w:jc w:val="center"/>
              <w:rPr>
                <w:rFonts w:eastAsiaTheme="minorEastAsia"/>
                <w:sz w:val="20"/>
              </w:rPr>
            </w:pPr>
            <w:r>
              <w:rPr>
                <w:rFonts w:eastAsiaTheme="minorEastAsia"/>
                <w:sz w:val="20"/>
              </w:rPr>
              <w:t>Bonne</w:t>
            </w:r>
          </w:p>
        </w:tc>
        <w:tc>
          <w:tcPr>
            <w:tcW w:w="992" w:type="dxa"/>
            <w:vAlign w:val="center"/>
          </w:tcPr>
          <w:p w:rsidR="003B6968" w:rsidRDefault="003B6968" w:rsidP="009D5457">
            <w:pPr>
              <w:jc w:val="center"/>
              <w:rPr>
                <w:rFonts w:eastAsiaTheme="minorEastAsia"/>
                <w:sz w:val="20"/>
              </w:rPr>
            </w:pPr>
            <w:r>
              <w:rPr>
                <w:rFonts w:eastAsiaTheme="minorEastAsia"/>
                <w:sz w:val="20"/>
              </w:rPr>
              <w:t>2h env</w:t>
            </w:r>
          </w:p>
        </w:tc>
        <w:tc>
          <w:tcPr>
            <w:tcW w:w="4395" w:type="dxa"/>
            <w:vAlign w:val="center"/>
          </w:tcPr>
          <w:p w:rsidR="003B6968" w:rsidRDefault="003B6968" w:rsidP="009D5457">
            <w:pPr>
              <w:jc w:val="center"/>
              <w:rPr>
                <w:rFonts w:eastAsiaTheme="minorEastAsia"/>
                <w:sz w:val="20"/>
              </w:rPr>
            </w:pPr>
            <w:r>
              <w:rPr>
                <w:rFonts w:eastAsiaTheme="minorEastAsia"/>
                <w:sz w:val="20"/>
              </w:rPr>
              <w:t>Le + utilisé comme AL, a</w:t>
            </w:r>
            <w:r w:rsidRPr="003B6968">
              <w:rPr>
                <w:rFonts w:eastAsiaTheme="minorEastAsia"/>
                <w:sz w:val="20"/>
              </w:rPr>
              <w:t>nti-arrythmique</w:t>
            </w:r>
          </w:p>
        </w:tc>
      </w:tr>
      <w:tr w:rsidR="003B6968" w:rsidTr="009D5457">
        <w:tc>
          <w:tcPr>
            <w:tcW w:w="1277" w:type="dxa"/>
            <w:vAlign w:val="center"/>
          </w:tcPr>
          <w:p w:rsidR="003B6968" w:rsidRDefault="003B6968" w:rsidP="009D5457">
            <w:pPr>
              <w:jc w:val="center"/>
              <w:rPr>
                <w:rFonts w:eastAsiaTheme="minorEastAsia"/>
                <w:sz w:val="20"/>
              </w:rPr>
            </w:pPr>
            <w:r>
              <w:rPr>
                <w:rFonts w:eastAsiaTheme="minorEastAsia"/>
                <w:sz w:val="20"/>
              </w:rPr>
              <w:t>Tétracaïne</w:t>
            </w:r>
          </w:p>
        </w:tc>
        <w:tc>
          <w:tcPr>
            <w:tcW w:w="992" w:type="dxa"/>
            <w:vAlign w:val="center"/>
          </w:tcPr>
          <w:p w:rsidR="003B6968" w:rsidRDefault="003B6968" w:rsidP="009D5457">
            <w:pPr>
              <w:jc w:val="center"/>
              <w:rPr>
                <w:rFonts w:eastAsiaTheme="minorEastAsia"/>
                <w:sz w:val="20"/>
              </w:rPr>
            </w:pPr>
            <w:r>
              <w:rPr>
                <w:rFonts w:eastAsiaTheme="minorEastAsia"/>
                <w:sz w:val="20"/>
              </w:rPr>
              <w:t>Très lent</w:t>
            </w:r>
          </w:p>
        </w:tc>
        <w:tc>
          <w:tcPr>
            <w:tcW w:w="1559" w:type="dxa"/>
            <w:vAlign w:val="center"/>
          </w:tcPr>
          <w:p w:rsidR="003B6968" w:rsidRDefault="003B6968" w:rsidP="009D5457">
            <w:pPr>
              <w:jc w:val="center"/>
              <w:rPr>
                <w:rFonts w:eastAsiaTheme="minorEastAsia"/>
                <w:sz w:val="20"/>
              </w:rPr>
            </w:pPr>
            <w:r>
              <w:rPr>
                <w:rFonts w:eastAsiaTheme="minorEastAsia"/>
                <w:sz w:val="20"/>
              </w:rPr>
              <w:t>Longue</w:t>
            </w:r>
          </w:p>
        </w:tc>
        <w:tc>
          <w:tcPr>
            <w:tcW w:w="1843" w:type="dxa"/>
            <w:vAlign w:val="center"/>
          </w:tcPr>
          <w:p w:rsidR="003B6968" w:rsidRDefault="003B6968" w:rsidP="009D5457">
            <w:pPr>
              <w:jc w:val="center"/>
              <w:rPr>
                <w:rFonts w:eastAsiaTheme="minorEastAsia"/>
                <w:sz w:val="20"/>
              </w:rPr>
            </w:pPr>
            <w:r>
              <w:rPr>
                <w:rFonts w:eastAsiaTheme="minorEastAsia"/>
                <w:sz w:val="20"/>
              </w:rPr>
              <w:t>Modérée</w:t>
            </w:r>
          </w:p>
        </w:tc>
        <w:tc>
          <w:tcPr>
            <w:tcW w:w="992" w:type="dxa"/>
            <w:vAlign w:val="center"/>
          </w:tcPr>
          <w:p w:rsidR="003B6968" w:rsidRDefault="003B6968" w:rsidP="009D5457">
            <w:pPr>
              <w:jc w:val="center"/>
              <w:rPr>
                <w:rFonts w:eastAsiaTheme="minorEastAsia"/>
                <w:sz w:val="20"/>
              </w:rPr>
            </w:pPr>
            <w:r>
              <w:rPr>
                <w:rFonts w:eastAsiaTheme="minorEastAsia"/>
                <w:sz w:val="20"/>
              </w:rPr>
              <w:t>1h</w:t>
            </w:r>
          </w:p>
        </w:tc>
        <w:tc>
          <w:tcPr>
            <w:tcW w:w="4395" w:type="dxa"/>
            <w:vAlign w:val="center"/>
          </w:tcPr>
          <w:p w:rsidR="003B6968" w:rsidRDefault="003B6968" w:rsidP="009D5457">
            <w:pPr>
              <w:jc w:val="center"/>
              <w:rPr>
                <w:rFonts w:eastAsiaTheme="minorEastAsia"/>
                <w:sz w:val="20"/>
              </w:rPr>
            </w:pPr>
            <w:r w:rsidRPr="003B6968">
              <w:rPr>
                <w:rFonts w:eastAsiaTheme="minorEastAsia"/>
                <w:sz w:val="20"/>
              </w:rPr>
              <w:t>Anesthésie spinale</w:t>
            </w:r>
          </w:p>
        </w:tc>
      </w:tr>
      <w:tr w:rsidR="003B6968" w:rsidTr="009D5457">
        <w:tc>
          <w:tcPr>
            <w:tcW w:w="1277" w:type="dxa"/>
            <w:vAlign w:val="center"/>
          </w:tcPr>
          <w:p w:rsidR="003B6968" w:rsidRDefault="003B6968" w:rsidP="009D5457">
            <w:pPr>
              <w:jc w:val="center"/>
              <w:rPr>
                <w:rFonts w:eastAsiaTheme="minorEastAsia"/>
                <w:sz w:val="20"/>
              </w:rPr>
            </w:pPr>
            <w:r>
              <w:rPr>
                <w:rFonts w:eastAsiaTheme="minorEastAsia"/>
                <w:sz w:val="20"/>
              </w:rPr>
              <w:t>Bupivacaïne</w:t>
            </w:r>
          </w:p>
        </w:tc>
        <w:tc>
          <w:tcPr>
            <w:tcW w:w="992" w:type="dxa"/>
            <w:vAlign w:val="center"/>
          </w:tcPr>
          <w:p w:rsidR="003B6968" w:rsidRDefault="003B6968" w:rsidP="009D5457">
            <w:pPr>
              <w:jc w:val="center"/>
              <w:rPr>
                <w:rFonts w:eastAsiaTheme="minorEastAsia"/>
                <w:sz w:val="20"/>
              </w:rPr>
            </w:pPr>
            <w:r>
              <w:rPr>
                <w:rFonts w:eastAsiaTheme="minorEastAsia"/>
                <w:sz w:val="20"/>
              </w:rPr>
              <w:t>Lent</w:t>
            </w:r>
          </w:p>
        </w:tc>
        <w:tc>
          <w:tcPr>
            <w:tcW w:w="1559" w:type="dxa"/>
            <w:vAlign w:val="center"/>
          </w:tcPr>
          <w:p w:rsidR="003B6968" w:rsidRDefault="003B6968" w:rsidP="009D5457">
            <w:pPr>
              <w:jc w:val="center"/>
              <w:rPr>
                <w:rFonts w:eastAsiaTheme="minorEastAsia"/>
                <w:sz w:val="20"/>
              </w:rPr>
            </w:pPr>
            <w:r>
              <w:rPr>
                <w:rFonts w:eastAsiaTheme="minorEastAsia"/>
                <w:sz w:val="20"/>
              </w:rPr>
              <w:t>Longue</w:t>
            </w:r>
          </w:p>
        </w:tc>
        <w:tc>
          <w:tcPr>
            <w:tcW w:w="1843" w:type="dxa"/>
            <w:vAlign w:val="center"/>
          </w:tcPr>
          <w:p w:rsidR="003B6968" w:rsidRDefault="003B6968" w:rsidP="009D5457">
            <w:pPr>
              <w:jc w:val="center"/>
              <w:rPr>
                <w:rFonts w:eastAsiaTheme="minorEastAsia"/>
                <w:sz w:val="20"/>
              </w:rPr>
            </w:pPr>
            <w:r>
              <w:rPr>
                <w:rFonts w:eastAsiaTheme="minorEastAsia"/>
                <w:sz w:val="20"/>
              </w:rPr>
              <w:t>Modérée</w:t>
            </w:r>
          </w:p>
        </w:tc>
        <w:tc>
          <w:tcPr>
            <w:tcW w:w="992" w:type="dxa"/>
            <w:vAlign w:val="center"/>
          </w:tcPr>
          <w:p w:rsidR="003B6968" w:rsidRDefault="003B6968" w:rsidP="009D5457">
            <w:pPr>
              <w:jc w:val="center"/>
              <w:rPr>
                <w:rFonts w:eastAsiaTheme="minorEastAsia"/>
                <w:sz w:val="20"/>
              </w:rPr>
            </w:pPr>
            <w:r>
              <w:rPr>
                <w:rFonts w:eastAsiaTheme="minorEastAsia"/>
                <w:sz w:val="20"/>
              </w:rPr>
              <w:t>2h</w:t>
            </w:r>
          </w:p>
        </w:tc>
        <w:tc>
          <w:tcPr>
            <w:tcW w:w="4395" w:type="dxa"/>
            <w:vAlign w:val="center"/>
          </w:tcPr>
          <w:p w:rsidR="003B6968" w:rsidRPr="003B6968" w:rsidRDefault="003B6968" w:rsidP="009D5457">
            <w:pPr>
              <w:jc w:val="center"/>
              <w:rPr>
                <w:rFonts w:eastAsiaTheme="minorEastAsia"/>
                <w:sz w:val="20"/>
              </w:rPr>
            </w:pPr>
            <w:r w:rsidRPr="003B6968">
              <w:rPr>
                <w:rFonts w:eastAsiaTheme="minorEastAsia"/>
                <w:sz w:val="20"/>
              </w:rPr>
              <w:t>Utilisation +++ comme AL à longue durée</w:t>
            </w:r>
          </w:p>
          <w:p w:rsidR="003B6968" w:rsidRDefault="003B6968" w:rsidP="009D5457">
            <w:pPr>
              <w:jc w:val="center"/>
              <w:rPr>
                <w:rFonts w:eastAsiaTheme="minorEastAsia"/>
                <w:sz w:val="20"/>
              </w:rPr>
            </w:pPr>
            <w:r w:rsidRPr="003B6968">
              <w:rPr>
                <w:rFonts w:eastAsiaTheme="minorEastAsia"/>
                <w:sz w:val="20"/>
              </w:rPr>
              <w:t>Ropivacaïne idem, moins</w:t>
            </w:r>
            <w:r>
              <w:rPr>
                <w:rFonts w:eastAsiaTheme="minorEastAsia"/>
                <w:sz w:val="20"/>
              </w:rPr>
              <w:t xml:space="preserve"> </w:t>
            </w:r>
            <w:r w:rsidRPr="003B6968">
              <w:rPr>
                <w:rFonts w:eastAsiaTheme="minorEastAsia"/>
                <w:sz w:val="20"/>
              </w:rPr>
              <w:t>de cardiotoxicité</w:t>
            </w:r>
          </w:p>
        </w:tc>
      </w:tr>
      <w:tr w:rsidR="003B6968" w:rsidTr="009D5457">
        <w:tc>
          <w:tcPr>
            <w:tcW w:w="1277" w:type="dxa"/>
            <w:vAlign w:val="center"/>
          </w:tcPr>
          <w:p w:rsidR="003B6968" w:rsidRDefault="003B6968" w:rsidP="009D5457">
            <w:pPr>
              <w:jc w:val="center"/>
              <w:rPr>
                <w:rFonts w:eastAsiaTheme="minorEastAsia"/>
                <w:sz w:val="20"/>
              </w:rPr>
            </w:pPr>
            <w:r>
              <w:rPr>
                <w:rFonts w:eastAsiaTheme="minorEastAsia"/>
                <w:sz w:val="20"/>
              </w:rPr>
              <w:t>Cocaïne</w:t>
            </w:r>
          </w:p>
        </w:tc>
        <w:tc>
          <w:tcPr>
            <w:tcW w:w="992" w:type="dxa"/>
            <w:vAlign w:val="center"/>
          </w:tcPr>
          <w:p w:rsidR="003B6968" w:rsidRDefault="003B6968" w:rsidP="009D5457">
            <w:pPr>
              <w:jc w:val="center"/>
              <w:rPr>
                <w:rFonts w:eastAsiaTheme="minorEastAsia"/>
                <w:sz w:val="20"/>
              </w:rPr>
            </w:pPr>
          </w:p>
        </w:tc>
        <w:tc>
          <w:tcPr>
            <w:tcW w:w="1559" w:type="dxa"/>
            <w:vAlign w:val="center"/>
          </w:tcPr>
          <w:p w:rsidR="003B6968" w:rsidRDefault="003B6968" w:rsidP="009D5457">
            <w:pPr>
              <w:jc w:val="center"/>
              <w:rPr>
                <w:rFonts w:eastAsiaTheme="minorEastAsia"/>
                <w:sz w:val="20"/>
              </w:rPr>
            </w:pPr>
          </w:p>
        </w:tc>
        <w:tc>
          <w:tcPr>
            <w:tcW w:w="1843" w:type="dxa"/>
            <w:vAlign w:val="center"/>
          </w:tcPr>
          <w:p w:rsidR="003B6968" w:rsidRDefault="003B6968" w:rsidP="009D5457">
            <w:pPr>
              <w:jc w:val="center"/>
              <w:rPr>
                <w:rFonts w:eastAsiaTheme="minorEastAsia"/>
                <w:sz w:val="20"/>
              </w:rPr>
            </w:pPr>
          </w:p>
        </w:tc>
        <w:tc>
          <w:tcPr>
            <w:tcW w:w="992" w:type="dxa"/>
            <w:vAlign w:val="center"/>
          </w:tcPr>
          <w:p w:rsidR="003B6968" w:rsidRDefault="003B6968" w:rsidP="009D5457">
            <w:pPr>
              <w:jc w:val="center"/>
              <w:rPr>
                <w:rFonts w:eastAsiaTheme="minorEastAsia"/>
                <w:sz w:val="20"/>
              </w:rPr>
            </w:pPr>
          </w:p>
        </w:tc>
        <w:tc>
          <w:tcPr>
            <w:tcW w:w="4395" w:type="dxa"/>
            <w:vAlign w:val="center"/>
          </w:tcPr>
          <w:p w:rsidR="003B6968" w:rsidRDefault="003B6968" w:rsidP="009D5457">
            <w:pPr>
              <w:jc w:val="center"/>
              <w:rPr>
                <w:rFonts w:eastAsiaTheme="minorEastAsia"/>
                <w:sz w:val="20"/>
              </w:rPr>
            </w:pPr>
            <w:r w:rsidRPr="003B6968">
              <w:rPr>
                <w:rFonts w:eastAsiaTheme="minorEastAsia"/>
                <w:sz w:val="20"/>
              </w:rPr>
              <w:t>Toxicité CNS, cardiaque</w:t>
            </w:r>
            <w:r w:rsidR="009D5457">
              <w:rPr>
                <w:rFonts w:eastAsiaTheme="minorEastAsia"/>
                <w:sz w:val="20"/>
              </w:rPr>
              <w:t>*</w:t>
            </w:r>
          </w:p>
        </w:tc>
      </w:tr>
    </w:tbl>
    <w:p w:rsidR="009D5457" w:rsidRDefault="009D5457" w:rsidP="003B6968">
      <w:pPr>
        <w:spacing w:after="0"/>
        <w:rPr>
          <w:rFonts w:eastAsiaTheme="minorEastAsia"/>
          <w:sz w:val="20"/>
        </w:rPr>
      </w:pPr>
      <w:r>
        <w:rPr>
          <w:rFonts w:eastAsiaTheme="minorEastAsia"/>
          <w:sz w:val="20"/>
        </w:rPr>
        <w:t>*La cocaïne inhibe le recaptage des catécholamines, a donc un effet sympathicomimétique</w:t>
      </w:r>
    </w:p>
    <w:p w:rsidR="009D5457" w:rsidRDefault="009D5457" w:rsidP="003B6968">
      <w:pPr>
        <w:spacing w:after="0"/>
        <w:rPr>
          <w:rFonts w:eastAsiaTheme="minorEastAsia"/>
          <w:sz w:val="20"/>
        </w:rPr>
      </w:pPr>
    </w:p>
    <w:p w:rsidR="009D5457" w:rsidRDefault="009D5457" w:rsidP="003B6968">
      <w:pPr>
        <w:spacing w:after="0"/>
        <w:rPr>
          <w:sz w:val="20"/>
        </w:rPr>
      </w:pPr>
      <w:r w:rsidRPr="009D5457">
        <w:rPr>
          <w:rFonts w:eastAsiaTheme="minorEastAsia"/>
          <w:b/>
          <w:sz w:val="20"/>
        </w:rPr>
        <w:t>Neurotoxines</w:t>
      </w:r>
      <w:r>
        <w:rPr>
          <w:rFonts w:eastAsiaTheme="minorEastAsia"/>
          <w:sz w:val="20"/>
        </w:rPr>
        <w:t xml:space="preserve"> : </w:t>
      </w:r>
      <w:r>
        <w:rPr>
          <w:rStyle w:val="apple-converted-space"/>
          <w:rFonts w:ascii="Arial" w:hAnsi="Arial" w:cs="Arial"/>
          <w:color w:val="000000"/>
          <w:sz w:val="16"/>
          <w:szCs w:val="16"/>
          <w:shd w:val="clear" w:color="auto" w:fill="FFFFFF"/>
        </w:rPr>
        <w:t> </w:t>
      </w:r>
      <w:r w:rsidRPr="009D5457">
        <w:rPr>
          <w:sz w:val="20"/>
        </w:rPr>
        <w:t>toxines agissant sur le système nerveux, en bloquant ou modifiant l'activité de protéines membranaires présents sur les cellules neuronales (neurones) telles que les canaux ioniques.</w:t>
      </w:r>
      <w:r>
        <w:rPr>
          <w:sz w:val="20"/>
        </w:rPr>
        <w:t xml:space="preserve"> </w:t>
      </w:r>
      <w:r w:rsidR="00F036CB">
        <w:rPr>
          <w:sz w:val="20"/>
        </w:rPr>
        <w:t xml:space="preserve">Les neurotoxines peuvent parfois être des substances endogènes dont l’accumulation anormale est responsable de la neurotoxicité. </w:t>
      </w:r>
      <w:r>
        <w:rPr>
          <w:sz w:val="20"/>
        </w:rPr>
        <w:t>Exemples :</w:t>
      </w:r>
    </w:p>
    <w:p w:rsidR="00F036CB" w:rsidRPr="00F036CB" w:rsidRDefault="009D5457" w:rsidP="009D5457">
      <w:pPr>
        <w:pStyle w:val="Paragraphedeliste"/>
        <w:numPr>
          <w:ilvl w:val="0"/>
          <w:numId w:val="1"/>
        </w:numPr>
        <w:spacing w:after="0"/>
        <w:rPr>
          <w:sz w:val="20"/>
        </w:rPr>
      </w:pPr>
      <w:r w:rsidRPr="00F036CB">
        <w:rPr>
          <w:rFonts w:eastAsiaTheme="minorEastAsia"/>
          <w:sz w:val="20"/>
        </w:rPr>
        <w:t>curare :</w:t>
      </w:r>
      <w:r w:rsidR="00F036CB" w:rsidRPr="00F036CB">
        <w:rPr>
          <w:sz w:val="20"/>
        </w:rPr>
        <w:t xml:space="preserve"> utilisé en anesthésie pour provoquer un relâchement musculaire. Agit de manière compétitive en bloquant les récepteurs nicotiniques d'</w:t>
      </w:r>
      <w:r w:rsidR="00F036CB">
        <w:rPr>
          <w:sz w:val="20"/>
        </w:rPr>
        <w:t>ACh</w:t>
      </w:r>
      <w:r w:rsidR="00F036CB" w:rsidRPr="00F036CB">
        <w:rPr>
          <w:sz w:val="20"/>
        </w:rPr>
        <w:t>, ce qui empêche les muscles squelettiques de se contracter.</w:t>
      </w:r>
    </w:p>
    <w:p w:rsidR="009D5457" w:rsidRPr="00F036CB" w:rsidRDefault="009D5457" w:rsidP="009D5457">
      <w:pPr>
        <w:pStyle w:val="Paragraphedeliste"/>
        <w:numPr>
          <w:ilvl w:val="0"/>
          <w:numId w:val="1"/>
        </w:numPr>
        <w:spacing w:after="0"/>
        <w:rPr>
          <w:rFonts w:eastAsiaTheme="minorEastAsia"/>
          <w:sz w:val="20"/>
        </w:rPr>
      </w:pPr>
      <w:r w:rsidRPr="00F036CB">
        <w:rPr>
          <w:rFonts w:eastAsiaTheme="minorEastAsia"/>
          <w:sz w:val="20"/>
        </w:rPr>
        <w:t>botuline :</w:t>
      </w:r>
      <w:r w:rsidR="00F036CB">
        <w:rPr>
          <w:rFonts w:eastAsiaTheme="minorEastAsia"/>
          <w:sz w:val="20"/>
        </w:rPr>
        <w:t xml:space="preserve"> </w:t>
      </w:r>
      <w:r w:rsidR="00F036CB" w:rsidRPr="00F036CB">
        <w:rPr>
          <w:sz w:val="20"/>
        </w:rPr>
        <w:t>attaque le complexe SNARE aux jonctions neuromusculaires, empêchant des vésicules de fusionner à la membrane pour libérer l’acétylcholine.</w:t>
      </w:r>
    </w:p>
    <w:p w:rsidR="009D5457" w:rsidRDefault="009D5457" w:rsidP="00F036CB">
      <w:pPr>
        <w:pStyle w:val="Paragraphedeliste"/>
        <w:numPr>
          <w:ilvl w:val="0"/>
          <w:numId w:val="1"/>
        </w:numPr>
        <w:spacing w:after="0"/>
        <w:rPr>
          <w:rFonts w:eastAsiaTheme="minorEastAsia"/>
          <w:sz w:val="20"/>
        </w:rPr>
      </w:pPr>
      <w:r w:rsidRPr="00F036CB">
        <w:rPr>
          <w:rFonts w:eastAsiaTheme="minorEastAsia"/>
          <w:sz w:val="20"/>
        </w:rPr>
        <w:t xml:space="preserve">tétrodotoxine : </w:t>
      </w:r>
      <w:r w:rsidR="00F036CB" w:rsidRPr="00F036CB">
        <w:rPr>
          <w:rFonts w:eastAsiaTheme="minorEastAsia"/>
          <w:sz w:val="20"/>
        </w:rPr>
        <w:t xml:space="preserve">bloqueur spécifique du canal sodique dépendant du voltage, donc toxine paralysante. </w:t>
      </w:r>
      <w:r w:rsidR="00F036CB">
        <w:rPr>
          <w:rFonts w:eastAsiaTheme="minorEastAsia"/>
          <w:sz w:val="20"/>
        </w:rPr>
        <w:t>Résulte parfois d’i</w:t>
      </w:r>
      <w:r w:rsidR="00F036CB" w:rsidRPr="00F036CB">
        <w:rPr>
          <w:rFonts w:eastAsiaTheme="minorEastAsia"/>
          <w:sz w:val="20"/>
        </w:rPr>
        <w:t xml:space="preserve">ntoxication alimentaire avec le </w:t>
      </w:r>
      <w:r w:rsidR="00F036CB">
        <w:rPr>
          <w:rFonts w:eastAsiaTheme="minorEastAsia"/>
          <w:sz w:val="20"/>
        </w:rPr>
        <w:t xml:space="preserve">poisson </w:t>
      </w:r>
      <w:r w:rsidR="00F036CB" w:rsidRPr="00F036CB">
        <w:rPr>
          <w:rFonts w:eastAsiaTheme="minorEastAsia"/>
          <w:sz w:val="20"/>
        </w:rPr>
        <w:t>Fugu</w:t>
      </w:r>
      <w:r w:rsidR="00F036CB">
        <w:rPr>
          <w:rFonts w:eastAsiaTheme="minorEastAsia"/>
          <w:sz w:val="20"/>
        </w:rPr>
        <w:t xml:space="preserve"> mal cuit.</w:t>
      </w:r>
    </w:p>
    <w:p w:rsidR="00F036CB" w:rsidRDefault="00F036CB" w:rsidP="00F036CB">
      <w:pPr>
        <w:spacing w:after="0"/>
        <w:rPr>
          <w:rFonts w:eastAsiaTheme="minorEastAsia"/>
          <w:sz w:val="20"/>
        </w:rPr>
      </w:pPr>
    </w:p>
    <w:p w:rsidR="00F036CB" w:rsidRPr="00F036CB" w:rsidRDefault="00DF46D8" w:rsidP="00F036CB">
      <w:pPr>
        <w:spacing w:after="0"/>
        <w:rPr>
          <w:rFonts w:eastAsiaTheme="minorEastAsia"/>
          <w:sz w:val="20"/>
        </w:rPr>
      </w:pPr>
      <w:r>
        <w:rPr>
          <w:rFonts w:eastAsiaTheme="minorEastAsia"/>
          <w:b/>
          <w:sz w:val="20"/>
          <w:u w:val="single"/>
        </w:rPr>
        <w:t>Nociception anormale</w:t>
      </w:r>
      <w:r w:rsidR="00F036CB">
        <w:rPr>
          <w:rFonts w:eastAsiaTheme="minorEastAsia"/>
          <w:sz w:val="20"/>
        </w:rPr>
        <w:t xml:space="preserve"> : </w:t>
      </w:r>
      <w:r>
        <w:rPr>
          <w:rFonts w:eastAsiaTheme="minorEastAsia"/>
          <w:sz w:val="20"/>
        </w:rPr>
        <w:t xml:space="preserve">les Nav1.7 sont des canaux fortement exprimés sur les neurones nociceptifs. Ces canaux codés par le gène SCN9A sont essentiels pour la nociception et sont une cible importante des anesthésiques locaux. Une mutation de ce gène peut altérer la perception de la douleur ; certains patients ne sentent aucune douleur, d’autres font des crises de douleurs </w:t>
      </w:r>
      <w:r w:rsidRPr="00DF46D8">
        <w:rPr>
          <w:sz w:val="20"/>
        </w:rPr>
        <w:t>(paroxysmal extreme pain disorder) etc.</w:t>
      </w:r>
    </w:p>
    <w:sectPr w:rsidR="00F036CB" w:rsidRPr="00F036CB" w:rsidSect="001B70A4">
      <w:footerReference w:type="default" r:id="rId7"/>
      <w:pgSz w:w="11906" w:h="16838"/>
      <w:pgMar w:top="1417" w:right="1417" w:bottom="1417" w:left="1417"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1530" w:rsidRDefault="004E1530" w:rsidP="001B70A4">
      <w:pPr>
        <w:spacing w:after="0" w:line="240" w:lineRule="auto"/>
      </w:pPr>
      <w:r>
        <w:separator/>
      </w:r>
    </w:p>
  </w:endnote>
  <w:endnote w:type="continuationSeparator" w:id="0">
    <w:p w:rsidR="004E1530" w:rsidRDefault="004E1530" w:rsidP="001B7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58196612"/>
      <w:docPartObj>
        <w:docPartGallery w:val="Page Numbers (Bottom of Page)"/>
        <w:docPartUnique/>
      </w:docPartObj>
    </w:sdtPr>
    <w:sdtEndPr/>
    <w:sdtContent>
      <w:p w:rsidR="009D5457" w:rsidRPr="001B70A4" w:rsidRDefault="009D5457">
        <w:pPr>
          <w:pStyle w:val="Pieddepage"/>
          <w:jc w:val="right"/>
          <w:rPr>
            <w:sz w:val="18"/>
          </w:rPr>
        </w:pPr>
        <w:r w:rsidRPr="001B70A4">
          <w:rPr>
            <w:sz w:val="18"/>
          </w:rPr>
          <w:fldChar w:fldCharType="begin"/>
        </w:r>
        <w:r w:rsidRPr="001B70A4">
          <w:rPr>
            <w:sz w:val="18"/>
          </w:rPr>
          <w:instrText xml:space="preserve"> PAGE   \* MERGEFORMAT </w:instrText>
        </w:r>
        <w:r w:rsidRPr="001B70A4">
          <w:rPr>
            <w:sz w:val="18"/>
          </w:rPr>
          <w:fldChar w:fldCharType="separate"/>
        </w:r>
        <w:r w:rsidR="00B45F58">
          <w:rPr>
            <w:noProof/>
            <w:sz w:val="18"/>
          </w:rPr>
          <w:t>1</w:t>
        </w:r>
        <w:r w:rsidRPr="001B70A4">
          <w:rPr>
            <w:sz w:val="18"/>
          </w:rPr>
          <w:fldChar w:fldCharType="end"/>
        </w:r>
      </w:p>
    </w:sdtContent>
  </w:sdt>
  <w:p w:rsidR="009D5457" w:rsidRPr="001B70A4" w:rsidRDefault="009D5457">
    <w:pPr>
      <w:pStyle w:val="Pieddepag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1530" w:rsidRDefault="004E1530" w:rsidP="001B70A4">
      <w:pPr>
        <w:spacing w:after="0" w:line="240" w:lineRule="auto"/>
      </w:pPr>
      <w:r>
        <w:separator/>
      </w:r>
    </w:p>
  </w:footnote>
  <w:footnote w:type="continuationSeparator" w:id="0">
    <w:p w:rsidR="004E1530" w:rsidRDefault="004E1530" w:rsidP="001B70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B0B10"/>
    <w:multiLevelType w:val="hybridMultilevel"/>
    <w:tmpl w:val="0D804E4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A14488B"/>
    <w:multiLevelType w:val="hybridMultilevel"/>
    <w:tmpl w:val="5F1871D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A9B7CD2"/>
    <w:multiLevelType w:val="hybridMultilevel"/>
    <w:tmpl w:val="C2E8C69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0AC56564"/>
    <w:multiLevelType w:val="hybridMultilevel"/>
    <w:tmpl w:val="10A26DA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0D553169"/>
    <w:multiLevelType w:val="hybridMultilevel"/>
    <w:tmpl w:val="A45CF4C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0E515930"/>
    <w:multiLevelType w:val="hybridMultilevel"/>
    <w:tmpl w:val="C07863F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0F612A51"/>
    <w:multiLevelType w:val="hybridMultilevel"/>
    <w:tmpl w:val="E708C10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0D41C90"/>
    <w:multiLevelType w:val="hybridMultilevel"/>
    <w:tmpl w:val="EEBAF2A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214A3CBC"/>
    <w:multiLevelType w:val="hybridMultilevel"/>
    <w:tmpl w:val="6B2C03D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2331548E"/>
    <w:multiLevelType w:val="hybridMultilevel"/>
    <w:tmpl w:val="D56C1E7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25CF2B96"/>
    <w:multiLevelType w:val="hybridMultilevel"/>
    <w:tmpl w:val="CE565CA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28893A1D"/>
    <w:multiLevelType w:val="hybridMultilevel"/>
    <w:tmpl w:val="5CBC1B9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2C817AC0"/>
    <w:multiLevelType w:val="hybridMultilevel"/>
    <w:tmpl w:val="3BB87718"/>
    <w:lvl w:ilvl="0" w:tplc="CB8692E8">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2EB17FE2"/>
    <w:multiLevelType w:val="hybridMultilevel"/>
    <w:tmpl w:val="ABCE742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30777074"/>
    <w:multiLevelType w:val="hybridMultilevel"/>
    <w:tmpl w:val="AB28ADC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318F7203"/>
    <w:multiLevelType w:val="hybridMultilevel"/>
    <w:tmpl w:val="3D8A583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6">
    <w:nsid w:val="330B627C"/>
    <w:multiLevelType w:val="hybridMultilevel"/>
    <w:tmpl w:val="048E1BC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7">
    <w:nsid w:val="41343A6D"/>
    <w:multiLevelType w:val="hybridMultilevel"/>
    <w:tmpl w:val="5B0AFFE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8">
    <w:nsid w:val="425A2E67"/>
    <w:multiLevelType w:val="hybridMultilevel"/>
    <w:tmpl w:val="DAD6CB7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9">
    <w:nsid w:val="48454121"/>
    <w:multiLevelType w:val="hybridMultilevel"/>
    <w:tmpl w:val="C444E39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nsid w:val="4CB928F9"/>
    <w:multiLevelType w:val="hybridMultilevel"/>
    <w:tmpl w:val="1FC4FD8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1">
    <w:nsid w:val="4CDC6803"/>
    <w:multiLevelType w:val="hybridMultilevel"/>
    <w:tmpl w:val="0A2221C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2">
    <w:nsid w:val="53732657"/>
    <w:multiLevelType w:val="hybridMultilevel"/>
    <w:tmpl w:val="1A46423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3">
    <w:nsid w:val="57DA0438"/>
    <w:multiLevelType w:val="hybridMultilevel"/>
    <w:tmpl w:val="F93045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4">
    <w:nsid w:val="584819D2"/>
    <w:multiLevelType w:val="hybridMultilevel"/>
    <w:tmpl w:val="85904D9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5">
    <w:nsid w:val="5A6632B6"/>
    <w:multiLevelType w:val="hybridMultilevel"/>
    <w:tmpl w:val="6D28030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26">
    <w:nsid w:val="5E2033A4"/>
    <w:multiLevelType w:val="hybridMultilevel"/>
    <w:tmpl w:val="B3B8473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7">
    <w:nsid w:val="5ED313CF"/>
    <w:multiLevelType w:val="hybridMultilevel"/>
    <w:tmpl w:val="21C258F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8">
    <w:nsid w:val="6B9F784D"/>
    <w:multiLevelType w:val="hybridMultilevel"/>
    <w:tmpl w:val="00B69D6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9">
    <w:nsid w:val="72033F8A"/>
    <w:multiLevelType w:val="hybridMultilevel"/>
    <w:tmpl w:val="90CEB96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0">
    <w:nsid w:val="747A314E"/>
    <w:multiLevelType w:val="hybridMultilevel"/>
    <w:tmpl w:val="949C98B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1">
    <w:nsid w:val="7BE84D91"/>
    <w:multiLevelType w:val="hybridMultilevel"/>
    <w:tmpl w:val="F626DB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12"/>
  </w:num>
  <w:num w:numId="2">
    <w:abstractNumId w:val="29"/>
  </w:num>
  <w:num w:numId="3">
    <w:abstractNumId w:val="7"/>
  </w:num>
  <w:num w:numId="4">
    <w:abstractNumId w:val="11"/>
  </w:num>
  <w:num w:numId="5">
    <w:abstractNumId w:val="23"/>
  </w:num>
  <w:num w:numId="6">
    <w:abstractNumId w:val="6"/>
  </w:num>
  <w:num w:numId="7">
    <w:abstractNumId w:val="25"/>
  </w:num>
  <w:num w:numId="8">
    <w:abstractNumId w:val="31"/>
  </w:num>
  <w:num w:numId="9">
    <w:abstractNumId w:val="2"/>
  </w:num>
  <w:num w:numId="10">
    <w:abstractNumId w:val="10"/>
  </w:num>
  <w:num w:numId="11">
    <w:abstractNumId w:val="13"/>
  </w:num>
  <w:num w:numId="12">
    <w:abstractNumId w:val="15"/>
  </w:num>
  <w:num w:numId="13">
    <w:abstractNumId w:val="20"/>
  </w:num>
  <w:num w:numId="14">
    <w:abstractNumId w:val="9"/>
  </w:num>
  <w:num w:numId="15">
    <w:abstractNumId w:val="4"/>
  </w:num>
  <w:num w:numId="16">
    <w:abstractNumId w:val="18"/>
  </w:num>
  <w:num w:numId="17">
    <w:abstractNumId w:val="30"/>
  </w:num>
  <w:num w:numId="18">
    <w:abstractNumId w:val="24"/>
  </w:num>
  <w:num w:numId="19">
    <w:abstractNumId w:val="3"/>
  </w:num>
  <w:num w:numId="20">
    <w:abstractNumId w:val="17"/>
  </w:num>
  <w:num w:numId="21">
    <w:abstractNumId w:val="19"/>
  </w:num>
  <w:num w:numId="22">
    <w:abstractNumId w:val="8"/>
  </w:num>
  <w:num w:numId="23">
    <w:abstractNumId w:val="0"/>
  </w:num>
  <w:num w:numId="24">
    <w:abstractNumId w:val="22"/>
  </w:num>
  <w:num w:numId="25">
    <w:abstractNumId w:val="27"/>
  </w:num>
  <w:num w:numId="26">
    <w:abstractNumId w:val="26"/>
  </w:num>
  <w:num w:numId="27">
    <w:abstractNumId w:val="5"/>
  </w:num>
  <w:num w:numId="28">
    <w:abstractNumId w:val="16"/>
  </w:num>
  <w:num w:numId="29">
    <w:abstractNumId w:val="21"/>
  </w:num>
  <w:num w:numId="30">
    <w:abstractNumId w:val="28"/>
  </w:num>
  <w:num w:numId="31">
    <w:abstractNumId w:val="14"/>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0A4"/>
    <w:rsid w:val="00006EB8"/>
    <w:rsid w:val="00073AB1"/>
    <w:rsid w:val="00090E6E"/>
    <w:rsid w:val="000A33F2"/>
    <w:rsid w:val="000A4D2B"/>
    <w:rsid w:val="000D2D71"/>
    <w:rsid w:val="000E3303"/>
    <w:rsid w:val="000F46A6"/>
    <w:rsid w:val="00163241"/>
    <w:rsid w:val="00163847"/>
    <w:rsid w:val="00180608"/>
    <w:rsid w:val="00184F07"/>
    <w:rsid w:val="001B70A4"/>
    <w:rsid w:val="001F7B5A"/>
    <w:rsid w:val="00256354"/>
    <w:rsid w:val="002758B9"/>
    <w:rsid w:val="002B376D"/>
    <w:rsid w:val="002B5982"/>
    <w:rsid w:val="00315703"/>
    <w:rsid w:val="0034378F"/>
    <w:rsid w:val="00361AF6"/>
    <w:rsid w:val="00381601"/>
    <w:rsid w:val="003B6968"/>
    <w:rsid w:val="003E445D"/>
    <w:rsid w:val="003F5ACE"/>
    <w:rsid w:val="00407842"/>
    <w:rsid w:val="00477690"/>
    <w:rsid w:val="004E1530"/>
    <w:rsid w:val="0055658A"/>
    <w:rsid w:val="00563C76"/>
    <w:rsid w:val="00565152"/>
    <w:rsid w:val="005671EA"/>
    <w:rsid w:val="005918ED"/>
    <w:rsid w:val="005E4A19"/>
    <w:rsid w:val="006D2075"/>
    <w:rsid w:val="006D2A1D"/>
    <w:rsid w:val="006D455E"/>
    <w:rsid w:val="0071277A"/>
    <w:rsid w:val="00742A1E"/>
    <w:rsid w:val="007640FF"/>
    <w:rsid w:val="00774D88"/>
    <w:rsid w:val="007A329C"/>
    <w:rsid w:val="0080417B"/>
    <w:rsid w:val="00857F7D"/>
    <w:rsid w:val="008A612A"/>
    <w:rsid w:val="00902362"/>
    <w:rsid w:val="00906571"/>
    <w:rsid w:val="00957C48"/>
    <w:rsid w:val="009D5457"/>
    <w:rsid w:val="00A0452C"/>
    <w:rsid w:val="00A532F2"/>
    <w:rsid w:val="00AA382F"/>
    <w:rsid w:val="00B45F58"/>
    <w:rsid w:val="00B767D0"/>
    <w:rsid w:val="00BA2078"/>
    <w:rsid w:val="00BC1CC2"/>
    <w:rsid w:val="00C062FF"/>
    <w:rsid w:val="00C0741A"/>
    <w:rsid w:val="00C140A7"/>
    <w:rsid w:val="00C166E0"/>
    <w:rsid w:val="00C23BA9"/>
    <w:rsid w:val="00C533EC"/>
    <w:rsid w:val="00C635F5"/>
    <w:rsid w:val="00C8106D"/>
    <w:rsid w:val="00C96246"/>
    <w:rsid w:val="00CD1243"/>
    <w:rsid w:val="00DD0AEC"/>
    <w:rsid w:val="00DF46D8"/>
    <w:rsid w:val="00DF506E"/>
    <w:rsid w:val="00DF68EB"/>
    <w:rsid w:val="00E40940"/>
    <w:rsid w:val="00E51FB4"/>
    <w:rsid w:val="00E64ABB"/>
    <w:rsid w:val="00EC2DFC"/>
    <w:rsid w:val="00EE0AD4"/>
    <w:rsid w:val="00F036CB"/>
    <w:rsid w:val="00F35AFC"/>
    <w:rsid w:val="00FC725D"/>
    <w:rsid w:val="00FD018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DBAFE7-0649-4AB7-95B8-43AD67F40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40A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B70A4"/>
    <w:pPr>
      <w:ind w:left="720"/>
      <w:contextualSpacing/>
    </w:pPr>
  </w:style>
  <w:style w:type="paragraph" w:styleId="En-tte">
    <w:name w:val="header"/>
    <w:basedOn w:val="Normal"/>
    <w:link w:val="En-tteCar"/>
    <w:uiPriority w:val="99"/>
    <w:semiHidden/>
    <w:unhideWhenUsed/>
    <w:rsid w:val="001B70A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1B70A4"/>
  </w:style>
  <w:style w:type="paragraph" w:styleId="Pieddepage">
    <w:name w:val="footer"/>
    <w:basedOn w:val="Normal"/>
    <w:link w:val="PieddepageCar"/>
    <w:uiPriority w:val="99"/>
    <w:unhideWhenUsed/>
    <w:rsid w:val="001B70A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B70A4"/>
  </w:style>
  <w:style w:type="character" w:styleId="Textedelespacerserv">
    <w:name w:val="Placeholder Text"/>
    <w:basedOn w:val="Policepardfaut"/>
    <w:uiPriority w:val="99"/>
    <w:semiHidden/>
    <w:rsid w:val="003F5ACE"/>
    <w:rPr>
      <w:color w:val="808080"/>
    </w:rPr>
  </w:style>
  <w:style w:type="paragraph" w:styleId="Textedebulles">
    <w:name w:val="Balloon Text"/>
    <w:basedOn w:val="Normal"/>
    <w:link w:val="TextedebullesCar"/>
    <w:uiPriority w:val="99"/>
    <w:semiHidden/>
    <w:unhideWhenUsed/>
    <w:rsid w:val="003F5AC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F5ACE"/>
    <w:rPr>
      <w:rFonts w:ascii="Tahoma" w:hAnsi="Tahoma" w:cs="Tahoma"/>
      <w:sz w:val="16"/>
      <w:szCs w:val="16"/>
    </w:rPr>
  </w:style>
  <w:style w:type="table" w:styleId="Grilledutableau">
    <w:name w:val="Table Grid"/>
    <w:basedOn w:val="TableauNormal"/>
    <w:uiPriority w:val="59"/>
    <w:rsid w:val="00343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090E6E"/>
    <w:rPr>
      <w:b/>
      <w:bCs/>
    </w:rPr>
  </w:style>
  <w:style w:type="character" w:customStyle="1" w:styleId="apple-converted-space">
    <w:name w:val="apple-converted-space"/>
    <w:basedOn w:val="Policepardfaut"/>
    <w:rsid w:val="00090E6E"/>
  </w:style>
  <w:style w:type="character" w:styleId="Lienhypertexte">
    <w:name w:val="Hyperlink"/>
    <w:basedOn w:val="Policepardfaut"/>
    <w:uiPriority w:val="99"/>
    <w:unhideWhenUsed/>
    <w:rsid w:val="009D54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12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5281</Words>
  <Characters>29048</Characters>
  <Application>Microsoft Office Word</Application>
  <DocSecurity>0</DocSecurity>
  <Lines>242</Lines>
  <Paragraphs>68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Anton Raemy</cp:lastModifiedBy>
  <cp:revision>2</cp:revision>
  <dcterms:created xsi:type="dcterms:W3CDTF">2014-12-30T01:26:00Z</dcterms:created>
  <dcterms:modified xsi:type="dcterms:W3CDTF">2014-12-30T01:26:00Z</dcterms:modified>
</cp:coreProperties>
</file>