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25AD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Scintigraphie</w:t>
      </w:r>
    </w:p>
    <w:p w14:paraId="67B425EE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Thyroïde</w:t>
      </w:r>
    </w:p>
    <w:p w14:paraId="051FF6C4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b/>
          <w:bCs/>
          <w:color w:val="00A933"/>
          <w:sz w:val="20"/>
          <w:szCs w:val="20"/>
        </w:rPr>
        <w:t>I-123/I-131</w:t>
      </w:r>
      <w:r>
        <w:rPr>
          <w:sz w:val="20"/>
          <w:szCs w:val="20"/>
        </w:rPr>
        <w:t xml:space="preserve"> → scintigraphie mesure </w:t>
      </w:r>
      <w:proofErr w:type="spellStart"/>
      <w:r>
        <w:rPr>
          <w:sz w:val="20"/>
          <w:szCs w:val="20"/>
        </w:rPr>
        <w:t>uptake</w:t>
      </w:r>
      <w:proofErr w:type="spellEnd"/>
      <w:r>
        <w:rPr>
          <w:sz w:val="20"/>
          <w:szCs w:val="20"/>
        </w:rPr>
        <w:t xml:space="preserve"> + US nécessaire pour mesurer la taille de la thyroïde</w:t>
      </w:r>
    </w:p>
    <w:p w14:paraId="364A6A29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Indications : hyperthyroïdie, hypothyroïdie, hypothyroïdie congénitale, nodule, carcinome différencié de la thyroïde</w:t>
      </w:r>
    </w:p>
    <w:p w14:paraId="5FD78022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695B7F00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b/>
          <w:bCs/>
          <w:sz w:val="20"/>
          <w:szCs w:val="20"/>
        </w:rPr>
        <w:t>Hyperthyroïdie</w:t>
      </w:r>
      <w:r>
        <w:rPr>
          <w:sz w:val="20"/>
          <w:szCs w:val="20"/>
        </w:rPr>
        <w:t xml:space="preserve"> → augmentation de l’</w:t>
      </w:r>
      <w:proofErr w:type="spellStart"/>
      <w:r>
        <w:rPr>
          <w:sz w:val="20"/>
          <w:szCs w:val="20"/>
        </w:rPr>
        <w:t>uptake</w:t>
      </w:r>
      <w:proofErr w:type="spellEnd"/>
      <w:r>
        <w:rPr>
          <w:sz w:val="20"/>
          <w:szCs w:val="20"/>
        </w:rPr>
        <w:t xml:space="preserve"> à la scintigraphie</w:t>
      </w:r>
    </w:p>
    <w:p w14:paraId="76241D5B" w14:textId="77777777" w:rsidR="001C7B88" w:rsidRDefault="00000000">
      <w:pPr>
        <w:pStyle w:val="Standard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Basedow → </w:t>
      </w:r>
      <w:proofErr w:type="spellStart"/>
      <w:r>
        <w:rPr>
          <w:sz w:val="20"/>
          <w:szCs w:val="20"/>
        </w:rPr>
        <w:t>hypercaptation</w:t>
      </w:r>
      <w:proofErr w:type="spellEnd"/>
      <w:r>
        <w:rPr>
          <w:sz w:val="20"/>
          <w:szCs w:val="20"/>
        </w:rPr>
        <w:t xml:space="preserve"> diffuse homogène</w:t>
      </w:r>
    </w:p>
    <w:p w14:paraId="62871DA6" w14:textId="77777777" w:rsidR="001C7B88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Adénome toxique → </w:t>
      </w:r>
      <w:proofErr w:type="spellStart"/>
      <w:r>
        <w:rPr>
          <w:sz w:val="20"/>
          <w:szCs w:val="20"/>
        </w:rPr>
        <w:t>hypercaptation</w:t>
      </w:r>
      <w:proofErr w:type="spellEnd"/>
      <w:r>
        <w:rPr>
          <w:sz w:val="20"/>
          <w:szCs w:val="20"/>
        </w:rPr>
        <w:t xml:space="preserve"> de l’adénome uniquement</w:t>
      </w:r>
    </w:p>
    <w:p w14:paraId="7489513A" w14:textId="77777777" w:rsidR="001C7B88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Goitre multi-nodulaire → </w:t>
      </w:r>
      <w:proofErr w:type="spellStart"/>
      <w:r>
        <w:rPr>
          <w:sz w:val="20"/>
          <w:szCs w:val="20"/>
        </w:rPr>
        <w:t>hypercaptation</w:t>
      </w:r>
      <w:proofErr w:type="spellEnd"/>
      <w:r>
        <w:rPr>
          <w:sz w:val="20"/>
          <w:szCs w:val="20"/>
        </w:rPr>
        <w:t xml:space="preserve"> multifocale</w:t>
      </w:r>
    </w:p>
    <w:p w14:paraId="52FE1BCD" w14:textId="77777777" w:rsidR="001C7B88" w:rsidRDefault="00000000">
      <w:pPr>
        <w:pStyle w:val="Standard"/>
        <w:numPr>
          <w:ilvl w:val="0"/>
          <w:numId w:val="2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0 % d’</w:t>
      </w:r>
      <w:proofErr w:type="spellStart"/>
      <w:r>
        <w:rPr>
          <w:color w:val="FF0000"/>
          <w:sz w:val="20"/>
          <w:szCs w:val="20"/>
        </w:rPr>
        <w:t>uptake</w:t>
      </w:r>
      <w:proofErr w:type="spellEnd"/>
      <w:r>
        <w:rPr>
          <w:color w:val="FF0000"/>
          <w:sz w:val="20"/>
          <w:szCs w:val="20"/>
        </w:rPr>
        <w:t xml:space="preserve"> + TSH &lt; 0.1 = Hashimoto précoce en raison du relargage (ou autre thyroïdite)</w:t>
      </w:r>
    </w:p>
    <w:p w14:paraId="797D5984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58E0192F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Hypothyroïdie chez le bébé = urgence car retard mental → </w:t>
      </w:r>
      <w:r>
        <w:rPr>
          <w:i/>
          <w:iCs/>
          <w:sz w:val="20"/>
          <w:szCs w:val="20"/>
        </w:rPr>
        <w:t xml:space="preserve">ad. recherche thyroïde </w:t>
      </w:r>
      <w:proofErr w:type="spellStart"/>
      <w:r>
        <w:rPr>
          <w:i/>
          <w:iCs/>
          <w:sz w:val="20"/>
          <w:szCs w:val="20"/>
        </w:rPr>
        <w:t>sub-linguale</w:t>
      </w:r>
      <w:proofErr w:type="spellEnd"/>
    </w:p>
    <w:p w14:paraId="28330036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479BCCD1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Nodules :</w:t>
      </w:r>
    </w:p>
    <w:p w14:paraId="3F0D466B" w14:textId="77777777" w:rsidR="001C7B88" w:rsidRDefault="00000000">
      <w:pPr>
        <w:pStyle w:val="Standard"/>
        <w:numPr>
          <w:ilvl w:val="0"/>
          <w:numId w:val="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Cold (tache blanche dans thyroïde, malin 20%) → ad. ponction</w:t>
      </w:r>
    </w:p>
    <w:p w14:paraId="7B533E33" w14:textId="77777777" w:rsidR="001C7B88" w:rsidRDefault="00000000">
      <w:pPr>
        <w:pStyle w:val="Standard"/>
        <w:numPr>
          <w:ilvl w:val="0"/>
          <w:numId w:val="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Warm (activité ~ thyroïde, malin 5%) → ad. ponction</w:t>
      </w:r>
    </w:p>
    <w:p w14:paraId="438627BC" w14:textId="77777777" w:rsidR="001C7B88" w:rsidRDefault="00000000">
      <w:pPr>
        <w:pStyle w:val="Standard"/>
        <w:numPr>
          <w:ilvl w:val="0"/>
          <w:numId w:val="3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Hot (malin &lt; 1%) → pas de ponction</w:t>
      </w:r>
    </w:p>
    <w:p w14:paraId="0CAF1EDB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353F7CF1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Cancers :</w:t>
      </w:r>
    </w:p>
    <w:p w14:paraId="5FA90B08" w14:textId="77777777" w:rsidR="001C7B88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Possible de brûler les papillaire (80%) et les folliculaire (10%) par I-131</w:t>
      </w:r>
    </w:p>
    <w:p w14:paraId="731917CE" w14:textId="77777777" w:rsidR="001C7B88" w:rsidRDefault="00000000">
      <w:pPr>
        <w:pStyle w:val="Standard"/>
        <w:numPr>
          <w:ilvl w:val="0"/>
          <w:numId w:val="4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Impossible pour anaplasique et médullaire (pas de captation de I-131)</w:t>
      </w:r>
    </w:p>
    <w:p w14:paraId="24B33B3D" w14:textId="77777777" w:rsidR="001C7B88" w:rsidRDefault="00000000">
      <w:pPr>
        <w:pStyle w:val="Standard"/>
        <w:numPr>
          <w:ilvl w:val="0"/>
          <w:numId w:val="4"/>
        </w:numPr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I-131 = très efficace pour métastases pulmonaires</w:t>
      </w:r>
    </w:p>
    <w:p w14:paraId="0AF46150" w14:textId="77777777" w:rsidR="001C7B88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dédifférenciation (</w:t>
      </w:r>
      <w:proofErr w:type="spellStart"/>
      <w:r>
        <w:rPr>
          <w:sz w:val="20"/>
          <w:szCs w:val="20"/>
        </w:rPr>
        <w:t>anaérobe</w:t>
      </w:r>
      <w:proofErr w:type="spellEnd"/>
      <w:r>
        <w:rPr>
          <w:sz w:val="20"/>
          <w:szCs w:val="20"/>
        </w:rPr>
        <w:t>) → impossible de donner iode, devient FDG+</w:t>
      </w:r>
    </w:p>
    <w:p w14:paraId="5C45FED8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044E9AEF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Parathyroïdes</w:t>
      </w:r>
    </w:p>
    <w:p w14:paraId="569A7CF8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Hyperparathyroïdie primaire (F âgée) → adénome unique (80%), hyperplasie, adénomes multiples ou carcinome</w:t>
      </w:r>
    </w:p>
    <w:p w14:paraId="7FB90E22" w14:textId="77777777" w:rsidR="001C7B88" w:rsidRDefault="00000000">
      <w:pPr>
        <w:pStyle w:val="Standard"/>
        <w:numPr>
          <w:ilvl w:val="0"/>
          <w:numId w:val="5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80 % sont asymptomatiques</w:t>
      </w:r>
    </w:p>
    <w:p w14:paraId="79601899" w14:textId="77777777" w:rsidR="001C7B88" w:rsidRDefault="00000000">
      <w:pPr>
        <w:pStyle w:val="Standard"/>
        <w:numPr>
          <w:ilvl w:val="0"/>
          <w:numId w:val="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Adénome parathyroïdien = </w:t>
      </w:r>
      <w:r>
        <w:rPr>
          <w:b/>
          <w:bCs/>
          <w:sz w:val="20"/>
          <w:szCs w:val="20"/>
        </w:rPr>
        <w:t>non-palpable</w:t>
      </w:r>
    </w:p>
    <w:p w14:paraId="769C954C" w14:textId="77777777" w:rsidR="001C7B88" w:rsidRDefault="00000000">
      <w:pPr>
        <w:pStyle w:val="Standard"/>
        <w:numPr>
          <w:ilvl w:val="0"/>
          <w:numId w:val="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Hypercalcémie, lyse osseuse, IR, lithiases, troubles GI, pancréatite, troubles cognitifs</w:t>
      </w:r>
    </w:p>
    <w:p w14:paraId="70187E37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76AEFCB0" w14:textId="77777777" w:rsidR="001C7B88" w:rsidRDefault="00000000">
      <w:pPr>
        <w:pStyle w:val="Standard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TOUJOURS scintigraphie avant chirurgie pour localiser le nodule en cause !</w:t>
      </w:r>
    </w:p>
    <w:p w14:paraId="3220DDC1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b/>
          <w:bCs/>
          <w:color w:val="00A933"/>
          <w:sz w:val="20"/>
          <w:szCs w:val="20"/>
        </w:rPr>
        <w:t>→ Tc99m-MIBI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isonitrile</w:t>
      </w:r>
      <w:proofErr w:type="spellEnd"/>
      <w:r>
        <w:rPr>
          <w:sz w:val="20"/>
          <w:szCs w:val="20"/>
        </w:rPr>
        <w:t>, lipophile, cationique, diffusion passive → fix. sur mitochondries)</w:t>
      </w:r>
    </w:p>
    <w:p w14:paraId="31E80BA8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→ activité max après </w:t>
      </w:r>
      <w:r>
        <w:rPr>
          <w:b/>
          <w:bCs/>
          <w:sz w:val="20"/>
          <w:szCs w:val="20"/>
        </w:rPr>
        <w:t>4-6 min</w:t>
      </w:r>
    </w:p>
    <w:p w14:paraId="2E13FE01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50043B43" w14:textId="77777777" w:rsidR="001C7B88" w:rsidRDefault="00000000">
      <w:pPr>
        <w:pStyle w:val="Standard"/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CAVE F-18 SPECT est </w:t>
      </w:r>
      <w:r>
        <w:rPr>
          <w:b/>
          <w:bCs/>
          <w:color w:val="FF0000"/>
          <w:sz w:val="20"/>
          <w:szCs w:val="20"/>
          <w:u w:val="single"/>
        </w:rPr>
        <w:t>plus sensible</w:t>
      </w:r>
      <w:r>
        <w:rPr>
          <w:b/>
          <w:bCs/>
          <w:color w:val="FF0000"/>
          <w:sz w:val="20"/>
          <w:szCs w:val="20"/>
        </w:rPr>
        <w:t xml:space="preserve"> que le Tc99m-MIBI !</w:t>
      </w:r>
    </w:p>
    <w:p w14:paraId="4D625D72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51A7ABAA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Surrénales</w:t>
      </w:r>
    </w:p>
    <w:p w14:paraId="28717D03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Indications :</w:t>
      </w:r>
    </w:p>
    <w:p w14:paraId="24D5B748" w14:textId="77777777" w:rsidR="001C7B88" w:rsidRDefault="00000000">
      <w:pPr>
        <w:pStyle w:val="Standard"/>
        <w:numPr>
          <w:ilvl w:val="0"/>
          <w:numId w:val="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Le plus fréquent = </w:t>
      </w:r>
      <w:r>
        <w:rPr>
          <w:b/>
          <w:bCs/>
          <w:sz w:val="20"/>
          <w:szCs w:val="20"/>
        </w:rPr>
        <w:t>différenciation entre hyperplasie bilatérale et tumeur</w:t>
      </w:r>
    </w:p>
    <w:p w14:paraId="35E4FACE" w14:textId="77777777" w:rsidR="001C7B88" w:rsidRDefault="00000000">
      <w:pPr>
        <w:pStyle w:val="Standard"/>
        <w:numPr>
          <w:ilvl w:val="0"/>
          <w:numId w:val="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Localisation de tissu anormal du cortex après dx de dysfonction surrénalienne</w:t>
      </w:r>
    </w:p>
    <w:p w14:paraId="2C768CC6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5B035CE6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Traceur = </w:t>
      </w:r>
      <w:r>
        <w:rPr>
          <w:b/>
          <w:bCs/>
          <w:color w:val="00A933"/>
          <w:sz w:val="20"/>
          <w:szCs w:val="20"/>
        </w:rPr>
        <w:t>I-131-6b-iodomethyl-19-norcholesterol</w:t>
      </w:r>
    </w:p>
    <w:p w14:paraId="2B0FBCA5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15C4DEA9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Rhumatologie</w:t>
      </w:r>
    </w:p>
    <w:p w14:paraId="3C9EAF45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Indications : recherche de </w:t>
      </w:r>
      <w:r>
        <w:rPr>
          <w:b/>
          <w:bCs/>
          <w:sz w:val="20"/>
          <w:szCs w:val="20"/>
        </w:rPr>
        <w:t>métastases osseuses</w:t>
      </w:r>
      <w:r>
        <w:rPr>
          <w:sz w:val="20"/>
          <w:szCs w:val="20"/>
        </w:rPr>
        <w:t xml:space="preserve"> ou bilan pour une </w:t>
      </w:r>
      <w:r>
        <w:rPr>
          <w:b/>
          <w:bCs/>
          <w:sz w:val="20"/>
          <w:szCs w:val="20"/>
        </w:rPr>
        <w:t>tumeur osseuse primitive</w:t>
      </w:r>
      <w:r>
        <w:rPr>
          <w:sz w:val="20"/>
          <w:szCs w:val="20"/>
        </w:rPr>
        <w:t> ; dx ostéomyélite, fx fatigue, maladie métabolique, atteinte douloureuse des extrémités, évaluation prothèse, pathologies articulaires, infections osseuses et articulaires</w:t>
      </w:r>
    </w:p>
    <w:p w14:paraId="2EB6B48C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Traceurs :</w:t>
      </w:r>
    </w:p>
    <w:p w14:paraId="32392777" w14:textId="77777777" w:rsidR="001C7B88" w:rsidRDefault="00000000">
      <w:pPr>
        <w:pStyle w:val="Standard"/>
        <w:numPr>
          <w:ilvl w:val="0"/>
          <w:numId w:val="8"/>
        </w:numPr>
        <w:jc w:val="both"/>
        <w:rPr>
          <w:rFonts w:hint="eastAsia"/>
          <w:sz w:val="20"/>
          <w:szCs w:val="20"/>
        </w:rPr>
      </w:pPr>
      <w:r>
        <w:rPr>
          <w:b/>
          <w:bCs/>
          <w:color w:val="00A933"/>
          <w:sz w:val="20"/>
          <w:szCs w:val="20"/>
        </w:rPr>
        <w:t xml:space="preserve">Tc-99m + </w:t>
      </w:r>
      <w:proofErr w:type="spellStart"/>
      <w:r>
        <w:rPr>
          <w:b/>
          <w:bCs/>
          <w:color w:val="00A933"/>
          <w:sz w:val="20"/>
          <w:szCs w:val="20"/>
        </w:rPr>
        <w:t>diphosphonates</w:t>
      </w:r>
      <w:proofErr w:type="spellEnd"/>
      <w:r>
        <w:rPr>
          <w:sz w:val="20"/>
          <w:szCs w:val="20"/>
        </w:rPr>
        <w:t xml:space="preserve"> (HEDP, MDP, HMDP)</w:t>
      </w:r>
    </w:p>
    <w:p w14:paraId="55ABDA71" w14:textId="77777777" w:rsidR="001C7B88" w:rsidRDefault="00000000">
      <w:pPr>
        <w:pStyle w:val="Standard"/>
        <w:numPr>
          <w:ilvl w:val="0"/>
          <w:numId w:val="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Marquage leucocytes pour recherche d’infection → </w:t>
      </w:r>
      <w:r>
        <w:rPr>
          <w:b/>
          <w:bCs/>
          <w:color w:val="00A933"/>
          <w:sz w:val="20"/>
          <w:szCs w:val="20"/>
        </w:rPr>
        <w:t xml:space="preserve">In111 </w:t>
      </w:r>
      <w:proofErr w:type="spellStart"/>
      <w:r>
        <w:rPr>
          <w:b/>
          <w:bCs/>
          <w:color w:val="00A933"/>
          <w:sz w:val="20"/>
          <w:szCs w:val="20"/>
        </w:rPr>
        <w:t>Oxine</w:t>
      </w:r>
      <w:proofErr w:type="spellEnd"/>
      <w:r>
        <w:rPr>
          <w:b/>
          <w:bCs/>
          <w:color w:val="00A933"/>
          <w:sz w:val="20"/>
          <w:szCs w:val="20"/>
        </w:rPr>
        <w:t>, Tc99m-HMPAO</w:t>
      </w:r>
    </w:p>
    <w:p w14:paraId="3CE81591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Phases : vasculaire (perfusion) → tissulaire (distribution </w:t>
      </w:r>
      <w:proofErr w:type="spellStart"/>
      <w:r>
        <w:rPr>
          <w:sz w:val="20"/>
          <w:szCs w:val="20"/>
        </w:rPr>
        <w:t>extra-vasculaire</w:t>
      </w:r>
      <w:proofErr w:type="spellEnd"/>
      <w:r>
        <w:rPr>
          <w:sz w:val="20"/>
          <w:szCs w:val="20"/>
        </w:rPr>
        <w:t>) → tardive (osseuse)</w:t>
      </w:r>
    </w:p>
    <w:p w14:paraId="2E902076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Exemples :</w:t>
      </w:r>
    </w:p>
    <w:p w14:paraId="6A3A1EF7" w14:textId="77777777" w:rsidR="001C7B88" w:rsidRDefault="00000000">
      <w:pPr>
        <w:pStyle w:val="Standard"/>
        <w:numPr>
          <w:ilvl w:val="0"/>
          <w:numId w:val="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 → visualisation des formes précoces (</w:t>
      </w:r>
      <w:r>
        <w:rPr>
          <w:b/>
          <w:bCs/>
          <w:sz w:val="20"/>
          <w:szCs w:val="20"/>
        </w:rPr>
        <w:t>DD psoriasis</w:t>
      </w:r>
      <w:r>
        <w:rPr>
          <w:sz w:val="20"/>
          <w:szCs w:val="20"/>
        </w:rPr>
        <w:t xml:space="preserve"> → 1 seule art. vs toute la main si PR)</w:t>
      </w:r>
    </w:p>
    <w:p w14:paraId="52C2CA3D" w14:textId="77777777" w:rsidR="001C7B88" w:rsidRDefault="00000000">
      <w:pPr>
        <w:pStyle w:val="Standard"/>
        <w:numPr>
          <w:ilvl w:val="0"/>
          <w:numId w:val="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Ostéomyélite → démontre précocement une infection</w:t>
      </w:r>
    </w:p>
    <w:p w14:paraId="15D55E34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358BB4C7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Poumons</w:t>
      </w:r>
    </w:p>
    <w:p w14:paraId="4BA2FF7F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CT plus rapide et moins irradiant, mais montre uniquement les grosses EP (et proximales)</w:t>
      </w:r>
    </w:p>
    <w:p w14:paraId="473096BC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Scintigraphie surtout utile pour :</w:t>
      </w:r>
    </w:p>
    <w:p w14:paraId="2E137DD8" w14:textId="77777777" w:rsidR="001C7B88" w:rsidRDefault="00000000">
      <w:pPr>
        <w:pStyle w:val="Standard"/>
        <w:numPr>
          <w:ilvl w:val="0"/>
          <w:numId w:val="10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EP périphériques / distales</w:t>
      </w:r>
    </w:p>
    <w:p w14:paraId="3CCF8F40" w14:textId="77777777" w:rsidR="001C7B88" w:rsidRDefault="00000000">
      <w:pPr>
        <w:pStyle w:val="Standard"/>
        <w:numPr>
          <w:ilvl w:val="0"/>
          <w:numId w:val="10"/>
        </w:numPr>
        <w:jc w:val="both"/>
        <w:rPr>
          <w:rFonts w:hint="eastAsia"/>
          <w:sz w:val="20"/>
          <w:szCs w:val="20"/>
        </w:rPr>
      </w:pPr>
      <w:r>
        <w:rPr>
          <w:b/>
          <w:bCs/>
          <w:sz w:val="20"/>
          <w:szCs w:val="20"/>
        </w:rPr>
        <w:t xml:space="preserve">EP avec HTAP </w:t>
      </w:r>
      <w:r>
        <w:rPr>
          <w:sz w:val="20"/>
          <w:szCs w:val="20"/>
        </w:rPr>
        <w:t>→ dit si HTAP est plutôt idiopathique ou liée à des thromboses distales</w:t>
      </w:r>
    </w:p>
    <w:p w14:paraId="01B7648B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Traceur = </w:t>
      </w:r>
      <w:r>
        <w:rPr>
          <w:b/>
          <w:bCs/>
          <w:color w:val="00A933"/>
          <w:sz w:val="20"/>
          <w:szCs w:val="20"/>
        </w:rPr>
        <w:t>Albumine + Tc99m</w:t>
      </w:r>
    </w:p>
    <w:p w14:paraId="7398D740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 xml:space="preserve">+ scintigraphie de ventilation par aérosols marqués au Tc99m → </w:t>
      </w:r>
      <w:proofErr w:type="spellStart"/>
      <w:r>
        <w:rPr>
          <w:b/>
          <w:bCs/>
          <w:sz w:val="20"/>
          <w:szCs w:val="20"/>
        </w:rPr>
        <w:t>mismatch</w:t>
      </w:r>
      <w:proofErr w:type="spellEnd"/>
      <w:r>
        <w:rPr>
          <w:b/>
          <w:bCs/>
          <w:sz w:val="20"/>
          <w:szCs w:val="20"/>
        </w:rPr>
        <w:t xml:space="preserve"> = EP</w:t>
      </w:r>
    </w:p>
    <w:p w14:paraId="49869947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4BB32045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Rein</w:t>
      </w:r>
    </w:p>
    <w:p w14:paraId="31E9CAFD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b/>
          <w:bCs/>
          <w:sz w:val="20"/>
          <w:szCs w:val="20"/>
        </w:rPr>
        <w:t>Scintigraphie morphologique</w:t>
      </w:r>
      <w:r>
        <w:rPr>
          <w:sz w:val="20"/>
          <w:szCs w:val="20"/>
        </w:rPr>
        <w:t xml:space="preserve"> →</w:t>
      </w:r>
      <w:r>
        <w:rPr>
          <w:b/>
          <w:bCs/>
          <w:color w:val="00A933"/>
          <w:sz w:val="20"/>
          <w:szCs w:val="20"/>
        </w:rPr>
        <w:t xml:space="preserve"> Tc99m-DSMA</w:t>
      </w:r>
      <w:r>
        <w:rPr>
          <w:sz w:val="20"/>
          <w:szCs w:val="20"/>
        </w:rPr>
        <w:t xml:space="preserve"> (traceur du cortex rénal) :</w:t>
      </w:r>
    </w:p>
    <w:p w14:paraId="711D102B" w14:textId="77777777" w:rsidR="001C7B88" w:rsidRDefault="00000000">
      <w:pPr>
        <w:pStyle w:val="Standard"/>
        <w:numPr>
          <w:ilvl w:val="0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Qualitatif → fonctionnalité parenchyme rénal</w:t>
      </w:r>
    </w:p>
    <w:p w14:paraId="03022DAC" w14:textId="77777777" w:rsidR="001C7B88" w:rsidRDefault="00000000">
      <w:pPr>
        <w:pStyle w:val="Standard"/>
        <w:numPr>
          <w:ilvl w:val="0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Quantitatif → fonction rénale relative</w:t>
      </w:r>
    </w:p>
    <w:p w14:paraId="059ED044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38A87DB3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b/>
          <w:bCs/>
          <w:sz w:val="20"/>
          <w:szCs w:val="20"/>
        </w:rPr>
        <w:t xml:space="preserve">Scintigraphie fonctionnelle </w:t>
      </w:r>
      <w:r>
        <w:rPr>
          <w:sz w:val="20"/>
          <w:szCs w:val="20"/>
        </w:rPr>
        <w:t xml:space="preserve">→ </w:t>
      </w:r>
      <w:r>
        <w:rPr>
          <w:b/>
          <w:bCs/>
          <w:color w:val="00A933"/>
          <w:sz w:val="20"/>
          <w:szCs w:val="20"/>
        </w:rPr>
        <w:t xml:space="preserve">Tc99m-MAG3 </w:t>
      </w:r>
      <w:r>
        <w:rPr>
          <w:sz w:val="20"/>
          <w:szCs w:val="20"/>
        </w:rPr>
        <w:t>(traceur de filtration, éliminé et filtré → vessie) :</w:t>
      </w:r>
    </w:p>
    <w:p w14:paraId="32EB00F4" w14:textId="77777777" w:rsidR="001C7B88" w:rsidRDefault="00000000">
      <w:pPr>
        <w:pStyle w:val="Standard"/>
        <w:numPr>
          <w:ilvl w:val="0"/>
          <w:numId w:val="1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Qualitatif → analyse dynamique de la captation et de l’excrétion</w:t>
      </w:r>
    </w:p>
    <w:p w14:paraId="7C905F63" w14:textId="77777777" w:rsidR="001C7B88" w:rsidRDefault="00000000">
      <w:pPr>
        <w:pStyle w:val="Standard"/>
        <w:numPr>
          <w:ilvl w:val="0"/>
          <w:numId w:val="1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Quantitatif → fonction rénale relative</w:t>
      </w:r>
    </w:p>
    <w:p w14:paraId="49A8557F" w14:textId="77777777" w:rsidR="001C7B88" w:rsidRDefault="00000000">
      <w:pPr>
        <w:pStyle w:val="Standard"/>
        <w:numPr>
          <w:ilvl w:val="0"/>
          <w:numId w:val="12"/>
        </w:numPr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Tests pharmacologiques (IECA/ARA)</w:t>
      </w:r>
    </w:p>
    <w:p w14:paraId="59E4BEC7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3777C9BC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Exemples :</w:t>
      </w:r>
    </w:p>
    <w:p w14:paraId="09830B4A" w14:textId="77777777" w:rsidR="001C7B88" w:rsidRDefault="00000000">
      <w:pPr>
        <w:pStyle w:val="Standard"/>
        <w:numPr>
          <w:ilvl w:val="0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Scintigraphie pour voir si le tissu rénal est fonctionnel après une baisse de la fonction rénale</w:t>
      </w:r>
    </w:p>
    <w:p w14:paraId="0354CF22" w14:textId="77777777" w:rsidR="001C7B88" w:rsidRDefault="00000000">
      <w:pPr>
        <w:pStyle w:val="Standard"/>
        <w:numPr>
          <w:ilvl w:val="0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Visualisation des fuites urinaires post-greffe par Tc99m-MAG3</w:t>
      </w:r>
    </w:p>
    <w:p w14:paraId="679AF622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3EE16BB1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Neurologie</w:t>
      </w:r>
    </w:p>
    <w:p w14:paraId="68ED4103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DD Parkinson vs. tremblement essentiel → </w:t>
      </w:r>
      <w:r>
        <w:rPr>
          <w:b/>
          <w:bCs/>
          <w:color w:val="00A933"/>
          <w:sz w:val="20"/>
          <w:szCs w:val="20"/>
        </w:rPr>
        <w:t xml:space="preserve">I-123 </w:t>
      </w:r>
      <w:proofErr w:type="spellStart"/>
      <w:r>
        <w:rPr>
          <w:b/>
          <w:bCs/>
          <w:color w:val="00A933"/>
          <w:sz w:val="20"/>
          <w:szCs w:val="20"/>
        </w:rPr>
        <w:t>Ioflupane</w:t>
      </w:r>
      <w:proofErr w:type="spellEnd"/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>atteinte de la substance noire ?</w:t>
      </w:r>
    </w:p>
    <w:p w14:paraId="70E3F684" w14:textId="77777777" w:rsidR="001C7B88" w:rsidRDefault="001C7B88">
      <w:pPr>
        <w:pStyle w:val="Standard"/>
        <w:pBdr>
          <w:bottom w:val="single" w:sz="2" w:space="2" w:color="000000"/>
        </w:pBdr>
        <w:jc w:val="both"/>
        <w:rPr>
          <w:rFonts w:hint="eastAsia"/>
          <w:sz w:val="20"/>
          <w:szCs w:val="20"/>
        </w:rPr>
      </w:pPr>
    </w:p>
    <w:p w14:paraId="74750B67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49436C86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PET</w:t>
      </w:r>
    </w:p>
    <w:p w14:paraId="3AA71F21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color w:val="00A933"/>
          <w:sz w:val="20"/>
          <w:szCs w:val="20"/>
        </w:rPr>
        <w:t>18-FDG</w:t>
      </w:r>
      <w:r>
        <w:rPr>
          <w:sz w:val="20"/>
          <w:szCs w:val="20"/>
        </w:rPr>
        <w:t xml:space="preserve"> → détecte </w:t>
      </w:r>
      <w:r>
        <w:rPr>
          <w:b/>
          <w:bCs/>
          <w:sz w:val="20"/>
          <w:szCs w:val="20"/>
        </w:rPr>
        <w:t>GLUT1</w:t>
      </w:r>
      <w:r>
        <w:rPr>
          <w:sz w:val="20"/>
          <w:szCs w:val="20"/>
        </w:rPr>
        <w:t xml:space="preserve"> à la surface des cellules (ne mesure pas la consommation de glucose)</w:t>
      </w:r>
    </w:p>
    <w:p w14:paraId="386215A6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sz w:val="20"/>
          <w:szCs w:val="20"/>
        </w:rPr>
        <w:t xml:space="preserve">PET-FDG est </w:t>
      </w:r>
      <w:r>
        <w:rPr>
          <w:b/>
          <w:bCs/>
          <w:sz w:val="20"/>
          <w:szCs w:val="20"/>
        </w:rPr>
        <w:t>plus sensible que IRM</w:t>
      </w:r>
      <w:r>
        <w:rPr>
          <w:sz w:val="20"/>
          <w:szCs w:val="20"/>
        </w:rPr>
        <w:t xml:space="preserve"> dans les vasculites des gros vaisseaux = plus précoce !</w:t>
      </w:r>
    </w:p>
    <w:p w14:paraId="25E540EC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PET-FDG permet de déterminer la réponse au traitement rapidement des vasculites</w:t>
      </w:r>
    </w:p>
    <w:p w14:paraId="66F85960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6089A831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Détection des infections au 18-FDG :</w:t>
      </w:r>
    </w:p>
    <w:p w14:paraId="1C06445B" w14:textId="77777777" w:rsidR="001C7B88" w:rsidRDefault="00000000">
      <w:pPr>
        <w:pStyle w:val="Standard"/>
        <w:numPr>
          <w:ilvl w:val="0"/>
          <w:numId w:val="1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Endocardite infectieuse ± bactériémie</w:t>
      </w:r>
    </w:p>
    <w:p w14:paraId="377927C2" w14:textId="77777777" w:rsidR="001C7B88" w:rsidRDefault="00000000">
      <w:pPr>
        <w:pStyle w:val="Standard"/>
        <w:numPr>
          <w:ilvl w:val="0"/>
          <w:numId w:val="1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ATCD de TBC active</w:t>
      </w:r>
    </w:p>
    <w:p w14:paraId="3DF70901" w14:textId="77777777" w:rsidR="001C7B88" w:rsidRDefault="00000000">
      <w:pPr>
        <w:pStyle w:val="Standard"/>
        <w:numPr>
          <w:ilvl w:val="0"/>
          <w:numId w:val="14"/>
        </w:numPr>
        <w:jc w:val="both"/>
        <w:rPr>
          <w:rFonts w:hint="eastAsia"/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Aspergillome</w:t>
      </w:r>
      <w:proofErr w:type="spellEnd"/>
      <w:r>
        <w:rPr>
          <w:b/>
          <w:bCs/>
          <w:sz w:val="20"/>
          <w:szCs w:val="20"/>
        </w:rPr>
        <w:t xml:space="preserve"> → ne prend pas du tout le FDG → « trou dans le poumon »</w:t>
      </w:r>
    </w:p>
    <w:p w14:paraId="492148CC" w14:textId="77777777" w:rsidR="001C7B88" w:rsidRDefault="00000000">
      <w:pPr>
        <w:pStyle w:val="Standard"/>
        <w:numPr>
          <w:ilvl w:val="0"/>
          <w:numId w:val="1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Aspergillose invasive</w:t>
      </w:r>
    </w:p>
    <w:p w14:paraId="1CF2A75B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240B2175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sz w:val="20"/>
          <w:szCs w:val="20"/>
        </w:rPr>
        <w:t xml:space="preserve">Les pathogènes ont de nombreuses sources d’énergie → </w:t>
      </w:r>
      <w:r>
        <w:rPr>
          <w:b/>
          <w:bCs/>
          <w:sz w:val="20"/>
          <w:szCs w:val="20"/>
        </w:rPr>
        <w:t>FDG pas forcément le meilleur marqueur fonctionnel</w:t>
      </w:r>
      <w:r>
        <w:rPr>
          <w:sz w:val="20"/>
          <w:szCs w:val="20"/>
        </w:rPr>
        <w:t xml:space="preserve"> (les germes ne consomment pas forcément de glucose et il faut donc des alternatives, </w:t>
      </w:r>
      <w:proofErr w:type="spellStart"/>
      <w:r>
        <w:rPr>
          <w:sz w:val="20"/>
          <w:szCs w:val="20"/>
        </w:rPr>
        <w:t>p.e</w:t>
      </w:r>
      <w:proofErr w:type="spellEnd"/>
      <w:r>
        <w:rPr>
          <w:sz w:val="20"/>
          <w:szCs w:val="20"/>
        </w:rPr>
        <w:t>. imagerie directe du pathogène ou imagerie d’une réponse immunitaire spécifique)</w:t>
      </w:r>
    </w:p>
    <w:p w14:paraId="5A0F3F59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manque de précision du PET-FDG :</w:t>
      </w:r>
    </w:p>
    <w:p w14:paraId="15FE1BDE" w14:textId="77777777" w:rsidR="001C7B88" w:rsidRDefault="00000000">
      <w:pPr>
        <w:pStyle w:val="Standard"/>
        <w:numPr>
          <w:ilvl w:val="0"/>
          <w:numId w:val="15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Différents sous-types de bactéries ont différentes consommations de FDG</w:t>
      </w:r>
    </w:p>
    <w:p w14:paraId="507FC1A7" w14:textId="77777777" w:rsidR="001C7B88" w:rsidRDefault="00000000">
      <w:pPr>
        <w:pStyle w:val="Standard"/>
        <w:numPr>
          <w:ilvl w:val="0"/>
          <w:numId w:val="15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CAVE agranulocytose → le PET sera probablement négatif (les leucocytes s’allument!)</w:t>
      </w:r>
    </w:p>
    <w:p w14:paraId="503511BD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(possible de marquer directement les leucocytes au 18-FDG → allume la rate et détecte les vasculites et endocardites par exemples)</w:t>
      </w:r>
    </w:p>
    <w:p w14:paraId="1EF652FC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6ADA406C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sz w:val="20"/>
          <w:szCs w:val="20"/>
        </w:rPr>
        <w:t xml:space="preserve">Alternative = </w:t>
      </w:r>
      <w:r>
        <w:rPr>
          <w:b/>
          <w:bCs/>
          <w:color w:val="00A933"/>
          <w:sz w:val="20"/>
          <w:szCs w:val="20"/>
        </w:rPr>
        <w:t>PABA</w:t>
      </w:r>
      <w:r>
        <w:rPr>
          <w:sz w:val="20"/>
          <w:szCs w:val="20"/>
        </w:rPr>
        <w:t xml:space="preserve"> (pas chez les mammifères!) → traceur </w:t>
      </w:r>
      <w:r>
        <w:rPr>
          <w:sz w:val="20"/>
          <w:szCs w:val="20"/>
          <w:u w:val="single"/>
        </w:rPr>
        <w:t>ultra-spécifique pour une infection</w:t>
      </w:r>
      <w:r>
        <w:rPr>
          <w:sz w:val="20"/>
          <w:szCs w:val="20"/>
        </w:rPr>
        <w:t>, par opposition au 18-FDG qui ne fait pas la différence entre les bactéries et une inflammation stérile</w:t>
      </w:r>
    </w:p>
    <w:p w14:paraId="51E655E3" w14:textId="77777777" w:rsidR="001C7B88" w:rsidRDefault="001C7B88">
      <w:pPr>
        <w:pStyle w:val="Standard"/>
        <w:jc w:val="both"/>
        <w:rPr>
          <w:rFonts w:hint="eastAsia"/>
          <w:i/>
          <w:iCs/>
          <w:sz w:val="20"/>
          <w:szCs w:val="20"/>
        </w:rPr>
      </w:pPr>
    </w:p>
    <w:p w14:paraId="0C79B99D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Immunologie</w:t>
      </w:r>
    </w:p>
    <w:p w14:paraId="34D26ED6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 xml:space="preserve">Sarcoïdose → signal = rate + </w:t>
      </w:r>
      <w:proofErr w:type="spellStart"/>
      <w:r>
        <w:rPr>
          <w:b/>
          <w:bCs/>
          <w:sz w:val="20"/>
          <w:szCs w:val="20"/>
        </w:rPr>
        <w:t>ggl</w:t>
      </w:r>
      <w:proofErr w:type="spellEnd"/>
      <w:r>
        <w:rPr>
          <w:b/>
          <w:bCs/>
          <w:sz w:val="20"/>
          <w:szCs w:val="20"/>
        </w:rPr>
        <w:t xml:space="preserve">. médiastinaux + </w:t>
      </w:r>
      <w:proofErr w:type="spellStart"/>
      <w:r>
        <w:rPr>
          <w:b/>
          <w:bCs/>
          <w:sz w:val="20"/>
          <w:szCs w:val="20"/>
        </w:rPr>
        <w:t>ggl</w:t>
      </w:r>
      <w:proofErr w:type="spellEnd"/>
      <w:r>
        <w:rPr>
          <w:b/>
          <w:bCs/>
          <w:sz w:val="20"/>
          <w:szCs w:val="20"/>
        </w:rPr>
        <w:t xml:space="preserve">. rétropéritonéaux </w:t>
      </w:r>
      <w:r>
        <w:rPr>
          <w:sz w:val="20"/>
          <w:szCs w:val="20"/>
        </w:rPr>
        <w:t>+ agrandissement du foie</w:t>
      </w:r>
    </w:p>
    <w:p w14:paraId="07F2E76E" w14:textId="77777777" w:rsidR="001C7B88" w:rsidRDefault="00000000">
      <w:pPr>
        <w:pStyle w:val="Standard"/>
        <w:numPr>
          <w:ilvl w:val="0"/>
          <w:numId w:val="1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La fibrose pulmonaire est très tardive</w:t>
      </w:r>
    </w:p>
    <w:p w14:paraId="0CA518B7" w14:textId="77777777" w:rsidR="001C7B88" w:rsidRDefault="00000000">
      <w:pPr>
        <w:pStyle w:val="Standard"/>
        <w:numPr>
          <w:ilvl w:val="0"/>
          <w:numId w:val="1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Permet d’évaluer la réponse aux stéroïdes</w:t>
      </w:r>
    </w:p>
    <w:p w14:paraId="34B1EF56" w14:textId="77777777" w:rsidR="001C7B88" w:rsidRDefault="00000000">
      <w:pPr>
        <w:pStyle w:val="Standard"/>
        <w:numPr>
          <w:ilvl w:val="0"/>
          <w:numId w:val="16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PET = examen le plus sensible pour la sarcoïdose cardiaque</w:t>
      </w:r>
    </w:p>
    <w:p w14:paraId="29377B54" w14:textId="77777777" w:rsidR="001C7B88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recommander 2 repas riches en matières grasses et faibles en glucides la veille</w:t>
      </w:r>
    </w:p>
    <w:p w14:paraId="50830B20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4E4E9AA6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Neurologie</w:t>
      </w:r>
    </w:p>
    <w:p w14:paraId="388FABD8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sz w:val="20"/>
          <w:szCs w:val="20"/>
        </w:rPr>
        <w:t>On peut rechercher des traces d’amyloïde</w:t>
      </w:r>
      <w:r>
        <w:rPr>
          <w:b/>
          <w:bCs/>
          <w:sz w:val="20"/>
          <w:szCs w:val="20"/>
        </w:rPr>
        <w:t xml:space="preserve"> jusqu’à 10 ans </w:t>
      </w:r>
      <w:r>
        <w:rPr>
          <w:sz w:val="20"/>
          <w:szCs w:val="20"/>
        </w:rPr>
        <w:t>avant la maladie grâce au PET</w:t>
      </w:r>
    </w:p>
    <w:p w14:paraId="7AC059A1" w14:textId="77777777" w:rsidR="001C7B88" w:rsidRDefault="00000000">
      <w:pPr>
        <w:pStyle w:val="Standard"/>
        <w:numPr>
          <w:ilvl w:val="0"/>
          <w:numId w:val="17"/>
        </w:numPr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color w:val="00A933"/>
          <w:sz w:val="20"/>
          <w:szCs w:val="20"/>
        </w:rPr>
        <w:t>PET-FDG</w:t>
      </w:r>
      <w:r>
        <w:rPr>
          <w:sz w:val="20"/>
          <w:szCs w:val="20"/>
        </w:rPr>
        <w:t xml:space="preserve"> ou </w:t>
      </w:r>
      <w:r>
        <w:rPr>
          <w:b/>
          <w:bCs/>
          <w:color w:val="00A933"/>
          <w:sz w:val="20"/>
          <w:szCs w:val="20"/>
        </w:rPr>
        <w:t>PET-amyloïde</w:t>
      </w:r>
      <w:r>
        <w:rPr>
          <w:sz w:val="20"/>
          <w:szCs w:val="20"/>
        </w:rPr>
        <w:t xml:space="preserve"> = très sensible pour la détection des démences</w:t>
      </w:r>
    </w:p>
    <w:p w14:paraId="403B5F5D" w14:textId="77777777" w:rsidR="001C7B88" w:rsidRDefault="00000000">
      <w:pPr>
        <w:pStyle w:val="Standard"/>
        <w:numPr>
          <w:ilvl w:val="0"/>
          <w:numId w:val="17"/>
        </w:numPr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sz w:val="20"/>
          <w:szCs w:val="20"/>
        </w:rPr>
        <w:t xml:space="preserve">PET permet la </w:t>
      </w:r>
      <w:r>
        <w:rPr>
          <w:b/>
          <w:bCs/>
          <w:sz w:val="20"/>
          <w:szCs w:val="20"/>
        </w:rPr>
        <w:t>différenciation entre Alzheimer et autres types de démences</w:t>
      </w:r>
    </w:p>
    <w:p w14:paraId="40C63F96" w14:textId="77777777" w:rsidR="001C7B88" w:rsidRDefault="001C7B88">
      <w:pPr>
        <w:pStyle w:val="Standard"/>
        <w:jc w:val="both"/>
        <w:rPr>
          <w:rFonts w:hint="eastAsia"/>
          <w:sz w:val="20"/>
          <w:szCs w:val="20"/>
        </w:rPr>
      </w:pPr>
    </w:p>
    <w:p w14:paraId="10823E4E" w14:textId="77777777" w:rsidR="001C7B88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Endocrinologie</w:t>
      </w:r>
    </w:p>
    <w:p w14:paraId="6F9CDD85" w14:textId="77777777" w:rsidR="001C7B88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sz w:val="20"/>
          <w:szCs w:val="20"/>
        </w:rPr>
        <w:t>DOTATATE ressemble à la somatostatine ; nodule avec nécrose ou dédifférenciation = mauvais pronostic</w:t>
      </w:r>
    </w:p>
    <w:p w14:paraId="6FEB3771" w14:textId="77777777" w:rsidR="001C7B88" w:rsidRDefault="00000000">
      <w:pPr>
        <w:pStyle w:val="Standard"/>
        <w:numPr>
          <w:ilvl w:val="0"/>
          <w:numId w:val="18"/>
        </w:numPr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color w:val="00A933"/>
          <w:sz w:val="20"/>
          <w:szCs w:val="20"/>
        </w:rPr>
        <w:t xml:space="preserve">Ga68 DOTATATE </w:t>
      </w:r>
      <w:r>
        <w:rPr>
          <w:sz w:val="20"/>
          <w:szCs w:val="20"/>
        </w:rPr>
        <w:t>→ montre les TNE</w:t>
      </w:r>
    </w:p>
    <w:p w14:paraId="2DBADB45" w14:textId="77777777" w:rsidR="001C7B88" w:rsidRDefault="00000000">
      <w:pPr>
        <w:pStyle w:val="Standard"/>
        <w:numPr>
          <w:ilvl w:val="0"/>
          <w:numId w:val="18"/>
        </w:numPr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color w:val="00A933"/>
          <w:sz w:val="20"/>
          <w:szCs w:val="20"/>
        </w:rPr>
        <w:t>Lu177 DOTATATE</w:t>
      </w:r>
      <w:r>
        <w:rPr>
          <w:sz w:val="20"/>
          <w:szCs w:val="20"/>
        </w:rPr>
        <w:t xml:space="preserve"> → brûle les TNE (= très efficace → </w:t>
      </w:r>
      <w:r>
        <w:rPr>
          <w:b/>
          <w:bCs/>
          <w:sz w:val="20"/>
          <w:szCs w:val="20"/>
        </w:rPr>
        <w:t>à 1 an, 80 % des patients sans récidive</w:t>
      </w:r>
      <w:r>
        <w:rPr>
          <w:sz w:val="20"/>
          <w:szCs w:val="20"/>
        </w:rPr>
        <w:t>!)</w:t>
      </w:r>
    </w:p>
    <w:sectPr w:rsidR="001C7B8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26075" w14:textId="77777777" w:rsidR="002E4BFB" w:rsidRDefault="002E4BFB">
      <w:pPr>
        <w:rPr>
          <w:rFonts w:hint="eastAsia"/>
        </w:rPr>
      </w:pPr>
      <w:r>
        <w:separator/>
      </w:r>
    </w:p>
  </w:endnote>
  <w:endnote w:type="continuationSeparator" w:id="0">
    <w:p w14:paraId="20D4E2D0" w14:textId="77777777" w:rsidR="002E4BFB" w:rsidRDefault="002E4B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B0604020202020204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437C2" w14:textId="77777777" w:rsidR="002E4BFB" w:rsidRDefault="002E4BF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5A58F3B" w14:textId="77777777" w:rsidR="002E4BFB" w:rsidRDefault="002E4B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9F6"/>
    <w:multiLevelType w:val="multilevel"/>
    <w:tmpl w:val="612A14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DE25477"/>
    <w:multiLevelType w:val="multilevel"/>
    <w:tmpl w:val="20CC81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13E1AB2"/>
    <w:multiLevelType w:val="multilevel"/>
    <w:tmpl w:val="CA34DB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ABC614B"/>
    <w:multiLevelType w:val="multilevel"/>
    <w:tmpl w:val="7B8E7A6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E8F04B6"/>
    <w:multiLevelType w:val="multilevel"/>
    <w:tmpl w:val="AF8E86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1EE333C8"/>
    <w:multiLevelType w:val="multilevel"/>
    <w:tmpl w:val="8D322C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F6D406F"/>
    <w:multiLevelType w:val="multilevel"/>
    <w:tmpl w:val="5412B34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79E07D1"/>
    <w:multiLevelType w:val="multilevel"/>
    <w:tmpl w:val="058AE81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2ACE5A09"/>
    <w:multiLevelType w:val="multilevel"/>
    <w:tmpl w:val="9F52AD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2FBE5BB5"/>
    <w:multiLevelType w:val="multilevel"/>
    <w:tmpl w:val="CBDE9C6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4F45475E"/>
    <w:multiLevelType w:val="multilevel"/>
    <w:tmpl w:val="51D6E0D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59AE3FF2"/>
    <w:multiLevelType w:val="multilevel"/>
    <w:tmpl w:val="C81A492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5B9D601B"/>
    <w:multiLevelType w:val="multilevel"/>
    <w:tmpl w:val="780E10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5C707D84"/>
    <w:multiLevelType w:val="multilevel"/>
    <w:tmpl w:val="FD54170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67352F83"/>
    <w:multiLevelType w:val="multilevel"/>
    <w:tmpl w:val="DE28425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6FBB1BD3"/>
    <w:multiLevelType w:val="multilevel"/>
    <w:tmpl w:val="6E0C603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75087F09"/>
    <w:multiLevelType w:val="multilevel"/>
    <w:tmpl w:val="A52C209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78E117B8"/>
    <w:multiLevelType w:val="multilevel"/>
    <w:tmpl w:val="6C3A6A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704982369">
    <w:abstractNumId w:val="0"/>
  </w:num>
  <w:num w:numId="2" w16cid:durableId="544952098">
    <w:abstractNumId w:val="14"/>
  </w:num>
  <w:num w:numId="3" w16cid:durableId="1177041164">
    <w:abstractNumId w:val="5"/>
  </w:num>
  <w:num w:numId="4" w16cid:durableId="510529165">
    <w:abstractNumId w:val="4"/>
  </w:num>
  <w:num w:numId="5" w16cid:durableId="1567178829">
    <w:abstractNumId w:val="15"/>
  </w:num>
  <w:num w:numId="6" w16cid:durableId="1853756510">
    <w:abstractNumId w:val="13"/>
  </w:num>
  <w:num w:numId="7" w16cid:durableId="880173595">
    <w:abstractNumId w:val="2"/>
  </w:num>
  <w:num w:numId="8" w16cid:durableId="264702640">
    <w:abstractNumId w:val="12"/>
  </w:num>
  <w:num w:numId="9" w16cid:durableId="260068009">
    <w:abstractNumId w:val="8"/>
  </w:num>
  <w:num w:numId="10" w16cid:durableId="1513452284">
    <w:abstractNumId w:val="9"/>
  </w:num>
  <w:num w:numId="11" w16cid:durableId="706376439">
    <w:abstractNumId w:val="1"/>
  </w:num>
  <w:num w:numId="12" w16cid:durableId="604194513">
    <w:abstractNumId w:val="6"/>
  </w:num>
  <w:num w:numId="13" w16cid:durableId="758217649">
    <w:abstractNumId w:val="7"/>
  </w:num>
  <w:num w:numId="14" w16cid:durableId="838158431">
    <w:abstractNumId w:val="3"/>
  </w:num>
  <w:num w:numId="15" w16cid:durableId="2110613647">
    <w:abstractNumId w:val="11"/>
  </w:num>
  <w:num w:numId="16" w16cid:durableId="727923347">
    <w:abstractNumId w:val="17"/>
  </w:num>
  <w:num w:numId="17" w16cid:durableId="686953717">
    <w:abstractNumId w:val="10"/>
  </w:num>
  <w:num w:numId="18" w16cid:durableId="17178480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C7B88"/>
    <w:rsid w:val="001C7B88"/>
    <w:rsid w:val="002E4BFB"/>
    <w:rsid w:val="009472FE"/>
    <w:rsid w:val="00D7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859EE5"/>
  <w15:docId w15:val="{D5C5F99B-71FB-D147-B455-287B5609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CH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Dams</cp:lastModifiedBy>
  <cp:revision>2</cp:revision>
  <cp:lastPrinted>2021-01-06T11:32:00Z</cp:lastPrinted>
  <dcterms:created xsi:type="dcterms:W3CDTF">2025-01-28T11:40:00Z</dcterms:created>
  <dcterms:modified xsi:type="dcterms:W3CDTF">2025-01-28T11:40:00Z</dcterms:modified>
</cp:coreProperties>
</file>