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61D9" w:rsidRPr="00681149" w:rsidRDefault="00681149" w:rsidP="00681149">
      <w:pPr>
        <w:jc w:val="center"/>
        <w:rPr>
          <w:b/>
        </w:rPr>
      </w:pPr>
      <w:bookmarkStart w:id="0" w:name="_GoBack"/>
      <w:bookmarkEnd w:id="0"/>
      <w:r w:rsidRPr="00681149">
        <w:rPr>
          <w:b/>
        </w:rPr>
        <w:t>Bases physiopathologiques de la réaction allergique</w:t>
      </w:r>
    </w:p>
    <w:p w:rsidR="00681149" w:rsidRDefault="00681149" w:rsidP="00681149">
      <w:pPr>
        <w:spacing w:after="0"/>
        <w:rPr>
          <w:sz w:val="20"/>
        </w:rPr>
      </w:pPr>
      <w:r w:rsidRPr="00681149">
        <w:rPr>
          <w:b/>
          <w:sz w:val="20"/>
          <w:u w:val="single"/>
        </w:rPr>
        <w:t>Introduction</w:t>
      </w:r>
      <w:r w:rsidRPr="00681149">
        <w:rPr>
          <w:sz w:val="20"/>
        </w:rPr>
        <w:t> :</w:t>
      </w:r>
      <w:r w:rsidRPr="00681149">
        <w:t xml:space="preserve"> </w:t>
      </w:r>
      <w:r>
        <w:rPr>
          <w:sz w:val="20"/>
        </w:rPr>
        <w:t>l</w:t>
      </w:r>
      <w:r w:rsidRPr="00681149">
        <w:rPr>
          <w:sz w:val="20"/>
        </w:rPr>
        <w:t xml:space="preserve">’allergie est une réaction immédiate d’hypersensibilité de type I (selon </w:t>
      </w:r>
      <w:r w:rsidRPr="00681149">
        <w:rPr>
          <w:sz w:val="20"/>
          <w:highlight w:val="yellow"/>
        </w:rPr>
        <w:t>Coombs et Gell</w:t>
      </w:r>
      <w:r>
        <w:rPr>
          <w:sz w:val="20"/>
        </w:rPr>
        <w:t>)</w:t>
      </w:r>
    </w:p>
    <w:p w:rsidR="00681149" w:rsidRDefault="00681149" w:rsidP="00681149">
      <w:pPr>
        <w:pStyle w:val="Paragraphedeliste"/>
        <w:numPr>
          <w:ilvl w:val="0"/>
          <w:numId w:val="2"/>
        </w:numPr>
        <w:spacing w:after="0"/>
        <w:rPr>
          <w:sz w:val="20"/>
        </w:rPr>
      </w:pPr>
      <w:r w:rsidRPr="00681149">
        <w:rPr>
          <w:sz w:val="20"/>
        </w:rPr>
        <w:t xml:space="preserve">Survient dans les qq sec à min suivant le contact avec l’allergène </w:t>
      </w:r>
    </w:p>
    <w:p w:rsidR="00681149" w:rsidRDefault="00681149" w:rsidP="00681149">
      <w:pPr>
        <w:pStyle w:val="Paragraphedeliste"/>
        <w:numPr>
          <w:ilvl w:val="0"/>
          <w:numId w:val="2"/>
        </w:numPr>
        <w:rPr>
          <w:sz w:val="20"/>
        </w:rPr>
      </w:pPr>
      <w:r w:rsidRPr="00681149">
        <w:rPr>
          <w:sz w:val="20"/>
        </w:rPr>
        <w:t xml:space="preserve">Réaction clinique réversible et fonctionnelle </w:t>
      </w:r>
    </w:p>
    <w:p w:rsidR="00681149" w:rsidRPr="00681149" w:rsidRDefault="00681149" w:rsidP="00681149">
      <w:pPr>
        <w:pStyle w:val="Paragraphedeliste"/>
        <w:numPr>
          <w:ilvl w:val="0"/>
          <w:numId w:val="2"/>
        </w:numPr>
        <w:rPr>
          <w:sz w:val="20"/>
        </w:rPr>
      </w:pPr>
      <w:r w:rsidRPr="00681149">
        <w:rPr>
          <w:sz w:val="20"/>
        </w:rPr>
        <w:t xml:space="preserve">Dépendante des anticorps IgE et des </w:t>
      </w:r>
      <w:r>
        <w:rPr>
          <w:sz w:val="20"/>
        </w:rPr>
        <w:t>mastocytes</w:t>
      </w:r>
    </w:p>
    <w:p w:rsidR="00681149" w:rsidRDefault="00681149" w:rsidP="00681149">
      <w:pPr>
        <w:spacing w:after="0"/>
        <w:rPr>
          <w:sz w:val="20"/>
        </w:rPr>
      </w:pPr>
      <w:r w:rsidRPr="00681149">
        <w:rPr>
          <w:b/>
          <w:sz w:val="20"/>
        </w:rPr>
        <w:t>Manifestations cliniques de l’allergie</w:t>
      </w:r>
      <w:r w:rsidRPr="00681149">
        <w:rPr>
          <w:sz w:val="20"/>
        </w:rPr>
        <w:t> :</w:t>
      </w:r>
      <w:r>
        <w:rPr>
          <w:sz w:val="20"/>
        </w:rPr>
        <w:t xml:space="preserve"> tous les symptômes peuvent être associés à la vasodilatation et contraction des muscles lisses résultant de la libération d’histamine.</w:t>
      </w:r>
    </w:p>
    <w:p w:rsidR="00681149" w:rsidRPr="00681149" w:rsidRDefault="00681149" w:rsidP="00681149">
      <w:pPr>
        <w:pStyle w:val="Paragraphedeliste"/>
        <w:numPr>
          <w:ilvl w:val="0"/>
          <w:numId w:val="2"/>
        </w:numPr>
        <w:spacing w:after="0"/>
        <w:rPr>
          <w:sz w:val="20"/>
        </w:rPr>
      </w:pPr>
      <w:r>
        <w:rPr>
          <w:sz w:val="20"/>
        </w:rPr>
        <w:t>Urticaire : plaques prurigineuses qui peuvent changer de localisation</w:t>
      </w:r>
      <w:r w:rsidR="00C25C5F">
        <w:rPr>
          <w:sz w:val="20"/>
        </w:rPr>
        <w:t xml:space="preserve"> (selon les VS atteints)</w:t>
      </w:r>
    </w:p>
    <w:p w:rsidR="00681149" w:rsidRPr="00681149" w:rsidRDefault="00681149" w:rsidP="00681149">
      <w:pPr>
        <w:pStyle w:val="Paragraphedeliste"/>
        <w:numPr>
          <w:ilvl w:val="0"/>
          <w:numId w:val="2"/>
        </w:numPr>
        <w:rPr>
          <w:sz w:val="20"/>
        </w:rPr>
      </w:pPr>
      <w:r w:rsidRPr="00681149">
        <w:rPr>
          <w:sz w:val="20"/>
        </w:rPr>
        <w:t>Angioedème</w:t>
      </w:r>
      <w:r>
        <w:rPr>
          <w:sz w:val="20"/>
        </w:rPr>
        <w:t> :</w:t>
      </w:r>
      <w:r w:rsidR="00257FF8">
        <w:rPr>
          <w:sz w:val="20"/>
        </w:rPr>
        <w:t xml:space="preserve"> surtout au niveau des paupières, joues, langue (là où il y a de la place en gros. On en verra moins dans les mains par ex).</w:t>
      </w:r>
      <w:r w:rsidR="00C25C5F">
        <w:rPr>
          <w:sz w:val="20"/>
        </w:rPr>
        <w:t xml:space="preserve"> Résulte d’une ↑perméabilité vasculaire.</w:t>
      </w:r>
    </w:p>
    <w:p w:rsidR="00681149" w:rsidRPr="00681149" w:rsidRDefault="00681149" w:rsidP="00681149">
      <w:pPr>
        <w:pStyle w:val="Paragraphedeliste"/>
        <w:numPr>
          <w:ilvl w:val="0"/>
          <w:numId w:val="2"/>
        </w:numPr>
        <w:rPr>
          <w:sz w:val="20"/>
        </w:rPr>
      </w:pPr>
      <w:r w:rsidRPr="00681149">
        <w:rPr>
          <w:sz w:val="20"/>
        </w:rPr>
        <w:t>Rhinite</w:t>
      </w:r>
      <w:r>
        <w:rPr>
          <w:sz w:val="20"/>
        </w:rPr>
        <w:t> :</w:t>
      </w:r>
      <w:r w:rsidR="00257FF8">
        <w:rPr>
          <w:sz w:val="20"/>
        </w:rPr>
        <w:t xml:space="preserve"> inflammation des muqueuses de la cavité nasale</w:t>
      </w:r>
    </w:p>
    <w:p w:rsidR="00681149" w:rsidRPr="00681149" w:rsidRDefault="00681149" w:rsidP="00681149">
      <w:pPr>
        <w:pStyle w:val="Paragraphedeliste"/>
        <w:numPr>
          <w:ilvl w:val="0"/>
          <w:numId w:val="2"/>
        </w:numPr>
        <w:rPr>
          <w:sz w:val="20"/>
        </w:rPr>
      </w:pPr>
      <w:r w:rsidRPr="00681149">
        <w:rPr>
          <w:sz w:val="20"/>
        </w:rPr>
        <w:t>Conjonctivite</w:t>
      </w:r>
      <w:r>
        <w:rPr>
          <w:sz w:val="20"/>
        </w:rPr>
        <w:t> :</w:t>
      </w:r>
      <w:r w:rsidR="00257FF8">
        <w:rPr>
          <w:sz w:val="20"/>
        </w:rPr>
        <w:t xml:space="preserve"> dilatation des capillaires de la conjonctive (yeux rosés et enflés)</w:t>
      </w:r>
    </w:p>
    <w:p w:rsidR="00681149" w:rsidRPr="00681149" w:rsidRDefault="00681149" w:rsidP="00681149">
      <w:pPr>
        <w:pStyle w:val="Paragraphedeliste"/>
        <w:numPr>
          <w:ilvl w:val="0"/>
          <w:numId w:val="2"/>
        </w:numPr>
        <w:rPr>
          <w:sz w:val="20"/>
        </w:rPr>
      </w:pPr>
      <w:r w:rsidRPr="00681149">
        <w:rPr>
          <w:sz w:val="20"/>
        </w:rPr>
        <w:t>Asthme</w:t>
      </w:r>
      <w:r>
        <w:rPr>
          <w:sz w:val="20"/>
        </w:rPr>
        <w:t> :</w:t>
      </w:r>
      <w:r w:rsidR="00257FF8">
        <w:rPr>
          <w:sz w:val="20"/>
        </w:rPr>
        <w:t xml:space="preserve"> bronchoconstriction</w:t>
      </w:r>
    </w:p>
    <w:p w:rsidR="00681149" w:rsidRPr="00681149" w:rsidRDefault="00681149" w:rsidP="00681149">
      <w:pPr>
        <w:pStyle w:val="Paragraphedeliste"/>
        <w:numPr>
          <w:ilvl w:val="0"/>
          <w:numId w:val="2"/>
        </w:numPr>
        <w:rPr>
          <w:sz w:val="20"/>
        </w:rPr>
      </w:pPr>
      <w:r w:rsidRPr="00681149">
        <w:rPr>
          <w:sz w:val="20"/>
        </w:rPr>
        <w:t xml:space="preserve">Crampes abdominales, vomissements, </w:t>
      </w:r>
      <w:r>
        <w:rPr>
          <w:sz w:val="20"/>
        </w:rPr>
        <w:t>diarrhées :</w:t>
      </w:r>
      <w:r w:rsidR="00257FF8">
        <w:rPr>
          <w:sz w:val="20"/>
        </w:rPr>
        <w:t xml:space="preserve"> contraction des muscles lisses du tube digestif</w:t>
      </w:r>
    </w:p>
    <w:p w:rsidR="00681149" w:rsidRDefault="00681149" w:rsidP="00DC57A9">
      <w:pPr>
        <w:pStyle w:val="Paragraphedeliste"/>
        <w:numPr>
          <w:ilvl w:val="0"/>
          <w:numId w:val="2"/>
        </w:numPr>
        <w:spacing w:after="0"/>
        <w:rPr>
          <w:sz w:val="20"/>
        </w:rPr>
      </w:pPr>
      <w:r w:rsidRPr="00681149">
        <w:rPr>
          <w:sz w:val="20"/>
        </w:rPr>
        <w:t>Etat de choc</w:t>
      </w:r>
      <w:r>
        <w:rPr>
          <w:sz w:val="20"/>
        </w:rPr>
        <w:t> :</w:t>
      </w:r>
      <w:r w:rsidR="00257FF8">
        <w:rPr>
          <w:sz w:val="20"/>
        </w:rPr>
        <w:t xml:space="preserve"> vasodilatation et chute de TA</w:t>
      </w:r>
    </w:p>
    <w:p w:rsidR="00DC57A9" w:rsidRDefault="00DC57A9" w:rsidP="00DC57A9">
      <w:pPr>
        <w:spacing w:after="0"/>
        <w:rPr>
          <w:sz w:val="20"/>
        </w:rPr>
      </w:pPr>
      <w:r>
        <w:rPr>
          <w:sz w:val="20"/>
        </w:rPr>
        <w:t>NB : histamine a aussi un effet vasodilatateur indirect via nn sensoriels qui communiquent avec le SNC et peuvent libérer des neuropeptides vasoactifs (substance P, neuropeptide Y…).</w:t>
      </w:r>
    </w:p>
    <w:p w:rsidR="00DC57A9" w:rsidRPr="00DC57A9" w:rsidRDefault="00DC57A9" w:rsidP="00DC57A9">
      <w:pPr>
        <w:spacing w:after="0"/>
        <w:rPr>
          <w:sz w:val="20"/>
        </w:rPr>
      </w:pPr>
    </w:p>
    <w:p w:rsidR="00681149" w:rsidRDefault="00681149" w:rsidP="00462901">
      <w:pPr>
        <w:spacing w:after="0"/>
        <w:rPr>
          <w:sz w:val="20"/>
        </w:rPr>
      </w:pPr>
      <w:r w:rsidRPr="00681149">
        <w:rPr>
          <w:b/>
          <w:sz w:val="20"/>
        </w:rPr>
        <w:t>Caractère héréditaire marqué</w:t>
      </w:r>
      <w:r w:rsidRPr="00681149">
        <w:rPr>
          <w:sz w:val="20"/>
        </w:rPr>
        <w:t> :</w:t>
      </w:r>
      <w:r w:rsidR="00C25C5F">
        <w:rPr>
          <w:sz w:val="20"/>
        </w:rPr>
        <w:t xml:space="preserve"> l’atopie = prédisposition génétique à développer des allergies</w:t>
      </w:r>
      <w:r w:rsidR="00257FF8">
        <w:rPr>
          <w:sz w:val="20"/>
        </w:rPr>
        <w:t>. Certains cas d’allergie (ex comme à l’aspirine) sont idiosyncrasiques et ne sont pas influencés par l’hérédité, on ne parle donc pas d’atopie mais simplement d’allergie. Gènes pouvant être affectés dans l’atopie :</w:t>
      </w:r>
    </w:p>
    <w:p w:rsidR="00257FF8" w:rsidRDefault="00257FF8" w:rsidP="00462901">
      <w:pPr>
        <w:pStyle w:val="Paragraphedeliste"/>
        <w:numPr>
          <w:ilvl w:val="0"/>
          <w:numId w:val="2"/>
        </w:numPr>
        <w:spacing w:after="0"/>
        <w:rPr>
          <w:sz w:val="20"/>
        </w:rPr>
      </w:pPr>
      <w:r>
        <w:rPr>
          <w:sz w:val="20"/>
        </w:rPr>
        <w:t>IL-4,5,9,13 + GM-SCF : induisent switch IgE, survie des éosinophiles, hyperréaction bronchique…</w:t>
      </w:r>
    </w:p>
    <w:p w:rsidR="00257FF8" w:rsidRPr="00257FF8" w:rsidRDefault="00257FF8" w:rsidP="00257FF8">
      <w:pPr>
        <w:pStyle w:val="Paragraphedeliste"/>
        <w:numPr>
          <w:ilvl w:val="0"/>
          <w:numId w:val="2"/>
        </w:numPr>
        <w:rPr>
          <w:sz w:val="20"/>
        </w:rPr>
      </w:pPr>
      <w:r>
        <w:rPr>
          <w:sz w:val="20"/>
        </w:rPr>
        <w:t xml:space="preserve">Récepteur </w:t>
      </w:r>
      <m:oMath>
        <m:r>
          <w:rPr>
            <w:rFonts w:ascii="Cambria Math" w:hAnsi="Cambria Math"/>
            <w:sz w:val="20"/>
          </w:rPr>
          <m:t>β</m:t>
        </m:r>
      </m:oMath>
      <w:r>
        <w:rPr>
          <w:rFonts w:eastAsiaTheme="minorEastAsia"/>
          <w:sz w:val="20"/>
        </w:rPr>
        <w:t>2 adrénergiques : bronchoconstriction</w:t>
      </w:r>
    </w:p>
    <w:p w:rsidR="00257FF8" w:rsidRPr="00257FF8" w:rsidRDefault="00257FF8" w:rsidP="00257FF8">
      <w:pPr>
        <w:pStyle w:val="Paragraphedeliste"/>
        <w:numPr>
          <w:ilvl w:val="0"/>
          <w:numId w:val="2"/>
        </w:numPr>
        <w:rPr>
          <w:sz w:val="20"/>
        </w:rPr>
      </w:pPr>
      <w:r>
        <w:rPr>
          <w:rFonts w:eastAsiaTheme="minorEastAsia"/>
          <w:sz w:val="20"/>
        </w:rPr>
        <w:t>HLA-II : réponse T spécifique anti-allergène</w:t>
      </w:r>
    </w:p>
    <w:p w:rsidR="00257FF8" w:rsidRPr="00257FF8" w:rsidRDefault="00257FF8" w:rsidP="00257FF8">
      <w:pPr>
        <w:pStyle w:val="Paragraphedeliste"/>
        <w:numPr>
          <w:ilvl w:val="0"/>
          <w:numId w:val="2"/>
        </w:numPr>
        <w:rPr>
          <w:sz w:val="20"/>
        </w:rPr>
      </w:pPr>
      <w:r>
        <w:rPr>
          <w:rFonts w:eastAsiaTheme="minorEastAsia"/>
          <w:sz w:val="20"/>
        </w:rPr>
        <w:t>TNF-</w:t>
      </w:r>
      <m:oMath>
        <m:r>
          <w:rPr>
            <w:rFonts w:ascii="Cambria Math" w:eastAsiaTheme="minorEastAsia" w:hAnsi="Cambria Math"/>
            <w:sz w:val="20"/>
          </w:rPr>
          <m:t>α </m:t>
        </m:r>
      </m:oMath>
      <w:r>
        <w:rPr>
          <w:rFonts w:eastAsiaTheme="minorEastAsia"/>
          <w:sz w:val="20"/>
        </w:rPr>
        <w:t>: médiateurs mastocytaires</w:t>
      </w:r>
    </w:p>
    <w:p w:rsidR="00257FF8" w:rsidRPr="00257FF8" w:rsidRDefault="00257FF8" w:rsidP="00257FF8">
      <w:pPr>
        <w:pStyle w:val="Paragraphedeliste"/>
        <w:numPr>
          <w:ilvl w:val="0"/>
          <w:numId w:val="2"/>
        </w:numPr>
        <w:rPr>
          <w:sz w:val="20"/>
        </w:rPr>
      </w:pPr>
      <w:r>
        <w:rPr>
          <w:rFonts w:eastAsiaTheme="minorEastAsia"/>
          <w:sz w:val="20"/>
        </w:rPr>
        <w:t>INF-</w:t>
      </w:r>
      <m:oMath>
        <m:r>
          <w:rPr>
            <w:rFonts w:ascii="Cambria Math" w:eastAsiaTheme="minorEastAsia" w:hAnsi="Cambria Math"/>
            <w:sz w:val="20"/>
          </w:rPr>
          <m:t>γ </m:t>
        </m:r>
      </m:oMath>
      <w:r>
        <w:rPr>
          <w:rFonts w:eastAsiaTheme="minorEastAsia"/>
          <w:sz w:val="20"/>
        </w:rPr>
        <w:t>: équilibre T</w:t>
      </w:r>
      <w:r w:rsidR="00DC57A9">
        <w:rPr>
          <w:rFonts w:eastAsiaTheme="minorEastAsia"/>
          <w:sz w:val="20"/>
        </w:rPr>
        <w:t>h</w:t>
      </w:r>
      <w:r>
        <w:rPr>
          <w:rFonts w:eastAsiaTheme="minorEastAsia"/>
          <w:sz w:val="20"/>
        </w:rPr>
        <w:t>1/2</w:t>
      </w:r>
    </w:p>
    <w:p w:rsidR="00681149" w:rsidRDefault="00681149" w:rsidP="00462901">
      <w:pPr>
        <w:spacing w:after="0"/>
        <w:rPr>
          <w:sz w:val="20"/>
        </w:rPr>
      </w:pPr>
      <w:r w:rsidRPr="00681149">
        <w:rPr>
          <w:b/>
          <w:sz w:val="20"/>
        </w:rPr>
        <w:t>Incident selon l’âge</w:t>
      </w:r>
      <w:r w:rsidRPr="00681149">
        <w:rPr>
          <w:sz w:val="20"/>
        </w:rPr>
        <w:t> :</w:t>
      </w:r>
    </w:p>
    <w:p w:rsidR="00257FF8" w:rsidRDefault="00257FF8" w:rsidP="00462901">
      <w:pPr>
        <w:pStyle w:val="Paragraphedeliste"/>
        <w:numPr>
          <w:ilvl w:val="0"/>
          <w:numId w:val="2"/>
        </w:numPr>
        <w:spacing w:after="0"/>
        <w:rPr>
          <w:sz w:val="20"/>
        </w:rPr>
      </w:pPr>
      <w:r>
        <w:rPr>
          <w:sz w:val="20"/>
        </w:rPr>
        <w:t>Premiers mois : souvent allergies alimentaires, particulièrement aux protéines dans le lait. Intolérance liée au fait que le tube digestif est encore immature. S’atténue après 6 mois.</w:t>
      </w:r>
    </w:p>
    <w:p w:rsidR="00257FF8" w:rsidRDefault="00257FF8" w:rsidP="00257FF8">
      <w:pPr>
        <w:pStyle w:val="Paragraphedeliste"/>
        <w:numPr>
          <w:ilvl w:val="0"/>
          <w:numId w:val="2"/>
        </w:numPr>
        <w:rPr>
          <w:sz w:val="20"/>
        </w:rPr>
      </w:pPr>
      <w:r>
        <w:rPr>
          <w:sz w:val="20"/>
        </w:rPr>
        <w:t>1 an : dermatite atopique</w:t>
      </w:r>
      <w:r w:rsidR="00C25C5F">
        <w:rPr>
          <w:sz w:val="20"/>
        </w:rPr>
        <w:t xml:space="preserve"> (eczéma)</w:t>
      </w:r>
      <w:r>
        <w:rPr>
          <w:sz w:val="20"/>
        </w:rPr>
        <w:t>, s’atténue avec le temps mais moins que l’allergie alimentaire.</w:t>
      </w:r>
    </w:p>
    <w:p w:rsidR="00257FF8" w:rsidRDefault="00257FF8" w:rsidP="00257FF8">
      <w:pPr>
        <w:pStyle w:val="Paragraphedeliste"/>
        <w:numPr>
          <w:ilvl w:val="0"/>
          <w:numId w:val="2"/>
        </w:numPr>
        <w:rPr>
          <w:sz w:val="20"/>
        </w:rPr>
      </w:pPr>
      <w:r>
        <w:rPr>
          <w:sz w:val="20"/>
        </w:rPr>
        <w:t xml:space="preserve">Rhinite et asthme : apparaissent généralement plus tard, </w:t>
      </w:r>
      <w:r w:rsidR="00E65A27">
        <w:rPr>
          <w:sz w:val="20"/>
        </w:rPr>
        <w:t>entre enfance et</w:t>
      </w:r>
      <w:r>
        <w:rPr>
          <w:sz w:val="20"/>
        </w:rPr>
        <w:t xml:space="preserve"> JA. Sont typiquement associés au rhume des foins, s’atténuent </w:t>
      </w:r>
      <w:r w:rsidR="00462901">
        <w:rPr>
          <w:sz w:val="20"/>
        </w:rPr>
        <w:t>généralement (mais pas toujours, donc ne pas faire de promesses aux patients) entre 40-50 ans.</w:t>
      </w:r>
    </w:p>
    <w:p w:rsidR="00050219" w:rsidRDefault="00050219" w:rsidP="00050219">
      <w:pPr>
        <w:spacing w:after="0"/>
        <w:rPr>
          <w:sz w:val="20"/>
        </w:rPr>
      </w:pPr>
      <w:r w:rsidRPr="00050219">
        <w:rPr>
          <w:b/>
          <w:sz w:val="20"/>
        </w:rPr>
        <w:t>Causes extrinsèques potentielles de l’augmentation de la fréquence de l’allergie</w:t>
      </w:r>
      <w:r>
        <w:rPr>
          <w:sz w:val="20"/>
        </w:rPr>
        <w:t> :</w:t>
      </w:r>
    </w:p>
    <w:p w:rsidR="00050219" w:rsidRDefault="00050219" w:rsidP="00050219">
      <w:pPr>
        <w:pStyle w:val="Paragraphedeliste"/>
        <w:numPr>
          <w:ilvl w:val="0"/>
          <w:numId w:val="2"/>
        </w:numPr>
        <w:spacing w:after="0"/>
        <w:rPr>
          <w:sz w:val="20"/>
        </w:rPr>
      </w:pPr>
      <w:r>
        <w:rPr>
          <w:sz w:val="20"/>
        </w:rPr>
        <w:t>Facteurs de risque d’atopie : mode de vie (surtout occidental industrialisé)</w:t>
      </w:r>
    </w:p>
    <w:p w:rsidR="00050219" w:rsidRDefault="00050219" w:rsidP="00050219">
      <w:pPr>
        <w:pStyle w:val="Paragraphedeliste"/>
        <w:numPr>
          <w:ilvl w:val="0"/>
          <w:numId w:val="15"/>
        </w:numPr>
        <w:rPr>
          <w:sz w:val="20"/>
        </w:rPr>
      </w:pPr>
      <w:r>
        <w:rPr>
          <w:sz w:val="20"/>
        </w:rPr>
        <w:t>Fréquence d’infections faible : ↓Th1 favorise réactions Th2. Enfants mis en crèche ou ayant des frères et sœurs sont plus exposés et donc moins à risque d’avoir allergies.</w:t>
      </w:r>
    </w:p>
    <w:p w:rsidR="00050219" w:rsidRDefault="00050219" w:rsidP="00050219">
      <w:pPr>
        <w:pStyle w:val="Paragraphedeliste"/>
        <w:numPr>
          <w:ilvl w:val="0"/>
          <w:numId w:val="15"/>
        </w:numPr>
        <w:rPr>
          <w:sz w:val="20"/>
        </w:rPr>
      </w:pPr>
      <w:r>
        <w:rPr>
          <w:sz w:val="20"/>
        </w:rPr>
        <w:t>Régime alimentaire (ex margarine)</w:t>
      </w:r>
    </w:p>
    <w:p w:rsidR="00050219" w:rsidRDefault="00050219" w:rsidP="00050219">
      <w:pPr>
        <w:pStyle w:val="Paragraphedeliste"/>
        <w:numPr>
          <w:ilvl w:val="0"/>
          <w:numId w:val="15"/>
        </w:numPr>
        <w:rPr>
          <w:sz w:val="20"/>
        </w:rPr>
      </w:pPr>
      <w:r>
        <w:rPr>
          <w:sz w:val="20"/>
        </w:rPr>
        <w:t>Niveau socioéconomique élevé</w:t>
      </w:r>
    </w:p>
    <w:p w:rsidR="00050219" w:rsidRDefault="00050219" w:rsidP="00050219">
      <w:pPr>
        <w:pStyle w:val="Paragraphedeliste"/>
        <w:numPr>
          <w:ilvl w:val="0"/>
          <w:numId w:val="2"/>
        </w:numPr>
        <w:rPr>
          <w:sz w:val="20"/>
        </w:rPr>
      </w:pPr>
      <w:r>
        <w:rPr>
          <w:sz w:val="20"/>
        </w:rPr>
        <w:t>Facteurs aggravants de l’allergie :</w:t>
      </w:r>
    </w:p>
    <w:p w:rsidR="00050219" w:rsidRDefault="00050219" w:rsidP="00050219">
      <w:pPr>
        <w:pStyle w:val="Paragraphedeliste"/>
        <w:numPr>
          <w:ilvl w:val="0"/>
          <w:numId w:val="16"/>
        </w:numPr>
        <w:rPr>
          <w:sz w:val="20"/>
        </w:rPr>
      </w:pPr>
      <w:r>
        <w:rPr>
          <w:sz w:val="20"/>
        </w:rPr>
        <w:t>Pollution</w:t>
      </w:r>
    </w:p>
    <w:p w:rsidR="00050219" w:rsidRDefault="00050219" w:rsidP="00050219">
      <w:pPr>
        <w:pStyle w:val="Paragraphedeliste"/>
        <w:numPr>
          <w:ilvl w:val="0"/>
          <w:numId w:val="16"/>
        </w:numPr>
        <w:rPr>
          <w:sz w:val="20"/>
        </w:rPr>
      </w:pPr>
      <w:r>
        <w:rPr>
          <w:sz w:val="20"/>
        </w:rPr>
        <w:t>Tabagisme</w:t>
      </w:r>
    </w:p>
    <w:p w:rsidR="00050219" w:rsidRPr="00050219" w:rsidRDefault="00050219" w:rsidP="00050219">
      <w:pPr>
        <w:pStyle w:val="Paragraphedeliste"/>
        <w:numPr>
          <w:ilvl w:val="0"/>
          <w:numId w:val="16"/>
        </w:numPr>
        <w:rPr>
          <w:sz w:val="20"/>
        </w:rPr>
      </w:pPr>
      <w:r>
        <w:rPr>
          <w:sz w:val="20"/>
        </w:rPr>
        <w:t>Exposition aux allergènes</w:t>
      </w:r>
    </w:p>
    <w:p w:rsidR="00681149" w:rsidRPr="00681149" w:rsidRDefault="00681149">
      <w:pPr>
        <w:rPr>
          <w:sz w:val="20"/>
        </w:rPr>
      </w:pPr>
      <w:r w:rsidRPr="00681149">
        <w:rPr>
          <w:b/>
          <w:sz w:val="20"/>
          <w:u w:val="single"/>
        </w:rPr>
        <w:t>Cascade de l’allergie</w:t>
      </w:r>
      <w:r w:rsidRPr="00681149">
        <w:rPr>
          <w:sz w:val="20"/>
        </w:rPr>
        <w:t> :</w:t>
      </w:r>
      <w:r w:rsidR="00462901" w:rsidRPr="00462901">
        <w:rPr>
          <w:sz w:val="20"/>
        </w:rPr>
        <w:t xml:space="preserve"> </w:t>
      </w:r>
      <w:r w:rsidR="00462901">
        <w:rPr>
          <w:sz w:val="20"/>
        </w:rPr>
        <w:t>présuppose une exposition préalable, avec plasmocytes sécrétant déjà des IgE spécifiques  à l’allergène en question.</w:t>
      </w:r>
    </w:p>
    <w:p w:rsidR="00681149" w:rsidRPr="00681149" w:rsidRDefault="001650F0" w:rsidP="00681149">
      <w:pPr>
        <w:rPr>
          <w:sz w:val="20"/>
        </w:rPr>
      </w:pPr>
      <w:r>
        <w:rPr>
          <w:b/>
          <w:sz w:val="20"/>
        </w:rPr>
        <w:t xml:space="preserve">1. </w:t>
      </w:r>
      <w:r w:rsidR="00681149" w:rsidRPr="00681149">
        <w:rPr>
          <w:b/>
          <w:sz w:val="20"/>
        </w:rPr>
        <w:t>Phase précoce</w:t>
      </w:r>
      <w:r w:rsidR="00681149" w:rsidRPr="00681149">
        <w:rPr>
          <w:sz w:val="20"/>
        </w:rPr>
        <w:t> :</w:t>
      </w:r>
      <w:r w:rsidR="00462901">
        <w:rPr>
          <w:sz w:val="20"/>
        </w:rPr>
        <w:t xml:space="preserve"> cross linkage de l’antigène avec anticorps exprimés à la surface des mastocytes déclenche leur dégranulation. Ceci permet une libération immédiate d’histamine (préformeé), puis production d’autres médiateurs inflammatoires dans leur membrane (PG, LT dont LTB4, PAF).</w:t>
      </w:r>
    </w:p>
    <w:p w:rsidR="00681149" w:rsidRDefault="00681149" w:rsidP="00462901">
      <w:pPr>
        <w:spacing w:after="0"/>
        <w:rPr>
          <w:sz w:val="20"/>
        </w:rPr>
      </w:pPr>
      <w:r w:rsidRPr="001650F0">
        <w:rPr>
          <w:b/>
          <w:sz w:val="20"/>
        </w:rPr>
        <w:lastRenderedPageBreak/>
        <w:t>Les mastocytes</w:t>
      </w:r>
      <w:r w:rsidR="00462901">
        <w:rPr>
          <w:sz w:val="20"/>
        </w:rPr>
        <w:t> :</w:t>
      </w:r>
    </w:p>
    <w:p w:rsidR="00DC57A9" w:rsidRPr="00BE39AA" w:rsidRDefault="00C25C5F" w:rsidP="00BE39AA">
      <w:pPr>
        <w:pStyle w:val="Paragraphedeliste"/>
        <w:numPr>
          <w:ilvl w:val="0"/>
          <w:numId w:val="2"/>
        </w:numPr>
        <w:spacing w:after="0"/>
        <w:rPr>
          <w:sz w:val="20"/>
        </w:rPr>
      </w:pPr>
      <w:r>
        <w:rPr>
          <w:sz w:val="20"/>
        </w:rPr>
        <w:t>Sont issus des cellules myéloïdes</w:t>
      </w:r>
      <w:r w:rsidR="00462901" w:rsidRPr="00BE39AA">
        <w:rPr>
          <w:sz w:val="20"/>
        </w:rPr>
        <w:t xml:space="preserve"> </w:t>
      </w:r>
      <w:r w:rsidR="00C005CF" w:rsidRPr="00BE39AA">
        <w:rPr>
          <w:sz w:val="20"/>
        </w:rPr>
        <w:t>(aussi à la base des basophiles = mastocytes circulants)</w:t>
      </w:r>
      <w:r w:rsidR="00E05943">
        <w:rPr>
          <w:sz w:val="20"/>
        </w:rPr>
        <w:t>. Ces cellules progénitrices</w:t>
      </w:r>
      <w:r w:rsidR="00C005CF" w:rsidRPr="00BE39AA">
        <w:rPr>
          <w:sz w:val="20"/>
        </w:rPr>
        <w:t xml:space="preserve"> sont </w:t>
      </w:r>
      <w:r w:rsidR="00462901" w:rsidRPr="00BE39AA">
        <w:rPr>
          <w:sz w:val="20"/>
        </w:rPr>
        <w:t>formé</w:t>
      </w:r>
      <w:r w:rsidR="00E05943">
        <w:rPr>
          <w:sz w:val="20"/>
        </w:rPr>
        <w:t>e</w:t>
      </w:r>
      <w:r w:rsidR="00462901" w:rsidRPr="00BE39AA">
        <w:rPr>
          <w:sz w:val="20"/>
        </w:rPr>
        <w:t>s dans la moelle sous l’influence de l’IL-3 et du stem cell factor (SCF, ligand de c-kit</w:t>
      </w:r>
      <w:r w:rsidR="00C005CF" w:rsidRPr="00BE39AA">
        <w:rPr>
          <w:sz w:val="20"/>
        </w:rPr>
        <w:t xml:space="preserve"> = une tyr kinase qui peut être bloquée par le Gleevec)</w:t>
      </w:r>
    </w:p>
    <w:p w:rsidR="00462901" w:rsidRPr="008229CD" w:rsidRDefault="00462901" w:rsidP="008229CD">
      <w:pPr>
        <w:pStyle w:val="Paragraphedeliste"/>
        <w:numPr>
          <w:ilvl w:val="0"/>
          <w:numId w:val="2"/>
        </w:numPr>
        <w:spacing w:after="0"/>
        <w:rPr>
          <w:sz w:val="20"/>
        </w:rPr>
      </w:pPr>
      <w:r w:rsidRPr="008229CD">
        <w:rPr>
          <w:sz w:val="20"/>
        </w:rPr>
        <w:t>Deux types : distingués selon leur expression de T (</w:t>
      </w:r>
      <w:r w:rsidRPr="008229CD">
        <w:rPr>
          <w:sz w:val="20"/>
          <w:highlight w:val="yellow"/>
        </w:rPr>
        <w:t>tryptase</w:t>
      </w:r>
      <w:r w:rsidRPr="008229CD">
        <w:rPr>
          <w:sz w:val="20"/>
        </w:rPr>
        <w:t>) et C (</w:t>
      </w:r>
      <w:r w:rsidRPr="008229CD">
        <w:rPr>
          <w:sz w:val="20"/>
          <w:highlight w:val="yellow"/>
        </w:rPr>
        <w:t>chymase</w:t>
      </w:r>
      <w:r w:rsidRPr="008229CD">
        <w:rPr>
          <w:sz w:val="20"/>
        </w:rPr>
        <w:t>)</w:t>
      </w:r>
      <w:r w:rsidR="008229CD" w:rsidRPr="008229CD">
        <w:rPr>
          <w:sz w:val="20"/>
        </w:rPr>
        <w:t xml:space="preserve">. </w:t>
      </w:r>
      <w:r w:rsidR="008229CD" w:rsidRPr="008229CD">
        <w:rPr>
          <w:rFonts w:eastAsiaTheme="minorEastAsia"/>
          <w:sz w:val="20"/>
        </w:rPr>
        <w:t>La tryptase est une protéine propre aux mastocytes, dosage permet de faire DD entre allergie et autre chose (ex hémorragie pendant opération qui cause chute de TA)</w:t>
      </w:r>
      <w:r w:rsidR="00AC286D">
        <w:rPr>
          <w:rFonts w:eastAsiaTheme="minorEastAsia"/>
          <w:sz w:val="20"/>
        </w:rPr>
        <w:t>. Attention aux faux négatifs possibles.</w:t>
      </w:r>
    </w:p>
    <w:p w:rsidR="00462901" w:rsidRPr="00462901" w:rsidRDefault="00462901" w:rsidP="008229CD">
      <w:pPr>
        <w:pStyle w:val="Paragraphedeliste"/>
        <w:numPr>
          <w:ilvl w:val="0"/>
          <w:numId w:val="4"/>
        </w:numPr>
        <w:spacing w:after="0"/>
        <w:rPr>
          <w:rFonts w:eastAsiaTheme="minorEastAsia"/>
          <w:sz w:val="20"/>
        </w:rPr>
      </w:pPr>
      <w:r w:rsidRPr="00462901">
        <w:rPr>
          <w:sz w:val="20"/>
        </w:rPr>
        <w:t xml:space="preserve">connective tissue mast cells (MCTC) </w:t>
      </w:r>
      <w:r w:rsidR="00C005CF">
        <w:rPr>
          <w:sz w:val="20"/>
        </w:rPr>
        <w:t xml:space="preserve">→ T + C </w:t>
      </w:r>
      <w:r w:rsidRPr="00462901">
        <w:rPr>
          <w:sz w:val="20"/>
        </w:rPr>
        <w:t>: peau, sous</w:t>
      </w:r>
      <w:r>
        <w:rPr>
          <w:sz w:val="20"/>
        </w:rPr>
        <w:t>-muqueuse, conjonctive</w:t>
      </w:r>
    </w:p>
    <w:p w:rsidR="00462901" w:rsidRDefault="00462901" w:rsidP="00462901">
      <w:pPr>
        <w:pStyle w:val="Paragraphedeliste"/>
        <w:numPr>
          <w:ilvl w:val="0"/>
          <w:numId w:val="4"/>
        </w:numPr>
        <w:rPr>
          <w:rFonts w:eastAsiaTheme="minorEastAsia"/>
          <w:sz w:val="20"/>
        </w:rPr>
      </w:pPr>
      <w:r w:rsidRPr="00462901">
        <w:rPr>
          <w:rFonts w:eastAsiaTheme="minorEastAsia"/>
          <w:sz w:val="20"/>
        </w:rPr>
        <w:t>mucosal mast cells (MCT)</w:t>
      </w:r>
      <w:r w:rsidR="00C005CF">
        <w:rPr>
          <w:rFonts w:eastAsiaTheme="minorEastAsia"/>
          <w:sz w:val="20"/>
        </w:rPr>
        <w:t xml:space="preserve"> → T</w:t>
      </w:r>
      <w:r w:rsidRPr="00462901">
        <w:rPr>
          <w:rFonts w:eastAsiaTheme="minorEastAsia"/>
          <w:sz w:val="20"/>
        </w:rPr>
        <w:t xml:space="preserve"> : muqueuse intestinale, nasale, pulmonaire. Sensibles à des facteurs dépendant des cellules T</w:t>
      </w:r>
    </w:p>
    <w:p w:rsidR="00462901" w:rsidRPr="00462901" w:rsidRDefault="00462901" w:rsidP="00462901">
      <w:pPr>
        <w:pStyle w:val="Paragraphedeliste"/>
        <w:numPr>
          <w:ilvl w:val="0"/>
          <w:numId w:val="2"/>
        </w:numPr>
        <w:rPr>
          <w:rFonts w:eastAsiaTheme="minorEastAsia"/>
          <w:sz w:val="20"/>
        </w:rPr>
      </w:pPr>
      <w:r w:rsidRPr="00462901">
        <w:rPr>
          <w:rFonts w:eastAsiaTheme="minorEastAsia"/>
          <w:sz w:val="20"/>
        </w:rPr>
        <w:t>Portent le FcεRI (r</w:t>
      </w:r>
      <w:r w:rsidR="00C005CF">
        <w:rPr>
          <w:rFonts w:eastAsiaTheme="minorEastAsia"/>
          <w:sz w:val="20"/>
        </w:rPr>
        <w:t xml:space="preserve">écepteur IgE de haute affinité) : formé de 4 sous-unités (α, β et 2ɣ). La sous-unité α </w:t>
      </w:r>
      <w:r w:rsidR="008229CD">
        <w:rPr>
          <w:rFonts w:eastAsiaTheme="minorEastAsia"/>
          <w:sz w:val="20"/>
        </w:rPr>
        <w:t>lie C</w:t>
      </w:r>
      <m:oMath>
        <m:r>
          <w:rPr>
            <w:rFonts w:ascii="Cambria Math" w:eastAsiaTheme="minorEastAsia" w:hAnsi="Cambria Math"/>
            <w:sz w:val="20"/>
          </w:rPr>
          <m:t>ε</m:t>
        </m:r>
      </m:oMath>
      <w:r w:rsidR="008229CD">
        <w:rPr>
          <w:rFonts w:eastAsiaTheme="minorEastAsia"/>
          <w:sz w:val="20"/>
        </w:rPr>
        <w:t xml:space="preserve">3 de l’IgE (inhibition possible par </w:t>
      </w:r>
      <w:r w:rsidR="006B09F4">
        <w:rPr>
          <w:rFonts w:eastAsiaTheme="minorEastAsia"/>
          <w:sz w:val="20"/>
          <w:highlight w:val="yellow"/>
        </w:rPr>
        <w:t>Om</w:t>
      </w:r>
      <w:r w:rsidR="008229CD" w:rsidRPr="008229CD">
        <w:rPr>
          <w:rFonts w:eastAsiaTheme="minorEastAsia"/>
          <w:sz w:val="20"/>
          <w:highlight w:val="yellow"/>
        </w:rPr>
        <w:t>alizumab</w:t>
      </w:r>
      <w:r w:rsidR="008229CD">
        <w:rPr>
          <w:rFonts w:eastAsiaTheme="minorEastAsia"/>
          <w:sz w:val="20"/>
        </w:rPr>
        <w:t xml:space="preserve"> qui lie les IgE). Les sous-unités β et ɣ participent à la signalisation cellulaire, leur partie intracellulaire contient de</w:t>
      </w:r>
      <w:r w:rsidR="00CC2AE1">
        <w:rPr>
          <w:rFonts w:eastAsiaTheme="minorEastAsia"/>
          <w:sz w:val="20"/>
        </w:rPr>
        <w:t>s</w:t>
      </w:r>
      <w:r w:rsidR="008229CD">
        <w:rPr>
          <w:rFonts w:eastAsiaTheme="minorEastAsia"/>
          <w:sz w:val="20"/>
        </w:rPr>
        <w:t xml:space="preserve"> ITAM, sites de phosphorylation pour les tyr-kinases lyn/syc. Attention : on ne bloque pas ces kinases pour traiter les allergies car elles sont aussi p</w:t>
      </w:r>
      <w:r w:rsidR="007832F8">
        <w:rPr>
          <w:rFonts w:eastAsiaTheme="minorEastAsia"/>
          <w:sz w:val="20"/>
        </w:rPr>
        <w:t>résentes dans les lymphocytes, ce qui causerait immunosuppression.</w:t>
      </w:r>
    </w:p>
    <w:p w:rsidR="00462901" w:rsidRPr="00C005CF" w:rsidRDefault="00462901" w:rsidP="00462901">
      <w:pPr>
        <w:pStyle w:val="Paragraphedeliste"/>
        <w:numPr>
          <w:ilvl w:val="0"/>
          <w:numId w:val="2"/>
        </w:numPr>
        <w:rPr>
          <w:rFonts w:eastAsiaTheme="minorEastAsia"/>
          <w:sz w:val="20"/>
        </w:rPr>
      </w:pPr>
      <w:r w:rsidRPr="00C005CF">
        <w:rPr>
          <w:rFonts w:eastAsiaTheme="minorEastAsia"/>
          <w:sz w:val="20"/>
        </w:rPr>
        <w:t>IL-4, IL-5, IL-13 et LTB4 (stimule la production d’IL-5 par Th2) participent à la maturation des Th2</w:t>
      </w:r>
    </w:p>
    <w:p w:rsidR="00681149" w:rsidRDefault="007832F8" w:rsidP="007832F8">
      <w:pPr>
        <w:spacing w:after="0"/>
        <w:rPr>
          <w:rFonts w:eastAsiaTheme="minorEastAsia"/>
          <w:sz w:val="20"/>
        </w:rPr>
      </w:pPr>
      <w:r w:rsidRPr="001650F0">
        <w:rPr>
          <w:b/>
          <w:sz w:val="20"/>
        </w:rPr>
        <w:t>Parenthèse sur l</w:t>
      </w:r>
      <w:r w:rsidR="00681149" w:rsidRPr="001650F0">
        <w:rPr>
          <w:b/>
          <w:sz w:val="20"/>
        </w:rPr>
        <w:t>e récepteur Fc</w:t>
      </w:r>
      <m:oMath>
        <m:r>
          <m:rPr>
            <m:sty m:val="bi"/>
          </m:rPr>
          <w:rPr>
            <w:rFonts w:ascii="Cambria Math" w:hAnsi="Cambria Math"/>
            <w:sz w:val="20"/>
          </w:rPr>
          <m:t>ε</m:t>
        </m:r>
      </m:oMath>
      <w:r w:rsidR="00681149" w:rsidRPr="001650F0">
        <w:rPr>
          <w:rFonts w:eastAsiaTheme="minorEastAsia"/>
          <w:b/>
          <w:sz w:val="20"/>
        </w:rPr>
        <w:t>RII</w:t>
      </w:r>
      <w:r>
        <w:rPr>
          <w:rFonts w:eastAsiaTheme="minorEastAsia"/>
          <w:sz w:val="20"/>
        </w:rPr>
        <w:t xml:space="preserve"> </w:t>
      </w:r>
      <w:r w:rsidR="00681149" w:rsidRPr="00462901">
        <w:rPr>
          <w:rFonts w:eastAsiaTheme="minorEastAsia"/>
          <w:sz w:val="20"/>
        </w:rPr>
        <w:t>:</w:t>
      </w:r>
    </w:p>
    <w:p w:rsidR="007832F8" w:rsidRPr="007832F8" w:rsidRDefault="007832F8" w:rsidP="007832F8">
      <w:pPr>
        <w:pStyle w:val="Paragraphedeliste"/>
        <w:numPr>
          <w:ilvl w:val="0"/>
          <w:numId w:val="2"/>
        </w:numPr>
        <w:spacing w:after="0"/>
        <w:rPr>
          <w:rFonts w:eastAsiaTheme="minorEastAsia"/>
          <w:sz w:val="20"/>
        </w:rPr>
      </w:pPr>
      <w:r>
        <w:rPr>
          <w:rFonts w:eastAsiaTheme="minorEastAsia"/>
          <w:sz w:val="20"/>
        </w:rPr>
        <w:t>Deux types</w:t>
      </w:r>
    </w:p>
    <w:p w:rsidR="007832F8" w:rsidRDefault="007832F8" w:rsidP="007832F8">
      <w:pPr>
        <w:pStyle w:val="Paragraphedeliste"/>
        <w:numPr>
          <w:ilvl w:val="0"/>
          <w:numId w:val="5"/>
        </w:numPr>
        <w:rPr>
          <w:rFonts w:eastAsiaTheme="minorEastAsia"/>
          <w:sz w:val="20"/>
        </w:rPr>
      </w:pPr>
      <w:r w:rsidRPr="007832F8">
        <w:rPr>
          <w:rFonts w:eastAsiaTheme="minorEastAsia"/>
          <w:sz w:val="20"/>
        </w:rPr>
        <w:t>FcεRIIa (B cell specific/expression constitutive)</w:t>
      </w:r>
    </w:p>
    <w:p w:rsidR="007832F8" w:rsidRPr="007832F8" w:rsidRDefault="007832F8" w:rsidP="007832F8">
      <w:pPr>
        <w:pStyle w:val="Paragraphedeliste"/>
        <w:numPr>
          <w:ilvl w:val="0"/>
          <w:numId w:val="5"/>
        </w:numPr>
        <w:rPr>
          <w:rFonts w:eastAsiaTheme="minorEastAsia"/>
          <w:sz w:val="20"/>
        </w:rPr>
      </w:pPr>
      <w:r w:rsidRPr="007832F8">
        <w:rPr>
          <w:rFonts w:eastAsiaTheme="minorEastAsia"/>
          <w:sz w:val="20"/>
        </w:rPr>
        <w:t xml:space="preserve">FcεRIIb (CD23, induit sur les cell B, monocytes, éosinophiles, </w:t>
      </w:r>
      <w:r w:rsidR="004D20C8">
        <w:rPr>
          <w:rFonts w:eastAsiaTheme="minorEastAsia"/>
          <w:sz w:val="20"/>
        </w:rPr>
        <w:t>mastocytes et</w:t>
      </w:r>
      <w:r w:rsidRPr="007832F8">
        <w:rPr>
          <w:rFonts w:eastAsiaTheme="minorEastAsia"/>
          <w:sz w:val="20"/>
        </w:rPr>
        <w:t xml:space="preserve"> cell T par IL-4</w:t>
      </w:r>
      <w:r w:rsidR="004D20C8">
        <w:rPr>
          <w:rFonts w:eastAsiaTheme="minorEastAsia"/>
          <w:sz w:val="20"/>
        </w:rPr>
        <w:t>/1</w:t>
      </w:r>
      <w:r w:rsidRPr="007832F8">
        <w:rPr>
          <w:rFonts w:eastAsiaTheme="minorEastAsia"/>
          <w:sz w:val="20"/>
        </w:rPr>
        <w:t xml:space="preserve">3, downregulé by IFN-γ, IFN-α, TGF-β) </w:t>
      </w:r>
    </w:p>
    <w:p w:rsidR="007832F8" w:rsidRPr="007832F8" w:rsidRDefault="007832F8" w:rsidP="007832F8">
      <w:pPr>
        <w:pStyle w:val="Paragraphedeliste"/>
        <w:numPr>
          <w:ilvl w:val="0"/>
          <w:numId w:val="2"/>
        </w:numPr>
        <w:rPr>
          <w:rFonts w:eastAsiaTheme="minorEastAsia"/>
          <w:sz w:val="20"/>
        </w:rPr>
      </w:pPr>
      <w:r>
        <w:rPr>
          <w:rFonts w:eastAsiaTheme="minorEastAsia"/>
          <w:sz w:val="20"/>
        </w:rPr>
        <w:t xml:space="preserve">Stimule </w:t>
      </w:r>
      <w:r w:rsidRPr="007832F8">
        <w:rPr>
          <w:rFonts w:eastAsiaTheme="minorEastAsia"/>
          <w:sz w:val="20"/>
        </w:rPr>
        <w:t xml:space="preserve">phagocytose de </w:t>
      </w:r>
      <w:r>
        <w:rPr>
          <w:rFonts w:eastAsiaTheme="minorEastAsia"/>
          <w:sz w:val="20"/>
        </w:rPr>
        <w:t xml:space="preserve">complexes IgE-allergène par </w:t>
      </w:r>
      <w:r w:rsidRPr="007832F8">
        <w:rPr>
          <w:rFonts w:eastAsiaTheme="minorEastAsia"/>
          <w:sz w:val="20"/>
        </w:rPr>
        <w:t xml:space="preserve">macrophages, les éosinophiles et plaquettes </w:t>
      </w:r>
    </w:p>
    <w:p w:rsidR="007832F8" w:rsidRPr="007832F8" w:rsidRDefault="007832F8" w:rsidP="007832F8">
      <w:pPr>
        <w:pStyle w:val="Paragraphedeliste"/>
        <w:numPr>
          <w:ilvl w:val="0"/>
          <w:numId w:val="2"/>
        </w:numPr>
        <w:rPr>
          <w:rFonts w:eastAsiaTheme="minorEastAsia"/>
          <w:sz w:val="20"/>
        </w:rPr>
      </w:pPr>
      <w:r w:rsidRPr="007832F8">
        <w:rPr>
          <w:rFonts w:eastAsiaTheme="minorEastAsia"/>
          <w:sz w:val="20"/>
        </w:rPr>
        <w:t xml:space="preserve">Induit une stimulation des macrophages (alvéolaires) et des monocytes dépendante des IgE </w:t>
      </w:r>
    </w:p>
    <w:p w:rsidR="006B09F4" w:rsidRDefault="00AA5B2A" w:rsidP="006B09F4">
      <w:pPr>
        <w:pStyle w:val="Paragraphedeliste"/>
        <w:numPr>
          <w:ilvl w:val="0"/>
          <w:numId w:val="43"/>
        </w:numPr>
        <w:rPr>
          <w:rFonts w:eastAsiaTheme="minorEastAsia"/>
          <w:sz w:val="20"/>
        </w:rPr>
      </w:pPr>
      <w:r>
        <w:rPr>
          <w:rFonts w:eastAsiaTheme="minorEastAsia"/>
          <w:noProof/>
          <w:sz w:val="20"/>
          <w:lang w:eastAsia="fr-CH"/>
        </w:rPr>
        <mc:AlternateContent>
          <mc:Choice Requires="wps">
            <w:drawing>
              <wp:anchor distT="0" distB="0" distL="114300" distR="114300" simplePos="0" relativeHeight="251662336" behindDoc="0" locked="0" layoutInCell="1" allowOverlap="1">
                <wp:simplePos x="0" y="0"/>
                <wp:positionH relativeFrom="column">
                  <wp:posOffset>3827780</wp:posOffset>
                </wp:positionH>
                <wp:positionV relativeFrom="paragraph">
                  <wp:posOffset>59055</wp:posOffset>
                </wp:positionV>
                <wp:extent cx="1097280" cy="269875"/>
                <wp:effectExtent l="3175" t="2540" r="4445" b="381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26987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09F4" w:rsidRPr="006B09F4" w:rsidRDefault="006B09F4">
                            <w:pPr>
                              <w:rPr>
                                <w:sz w:val="18"/>
                              </w:rPr>
                            </w:pPr>
                            <w:r w:rsidRPr="006B09F4">
                              <w:rPr>
                                <w:sz w:val="18"/>
                              </w:rPr>
                              <w:t>↑réponse T</w:t>
                            </w:r>
                            <w:r w:rsidRPr="006B09F4">
                              <w:rPr>
                                <w:sz w:val="18"/>
                                <w:vertAlign w:val="subscript"/>
                              </w:rPr>
                              <w:t>H</w:t>
                            </w:r>
                            <w:r w:rsidRPr="006B09F4">
                              <w:rPr>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301.4pt;margin-top:4.65pt;width:86.4pt;height:2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" filled="f" fillcolor="yellow" stroked="f">
                <v:textbox>
                  <w:txbxContent>
                    <w:p w:rsidR="006B09F4" w:rsidRPr="006B09F4" w:rsidRDefault="006B09F4">
                      <w:pPr>
                        <w:rPr>
                          <w:sz w:val="18"/>
                        </w:rPr>
                      </w:pPr>
                      <w:r w:rsidRPr="006B09F4">
                        <w:rPr>
                          <w:sz w:val="18"/>
                        </w:rPr>
                        <w:t>↑réponse T</w:t>
                      </w:r>
                      <w:r w:rsidRPr="006B09F4">
                        <w:rPr>
                          <w:sz w:val="18"/>
                          <w:vertAlign w:val="subscript"/>
                        </w:rPr>
                        <w:t>H</w:t>
                      </w:r>
                      <w:r w:rsidRPr="006B09F4">
                        <w:rPr>
                          <w:sz w:val="18"/>
                        </w:rPr>
                        <w:t>1</w:t>
                      </w:r>
                    </w:p>
                  </w:txbxContent>
                </v:textbox>
              </v:shape>
            </w:pict>
          </mc:Fallback>
        </mc:AlternateContent>
      </w:r>
      <w:r>
        <w:rPr>
          <w:rFonts w:eastAsiaTheme="minorEastAsia"/>
          <w:noProof/>
          <w:sz w:val="20"/>
          <w:lang w:eastAsia="fr-CH"/>
        </w:rPr>
        <mc:AlternateContent>
          <mc:Choice Requires="wps">
            <w:drawing>
              <wp:anchor distT="0" distB="0" distL="114300" distR="114300" simplePos="0" relativeHeight="251661312" behindDoc="0" locked="0" layoutInCell="1" allowOverlap="1">
                <wp:simplePos x="0" y="0"/>
                <wp:positionH relativeFrom="column">
                  <wp:posOffset>3767455</wp:posOffset>
                </wp:positionH>
                <wp:positionV relativeFrom="paragraph">
                  <wp:posOffset>71120</wp:posOffset>
                </wp:positionV>
                <wp:extent cx="90805" cy="212090"/>
                <wp:effectExtent l="9525" t="5080" r="13970" b="1143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212090"/>
                        </a:xfrm>
                        <a:prstGeom prst="rightBrace">
                          <a:avLst>
                            <a:gd name="adj1" fmla="val 1946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408D01"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5" o:spid="_x0000_s1026" type="#_x0000_t88" style="position:absolute;margin-left:296.65pt;margin-top:5.6pt;width:7.15pt;height:1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"/>
            </w:pict>
          </mc:Fallback>
        </mc:AlternateContent>
      </w:r>
      <w:r w:rsidR="007832F8">
        <w:rPr>
          <w:rFonts w:eastAsiaTheme="minorEastAsia"/>
          <w:sz w:val="20"/>
        </w:rPr>
        <w:t>↑</w:t>
      </w:r>
      <w:r w:rsidR="007832F8" w:rsidRPr="007832F8">
        <w:rPr>
          <w:rFonts w:eastAsiaTheme="minorEastAsia"/>
          <w:sz w:val="20"/>
        </w:rPr>
        <w:t xml:space="preserve">TNFα ou IL-1 mRNA et protéine chez l’asthmatique </w:t>
      </w:r>
    </w:p>
    <w:p w:rsidR="007832F8" w:rsidRPr="006B09F4" w:rsidRDefault="007832F8" w:rsidP="006B09F4">
      <w:pPr>
        <w:pStyle w:val="Paragraphedeliste"/>
        <w:numPr>
          <w:ilvl w:val="0"/>
          <w:numId w:val="43"/>
        </w:numPr>
        <w:rPr>
          <w:rFonts w:eastAsiaTheme="minorEastAsia"/>
          <w:sz w:val="20"/>
        </w:rPr>
      </w:pPr>
      <w:r w:rsidRPr="006B09F4">
        <w:rPr>
          <w:rFonts w:eastAsiaTheme="minorEastAsia"/>
          <w:sz w:val="20"/>
        </w:rPr>
        <w:t xml:space="preserve">Potentialisation par l’IFN-γ </w:t>
      </w:r>
    </w:p>
    <w:p w:rsidR="007832F8" w:rsidRPr="007832F8" w:rsidRDefault="007832F8" w:rsidP="007832F8">
      <w:pPr>
        <w:pStyle w:val="Paragraphedeliste"/>
        <w:numPr>
          <w:ilvl w:val="0"/>
          <w:numId w:val="2"/>
        </w:numPr>
        <w:rPr>
          <w:rFonts w:eastAsiaTheme="minorEastAsia"/>
          <w:sz w:val="20"/>
        </w:rPr>
      </w:pPr>
      <w:r w:rsidRPr="007832F8">
        <w:rPr>
          <w:rFonts w:eastAsiaTheme="minorEastAsia"/>
          <w:sz w:val="20"/>
        </w:rPr>
        <w:t>Interagit avec CD21 : impliqués dans la différentiation des B en plasmocytes sécrétant des IgE</w:t>
      </w:r>
    </w:p>
    <w:p w:rsidR="007832F8" w:rsidRDefault="00681149" w:rsidP="007832F8">
      <w:pPr>
        <w:spacing w:after="0"/>
        <w:rPr>
          <w:rFonts w:eastAsiaTheme="minorEastAsia"/>
          <w:sz w:val="20"/>
        </w:rPr>
      </w:pPr>
      <w:r w:rsidRPr="001650F0">
        <w:rPr>
          <w:rFonts w:eastAsiaTheme="minorEastAsia"/>
          <w:b/>
          <w:sz w:val="20"/>
        </w:rPr>
        <w:t>Médiateurs de la phase précoce</w:t>
      </w:r>
      <w:r>
        <w:rPr>
          <w:rFonts w:eastAsiaTheme="minorEastAsia"/>
          <w:sz w:val="20"/>
        </w:rPr>
        <w:t> :</w:t>
      </w:r>
      <w:r w:rsidR="007832F8">
        <w:rPr>
          <w:rFonts w:eastAsiaTheme="minorEastAsia"/>
          <w:sz w:val="20"/>
        </w:rPr>
        <w:t xml:space="preserve"> 2 </w:t>
      </w:r>
      <w:r w:rsidR="00DC57A9">
        <w:rPr>
          <w:rFonts w:eastAsiaTheme="minorEastAsia"/>
          <w:sz w:val="20"/>
        </w:rPr>
        <w:t>fonctions</w:t>
      </w:r>
    </w:p>
    <w:p w:rsidR="007832F8" w:rsidRDefault="007832F8" w:rsidP="007832F8">
      <w:pPr>
        <w:pStyle w:val="Paragraphedeliste"/>
        <w:numPr>
          <w:ilvl w:val="0"/>
          <w:numId w:val="6"/>
        </w:numPr>
        <w:spacing w:after="0"/>
        <w:rPr>
          <w:rFonts w:eastAsiaTheme="minorEastAsia"/>
          <w:sz w:val="20"/>
        </w:rPr>
      </w:pPr>
      <w:r>
        <w:rPr>
          <w:rFonts w:eastAsiaTheme="minorEastAsia"/>
          <w:sz w:val="20"/>
        </w:rPr>
        <w:t>Libération de facteurs chimiotactiques :</w:t>
      </w:r>
      <w:r w:rsidR="00DC57A9">
        <w:rPr>
          <w:rFonts w:eastAsiaTheme="minorEastAsia"/>
          <w:sz w:val="20"/>
        </w:rPr>
        <w:t xml:space="preserve"> chémokines, LTB4, PAF recrutent neutro et éosinophiles</w:t>
      </w:r>
    </w:p>
    <w:p w:rsidR="00DC57A9" w:rsidRDefault="00DC57A9" w:rsidP="007832F8">
      <w:pPr>
        <w:pStyle w:val="Paragraphedeliste"/>
        <w:numPr>
          <w:ilvl w:val="0"/>
          <w:numId w:val="6"/>
        </w:numPr>
        <w:spacing w:after="0"/>
        <w:rPr>
          <w:rFonts w:eastAsiaTheme="minorEastAsia"/>
          <w:sz w:val="20"/>
        </w:rPr>
      </w:pPr>
      <w:r>
        <w:rPr>
          <w:rFonts w:eastAsiaTheme="minorEastAsia"/>
          <w:sz w:val="20"/>
        </w:rPr>
        <w:t>Activation des cellules épithéliales :</w:t>
      </w:r>
    </w:p>
    <w:p w:rsidR="00DC57A9" w:rsidRDefault="00DC57A9" w:rsidP="00DC57A9">
      <w:pPr>
        <w:pStyle w:val="Paragraphedeliste"/>
        <w:numPr>
          <w:ilvl w:val="0"/>
          <w:numId w:val="7"/>
        </w:numPr>
        <w:spacing w:after="0"/>
        <w:rPr>
          <w:rFonts w:eastAsiaTheme="minorEastAsia"/>
          <w:sz w:val="20"/>
        </w:rPr>
      </w:pPr>
      <w:r>
        <w:rPr>
          <w:rFonts w:eastAsiaTheme="minorEastAsia"/>
          <w:sz w:val="20"/>
        </w:rPr>
        <w:t>Libération de cytokines</w:t>
      </w:r>
    </w:p>
    <w:p w:rsidR="00DC57A9" w:rsidRDefault="00DC57A9" w:rsidP="00DC57A9">
      <w:pPr>
        <w:pStyle w:val="Paragraphedeliste"/>
        <w:numPr>
          <w:ilvl w:val="0"/>
          <w:numId w:val="7"/>
        </w:numPr>
        <w:spacing w:after="0"/>
        <w:rPr>
          <w:rFonts w:eastAsiaTheme="minorEastAsia"/>
          <w:sz w:val="20"/>
        </w:rPr>
      </w:pPr>
      <w:r>
        <w:rPr>
          <w:rFonts w:eastAsiaTheme="minorEastAsia"/>
          <w:sz w:val="20"/>
        </w:rPr>
        <w:t>Expression de molécules d’adhésion comme ICAM</w:t>
      </w:r>
      <w:r w:rsidR="001C0F1A">
        <w:rPr>
          <w:rFonts w:eastAsiaTheme="minorEastAsia"/>
          <w:sz w:val="20"/>
        </w:rPr>
        <w:t>-1</w:t>
      </w:r>
      <w:r>
        <w:rPr>
          <w:rFonts w:eastAsiaTheme="minorEastAsia"/>
          <w:sz w:val="20"/>
        </w:rPr>
        <w:t>/HLA-DR</w:t>
      </w:r>
    </w:p>
    <w:p w:rsidR="00DC57A9" w:rsidRDefault="00DC57A9" w:rsidP="00DC57A9">
      <w:pPr>
        <w:spacing w:after="0"/>
        <w:rPr>
          <w:rFonts w:eastAsiaTheme="minorEastAsia"/>
          <w:sz w:val="20"/>
        </w:rPr>
      </w:pPr>
    </w:p>
    <w:p w:rsidR="00DC57A9" w:rsidRDefault="00DC57A9" w:rsidP="00DC57A9">
      <w:pPr>
        <w:spacing w:after="0"/>
        <w:rPr>
          <w:rFonts w:eastAsiaTheme="minorEastAsia"/>
          <w:sz w:val="20"/>
        </w:rPr>
      </w:pPr>
      <w:r w:rsidRPr="001650F0">
        <w:rPr>
          <w:rFonts w:eastAsiaTheme="minorEastAsia"/>
          <w:b/>
          <w:sz w:val="20"/>
        </w:rPr>
        <w:t>Effets  des médiateurs mastocytaires</w:t>
      </w:r>
      <w:r>
        <w:rPr>
          <w:rFonts w:eastAsiaTheme="minorEastAsia"/>
          <w:sz w:val="20"/>
        </w:rPr>
        <w:t> :</w:t>
      </w:r>
    </w:p>
    <w:p w:rsidR="00DC57A9" w:rsidRDefault="00DC57A9" w:rsidP="00DC57A9">
      <w:pPr>
        <w:pStyle w:val="Paragraphedeliste"/>
        <w:numPr>
          <w:ilvl w:val="0"/>
          <w:numId w:val="6"/>
        </w:numPr>
        <w:spacing w:after="0"/>
        <w:rPr>
          <w:rFonts w:eastAsiaTheme="minorEastAsia"/>
          <w:sz w:val="20"/>
        </w:rPr>
      </w:pPr>
      <w:r>
        <w:rPr>
          <w:rFonts w:eastAsiaTheme="minorEastAsia"/>
          <w:sz w:val="20"/>
        </w:rPr>
        <w:t>COX :</w:t>
      </w:r>
    </w:p>
    <w:p w:rsidR="00DC57A9" w:rsidRDefault="00DC57A9" w:rsidP="00DC57A9">
      <w:pPr>
        <w:pStyle w:val="Paragraphedeliste"/>
        <w:numPr>
          <w:ilvl w:val="0"/>
          <w:numId w:val="8"/>
        </w:numPr>
        <w:spacing w:after="0"/>
        <w:rPr>
          <w:rFonts w:eastAsiaTheme="minorEastAsia"/>
          <w:sz w:val="20"/>
        </w:rPr>
      </w:pPr>
      <w:r>
        <w:rPr>
          <w:rFonts w:eastAsiaTheme="minorEastAsia"/>
          <w:sz w:val="20"/>
        </w:rPr>
        <w:t>PGD2 et TXA2 : bronchoconstriction</w:t>
      </w:r>
    </w:p>
    <w:p w:rsidR="00DC57A9" w:rsidRDefault="00DC57A9" w:rsidP="00DC57A9">
      <w:pPr>
        <w:pStyle w:val="Paragraphedeliste"/>
        <w:numPr>
          <w:ilvl w:val="0"/>
          <w:numId w:val="8"/>
        </w:numPr>
        <w:spacing w:after="0"/>
        <w:rPr>
          <w:rFonts w:eastAsiaTheme="minorEastAsia"/>
          <w:sz w:val="20"/>
        </w:rPr>
      </w:pPr>
      <w:r>
        <w:rPr>
          <w:rFonts w:eastAsiaTheme="minorEastAsia"/>
          <w:sz w:val="20"/>
        </w:rPr>
        <w:t>TXA2 : agrégation plaquettaire</w:t>
      </w:r>
    </w:p>
    <w:p w:rsidR="00DC57A9" w:rsidRDefault="00DC57A9" w:rsidP="00DC57A9">
      <w:pPr>
        <w:pStyle w:val="Paragraphedeliste"/>
        <w:numPr>
          <w:ilvl w:val="0"/>
          <w:numId w:val="6"/>
        </w:numPr>
        <w:spacing w:after="0"/>
        <w:rPr>
          <w:rFonts w:eastAsiaTheme="minorEastAsia"/>
          <w:sz w:val="20"/>
        </w:rPr>
      </w:pPr>
      <w:r>
        <w:rPr>
          <w:rFonts w:eastAsiaTheme="minorEastAsia"/>
          <w:sz w:val="20"/>
        </w:rPr>
        <w:t xml:space="preserve">LOX : notons que tous les LT sauf LTB4 peuvent être inhibés par </w:t>
      </w:r>
      <w:r w:rsidRPr="00DC57A9">
        <w:rPr>
          <w:rFonts w:eastAsiaTheme="minorEastAsia"/>
          <w:sz w:val="20"/>
          <w:highlight w:val="yellow"/>
        </w:rPr>
        <w:t>montelukast</w:t>
      </w:r>
    </w:p>
    <w:p w:rsidR="00DC57A9" w:rsidRDefault="00DC57A9" w:rsidP="00DC57A9">
      <w:pPr>
        <w:pStyle w:val="Paragraphedeliste"/>
        <w:numPr>
          <w:ilvl w:val="0"/>
          <w:numId w:val="9"/>
        </w:numPr>
        <w:spacing w:after="0"/>
        <w:rPr>
          <w:rFonts w:eastAsiaTheme="minorEastAsia"/>
          <w:sz w:val="20"/>
        </w:rPr>
      </w:pPr>
      <w:r w:rsidRPr="00DC57A9">
        <w:rPr>
          <w:rFonts w:eastAsiaTheme="minorEastAsia"/>
          <w:sz w:val="20"/>
        </w:rPr>
        <w:t>LT(C-E)4 : bronchoconstriction, sécr</w:t>
      </w:r>
      <w:r>
        <w:rPr>
          <w:rFonts w:eastAsiaTheme="minorEastAsia"/>
          <w:sz w:val="20"/>
        </w:rPr>
        <w:t>étion de mucus, ↑perméabilité vasculaire</w:t>
      </w:r>
    </w:p>
    <w:p w:rsidR="00DC57A9" w:rsidRPr="00DC57A9" w:rsidRDefault="00DC57A9" w:rsidP="00DC57A9">
      <w:pPr>
        <w:pStyle w:val="Paragraphedeliste"/>
        <w:numPr>
          <w:ilvl w:val="0"/>
          <w:numId w:val="9"/>
        </w:numPr>
        <w:spacing w:after="0"/>
        <w:rPr>
          <w:rFonts w:eastAsiaTheme="minorEastAsia"/>
          <w:sz w:val="20"/>
        </w:rPr>
      </w:pPr>
      <w:r>
        <w:rPr>
          <w:rFonts w:eastAsiaTheme="minorEastAsia"/>
          <w:sz w:val="20"/>
        </w:rPr>
        <w:t>LTB4 : chimiotactisme pour éosino/neutros, mais augmente aussi sécrétion de IL-5 pour assurer la survie des éosinophiles.</w:t>
      </w:r>
    </w:p>
    <w:p w:rsidR="00DC57A9" w:rsidRPr="00DC57A9" w:rsidRDefault="00DC57A9" w:rsidP="00DC57A9">
      <w:pPr>
        <w:spacing w:after="0"/>
        <w:rPr>
          <w:rFonts w:eastAsiaTheme="minorEastAsia"/>
          <w:sz w:val="20"/>
        </w:rPr>
      </w:pPr>
    </w:p>
    <w:p w:rsidR="00204875" w:rsidRDefault="001650F0" w:rsidP="00050219">
      <w:pPr>
        <w:spacing w:after="0"/>
        <w:rPr>
          <w:rFonts w:eastAsiaTheme="minorEastAsia"/>
          <w:sz w:val="20"/>
        </w:rPr>
      </w:pPr>
      <w:r>
        <w:rPr>
          <w:rFonts w:eastAsiaTheme="minorEastAsia"/>
          <w:b/>
          <w:sz w:val="20"/>
        </w:rPr>
        <w:t xml:space="preserve">2. </w:t>
      </w:r>
      <w:r w:rsidR="00681149" w:rsidRPr="00681149">
        <w:rPr>
          <w:rFonts w:eastAsiaTheme="minorEastAsia"/>
          <w:b/>
          <w:sz w:val="20"/>
        </w:rPr>
        <w:t>Phase tardive</w:t>
      </w:r>
      <w:r w:rsidR="00681149">
        <w:rPr>
          <w:rFonts w:eastAsiaTheme="minorEastAsia"/>
          <w:sz w:val="20"/>
        </w:rPr>
        <w:t> :</w:t>
      </w:r>
      <w:r w:rsidR="001C0F1A">
        <w:rPr>
          <w:rFonts w:eastAsiaTheme="minorEastAsia"/>
          <w:sz w:val="20"/>
        </w:rPr>
        <w:t xml:space="preserve"> p</w:t>
      </w:r>
      <w:r w:rsidR="001C0F1A" w:rsidRPr="001C0F1A">
        <w:rPr>
          <w:rFonts w:eastAsiaTheme="minorEastAsia"/>
          <w:sz w:val="20"/>
        </w:rPr>
        <w:t>résente chez 30-40% des patients</w:t>
      </w:r>
      <w:r w:rsidR="001C0F1A">
        <w:rPr>
          <w:rFonts w:eastAsiaTheme="minorEastAsia"/>
          <w:sz w:val="20"/>
        </w:rPr>
        <w:t>.</w:t>
      </w:r>
      <w:r w:rsidR="001C0F1A" w:rsidRPr="001C0F1A">
        <w:rPr>
          <w:rFonts w:eastAsiaTheme="minorEastAsia"/>
          <w:sz w:val="20"/>
        </w:rPr>
        <w:t xml:space="preserve"> Début 4-5 h après l’exposi</w:t>
      </w:r>
      <w:r w:rsidR="001C0F1A">
        <w:rPr>
          <w:rFonts w:eastAsiaTheme="minorEastAsia"/>
          <w:sz w:val="20"/>
        </w:rPr>
        <w:t xml:space="preserve">tion à l’allergène, pic à 6-8 h. </w:t>
      </w:r>
      <w:r w:rsidR="006B09F4">
        <w:rPr>
          <w:rFonts w:eastAsiaTheme="minorEastAsia"/>
          <w:sz w:val="20"/>
        </w:rPr>
        <w:t xml:space="preserve">La sévérité dépend généralement la sévérité initiale. </w:t>
      </w:r>
      <w:r w:rsidR="001C0F1A">
        <w:rPr>
          <w:rFonts w:eastAsiaTheme="minorEastAsia"/>
          <w:sz w:val="20"/>
        </w:rPr>
        <w:t>Peut présenter c</w:t>
      </w:r>
      <w:r w:rsidR="001C0F1A" w:rsidRPr="001C0F1A">
        <w:rPr>
          <w:rFonts w:eastAsiaTheme="minorEastAsia"/>
          <w:sz w:val="20"/>
        </w:rPr>
        <w:t>ongestion nasale &gt;&gt; rhinorrhée</w:t>
      </w:r>
      <w:r w:rsidR="001C0F1A">
        <w:rPr>
          <w:rFonts w:eastAsiaTheme="minorEastAsia"/>
          <w:sz w:val="20"/>
        </w:rPr>
        <w:t>, éternuements, asthme, voire même choc.</w:t>
      </w:r>
      <w:r w:rsidR="006B09F4">
        <w:rPr>
          <w:rFonts w:eastAsiaTheme="minorEastAsia"/>
          <w:sz w:val="20"/>
        </w:rPr>
        <w:t xml:space="preserve"> </w:t>
      </w:r>
      <w:r w:rsidR="00204875">
        <w:rPr>
          <w:rFonts w:eastAsiaTheme="minorEastAsia"/>
          <w:sz w:val="20"/>
        </w:rPr>
        <w:t>Cellules Tmémoire reconnaissent l’antigène et produisent</w:t>
      </w:r>
    </w:p>
    <w:p w:rsidR="00204875" w:rsidRDefault="00204875" w:rsidP="00050219">
      <w:pPr>
        <w:pStyle w:val="Paragraphedeliste"/>
        <w:numPr>
          <w:ilvl w:val="0"/>
          <w:numId w:val="6"/>
        </w:numPr>
        <w:spacing w:after="0"/>
        <w:rPr>
          <w:rFonts w:eastAsiaTheme="minorEastAsia"/>
          <w:sz w:val="20"/>
        </w:rPr>
      </w:pPr>
      <w:r w:rsidRPr="00204875">
        <w:rPr>
          <w:rFonts w:eastAsiaTheme="minorEastAsia"/>
          <w:sz w:val="20"/>
        </w:rPr>
        <w:t>IL-3, GM-SCF</w:t>
      </w:r>
      <w:r w:rsidR="00BE39AA">
        <w:rPr>
          <w:rFonts w:eastAsiaTheme="minorEastAsia"/>
          <w:sz w:val="20"/>
        </w:rPr>
        <w:t> : stimulent prolifération de mastocytes, basophiles et éosinophiles dans moelle osseuse.</w:t>
      </w:r>
    </w:p>
    <w:p w:rsidR="00204875" w:rsidRDefault="00204875" w:rsidP="00204875">
      <w:pPr>
        <w:pStyle w:val="Paragraphedeliste"/>
        <w:numPr>
          <w:ilvl w:val="0"/>
          <w:numId w:val="6"/>
        </w:numPr>
        <w:rPr>
          <w:rFonts w:eastAsiaTheme="minorEastAsia"/>
          <w:sz w:val="20"/>
        </w:rPr>
      </w:pPr>
      <w:r w:rsidRPr="00204875">
        <w:rPr>
          <w:rFonts w:eastAsiaTheme="minorEastAsia"/>
          <w:sz w:val="20"/>
        </w:rPr>
        <w:t>IL-4</w:t>
      </w:r>
      <w:r>
        <w:rPr>
          <w:rFonts w:eastAsiaTheme="minorEastAsia"/>
          <w:sz w:val="20"/>
        </w:rPr>
        <w:t xml:space="preserve"> : permet switch de lymphocytes B </w:t>
      </w:r>
      <w:r w:rsidR="00BE39AA">
        <w:rPr>
          <w:rFonts w:eastAsiaTheme="minorEastAsia"/>
          <w:sz w:val="20"/>
        </w:rPr>
        <w:t>(production d’IgE) et différenciation de cells Th2.</w:t>
      </w:r>
    </w:p>
    <w:p w:rsidR="00204875" w:rsidRDefault="00204875" w:rsidP="00204875">
      <w:pPr>
        <w:pStyle w:val="Paragraphedeliste"/>
        <w:numPr>
          <w:ilvl w:val="0"/>
          <w:numId w:val="6"/>
        </w:numPr>
        <w:rPr>
          <w:rFonts w:eastAsiaTheme="minorEastAsia"/>
          <w:sz w:val="20"/>
        </w:rPr>
      </w:pPr>
      <w:r w:rsidRPr="00204875">
        <w:rPr>
          <w:rFonts w:eastAsiaTheme="minorEastAsia"/>
          <w:sz w:val="20"/>
        </w:rPr>
        <w:t>beaucoup d’IL-5</w:t>
      </w:r>
      <w:r>
        <w:rPr>
          <w:rFonts w:eastAsiaTheme="minorEastAsia"/>
          <w:sz w:val="20"/>
        </w:rPr>
        <w:t> : recrute et maintient survie des éosinophiles</w:t>
      </w:r>
      <w:r w:rsidR="00BE39AA">
        <w:rPr>
          <w:rFonts w:eastAsiaTheme="minorEastAsia"/>
          <w:sz w:val="20"/>
        </w:rPr>
        <w:t xml:space="preserve">. Facilite aussi leur extravasion en augmentant leur expression de VLA4 + expression de VCAM-1 (lie VLA4) sur les parois des vaisseaux. Après leur extravasion les éosinophiles sont activés et migrent par chimiotactisme en direction des mastocytes. On verra notamment une </w:t>
      </w:r>
      <w:r w:rsidR="00050219">
        <w:rPr>
          <w:rFonts w:eastAsiaTheme="minorEastAsia"/>
          <w:sz w:val="20"/>
        </w:rPr>
        <w:t xml:space="preserve">infiltration </w:t>
      </w:r>
      <w:r w:rsidR="00BE39AA">
        <w:rPr>
          <w:rFonts w:eastAsiaTheme="minorEastAsia"/>
          <w:sz w:val="20"/>
        </w:rPr>
        <w:t>d’éosinophiles dans la muqueuse p</w:t>
      </w:r>
      <w:r w:rsidR="00050219">
        <w:rPr>
          <w:rFonts w:eastAsiaTheme="minorEastAsia"/>
          <w:sz w:val="20"/>
        </w:rPr>
        <w:t>ulmonaire après quelques heures</w:t>
      </w:r>
      <w:r w:rsidR="00BE39AA">
        <w:rPr>
          <w:rFonts w:eastAsiaTheme="minorEastAsia"/>
          <w:sz w:val="20"/>
        </w:rPr>
        <w:t>.</w:t>
      </w:r>
    </w:p>
    <w:p w:rsidR="008A4651" w:rsidRDefault="00BE39AA" w:rsidP="00362834">
      <w:pPr>
        <w:spacing w:after="0"/>
        <w:rPr>
          <w:rFonts w:eastAsiaTheme="minorEastAsia"/>
          <w:sz w:val="20"/>
        </w:rPr>
      </w:pPr>
      <w:r w:rsidRPr="001650F0">
        <w:rPr>
          <w:rFonts w:eastAsiaTheme="minorEastAsia"/>
          <w:b/>
          <w:sz w:val="20"/>
        </w:rPr>
        <w:lastRenderedPageBreak/>
        <w:t>Les éosinophiles</w:t>
      </w:r>
      <w:r>
        <w:rPr>
          <w:rFonts w:eastAsiaTheme="minorEastAsia"/>
          <w:sz w:val="20"/>
        </w:rPr>
        <w:t> :</w:t>
      </w:r>
      <w:r w:rsidR="008A4651">
        <w:rPr>
          <w:rFonts w:eastAsiaTheme="minorEastAsia"/>
          <w:sz w:val="20"/>
        </w:rPr>
        <w:t xml:space="preserve"> </w:t>
      </w:r>
      <w:r w:rsidRPr="00362834">
        <w:rPr>
          <w:rFonts w:eastAsiaTheme="minorEastAsia"/>
          <w:sz w:val="20"/>
        </w:rPr>
        <w:t>développe</w:t>
      </w:r>
      <w:r w:rsidR="008A4651">
        <w:rPr>
          <w:rFonts w:eastAsiaTheme="minorEastAsia"/>
          <w:sz w:val="20"/>
        </w:rPr>
        <w:t>me</w:t>
      </w:r>
      <w:r w:rsidRPr="00362834">
        <w:rPr>
          <w:rFonts w:eastAsiaTheme="minorEastAsia"/>
          <w:sz w:val="20"/>
        </w:rPr>
        <w:t>nt dans la moelle, di</w:t>
      </w:r>
      <w:r w:rsidR="008A4651">
        <w:rPr>
          <w:rFonts w:eastAsiaTheme="minorEastAsia"/>
          <w:sz w:val="20"/>
        </w:rPr>
        <w:t>fférenciation et survie locale sous influence de</w:t>
      </w:r>
    </w:p>
    <w:p w:rsidR="00BE39AA" w:rsidRPr="00362834" w:rsidRDefault="008A4651" w:rsidP="00362834">
      <w:pPr>
        <w:spacing w:after="0"/>
        <w:rPr>
          <w:rFonts w:eastAsiaTheme="minorEastAsia"/>
          <w:sz w:val="20"/>
        </w:rPr>
      </w:pPr>
      <w:r w:rsidRPr="00362834">
        <w:rPr>
          <w:rFonts w:eastAsiaTheme="minorEastAsia"/>
          <w:sz w:val="20"/>
        </w:rPr>
        <w:t>l’IL-3</w:t>
      </w:r>
      <w:r>
        <w:rPr>
          <w:rFonts w:eastAsiaTheme="minorEastAsia"/>
          <w:sz w:val="20"/>
        </w:rPr>
        <w:t>/</w:t>
      </w:r>
      <w:r w:rsidRPr="00362834">
        <w:rPr>
          <w:rFonts w:eastAsiaTheme="minorEastAsia"/>
          <w:sz w:val="20"/>
        </w:rPr>
        <w:t>GM-CSF</w:t>
      </w:r>
      <w:r w:rsidR="006B09F4">
        <w:rPr>
          <w:rFonts w:eastAsiaTheme="minorEastAsia"/>
          <w:sz w:val="20"/>
        </w:rPr>
        <w:t>/</w:t>
      </w:r>
      <w:r w:rsidR="00BE39AA" w:rsidRPr="00362834">
        <w:rPr>
          <w:rFonts w:eastAsiaTheme="minorEastAsia"/>
          <w:sz w:val="20"/>
        </w:rPr>
        <w:t>IL-5/</w:t>
      </w:r>
      <w:r w:rsidR="00BE39AA" w:rsidRPr="00362834">
        <w:rPr>
          <w:rFonts w:eastAsiaTheme="minorEastAsia"/>
          <w:sz w:val="20"/>
          <w:highlight w:val="yellow"/>
        </w:rPr>
        <w:t>RANTES</w:t>
      </w:r>
      <w:r w:rsidR="00BE39AA" w:rsidRPr="00362834">
        <w:rPr>
          <w:rFonts w:eastAsiaTheme="minorEastAsia"/>
          <w:sz w:val="20"/>
        </w:rPr>
        <w:t>/ PAF.</w:t>
      </w:r>
    </w:p>
    <w:p w:rsidR="00BE39AA" w:rsidRPr="00796395" w:rsidRDefault="00BE39AA" w:rsidP="00BE39AA">
      <w:pPr>
        <w:pStyle w:val="Paragraphedeliste"/>
        <w:numPr>
          <w:ilvl w:val="0"/>
          <w:numId w:val="6"/>
        </w:numPr>
        <w:spacing w:after="0"/>
        <w:rPr>
          <w:rFonts w:eastAsiaTheme="minorEastAsia"/>
          <w:sz w:val="20"/>
        </w:rPr>
      </w:pPr>
      <w:r w:rsidRPr="00796395">
        <w:rPr>
          <w:rFonts w:eastAsiaTheme="minorEastAsia"/>
          <w:sz w:val="20"/>
        </w:rPr>
        <w:t xml:space="preserve">Sécrètent des protéines cytotoxiques : destruction tissulaire (épithéliale dans l’asthme par ex.) </w:t>
      </w:r>
    </w:p>
    <w:p w:rsidR="00BE39AA" w:rsidRPr="00796395" w:rsidRDefault="00BE39AA" w:rsidP="00796395">
      <w:pPr>
        <w:pStyle w:val="Paragraphedeliste"/>
        <w:numPr>
          <w:ilvl w:val="0"/>
          <w:numId w:val="10"/>
        </w:numPr>
        <w:spacing w:after="0"/>
        <w:rPr>
          <w:rFonts w:eastAsiaTheme="minorEastAsia"/>
          <w:sz w:val="20"/>
        </w:rPr>
      </w:pPr>
      <w:r w:rsidRPr="00796395">
        <w:rPr>
          <w:rFonts w:eastAsiaTheme="minorEastAsia"/>
          <w:sz w:val="20"/>
        </w:rPr>
        <w:t>ECP eosinophil cationic protein</w:t>
      </w:r>
      <w:r w:rsidR="00796395" w:rsidRPr="00796395">
        <w:rPr>
          <w:rFonts w:eastAsiaTheme="minorEastAsia"/>
          <w:sz w:val="20"/>
        </w:rPr>
        <w:t> : ribonucléase neurotoxique. Dosé</w:t>
      </w:r>
      <w:r w:rsidR="00796395">
        <w:rPr>
          <w:rFonts w:eastAsiaTheme="minorEastAsia"/>
          <w:sz w:val="20"/>
        </w:rPr>
        <w:t xml:space="preserve"> chez enfants asthmatiques.</w:t>
      </w:r>
    </w:p>
    <w:p w:rsidR="00BE39AA" w:rsidRPr="00796395" w:rsidRDefault="00BE39AA" w:rsidP="00796395">
      <w:pPr>
        <w:pStyle w:val="Paragraphedeliste"/>
        <w:numPr>
          <w:ilvl w:val="0"/>
          <w:numId w:val="10"/>
        </w:numPr>
        <w:spacing w:after="0"/>
        <w:rPr>
          <w:rFonts w:eastAsiaTheme="minorEastAsia"/>
          <w:sz w:val="20"/>
        </w:rPr>
      </w:pPr>
      <w:r w:rsidRPr="00796395">
        <w:rPr>
          <w:rFonts w:eastAsiaTheme="minorEastAsia"/>
          <w:sz w:val="20"/>
        </w:rPr>
        <w:t>EDN eosinophil-derived neurotoxin</w:t>
      </w:r>
      <w:r w:rsidR="00796395" w:rsidRPr="00796395">
        <w:rPr>
          <w:rFonts w:eastAsiaTheme="minorEastAsia"/>
          <w:sz w:val="20"/>
        </w:rPr>
        <w:t> : ribonucléase neurotoxique (attention aux pa</w:t>
      </w:r>
      <w:r w:rsidR="00796395">
        <w:rPr>
          <w:rFonts w:eastAsiaTheme="minorEastAsia"/>
          <w:sz w:val="20"/>
        </w:rPr>
        <w:t>résies !)</w:t>
      </w:r>
    </w:p>
    <w:p w:rsidR="00BE39AA" w:rsidRPr="00BE39AA" w:rsidRDefault="00BE39AA" w:rsidP="00796395">
      <w:pPr>
        <w:pStyle w:val="Paragraphedeliste"/>
        <w:numPr>
          <w:ilvl w:val="0"/>
          <w:numId w:val="10"/>
        </w:numPr>
        <w:spacing w:after="0"/>
        <w:rPr>
          <w:rFonts w:eastAsiaTheme="minorEastAsia"/>
          <w:sz w:val="20"/>
        </w:rPr>
      </w:pPr>
      <w:r w:rsidRPr="00BE39AA">
        <w:rPr>
          <w:rFonts w:eastAsiaTheme="minorEastAsia"/>
          <w:sz w:val="20"/>
        </w:rPr>
        <w:t>EPO eosinophil peroxydase</w:t>
      </w:r>
      <w:r w:rsidR="00796395">
        <w:rPr>
          <w:rFonts w:eastAsiaTheme="minorEastAsia"/>
          <w:sz w:val="20"/>
        </w:rPr>
        <w:t> : lyse les épithéliums</w:t>
      </w:r>
    </w:p>
    <w:p w:rsidR="00BE39AA" w:rsidRDefault="00BE39AA" w:rsidP="00796395">
      <w:pPr>
        <w:pStyle w:val="Paragraphedeliste"/>
        <w:numPr>
          <w:ilvl w:val="0"/>
          <w:numId w:val="10"/>
        </w:numPr>
        <w:spacing w:after="0"/>
        <w:rPr>
          <w:rFonts w:eastAsiaTheme="minorEastAsia"/>
          <w:sz w:val="20"/>
        </w:rPr>
      </w:pPr>
      <w:r w:rsidRPr="00796395">
        <w:rPr>
          <w:rFonts w:eastAsiaTheme="minorEastAsia"/>
          <w:sz w:val="20"/>
        </w:rPr>
        <w:t>MBP major basic protein</w:t>
      </w:r>
      <w:r w:rsidR="00796395" w:rsidRPr="00796395">
        <w:rPr>
          <w:rFonts w:eastAsiaTheme="minorEastAsia"/>
          <w:sz w:val="20"/>
        </w:rPr>
        <w:t> : lyse cellules épithéliale</w:t>
      </w:r>
      <w:r w:rsidR="00796395">
        <w:rPr>
          <w:rFonts w:eastAsiaTheme="minorEastAsia"/>
          <w:sz w:val="20"/>
        </w:rPr>
        <w:t>s et cause bronchospasmes</w:t>
      </w:r>
    </w:p>
    <w:p w:rsidR="00796395" w:rsidRDefault="00796395" w:rsidP="00362834">
      <w:pPr>
        <w:pStyle w:val="Paragraphedeliste"/>
        <w:numPr>
          <w:ilvl w:val="0"/>
          <w:numId w:val="6"/>
        </w:numPr>
        <w:spacing w:after="0"/>
        <w:rPr>
          <w:rFonts w:eastAsiaTheme="minorEastAsia"/>
          <w:sz w:val="20"/>
        </w:rPr>
      </w:pPr>
      <w:r w:rsidRPr="00362834">
        <w:rPr>
          <w:rFonts w:eastAsiaTheme="minorEastAsia"/>
          <w:sz w:val="20"/>
        </w:rPr>
        <w:t xml:space="preserve">Sécrètent aussi des métabolites de l’acide arachidonique, </w:t>
      </w:r>
      <w:r w:rsidR="00362834" w:rsidRPr="00362834">
        <w:rPr>
          <w:rFonts w:eastAsiaTheme="minorEastAsia"/>
          <w:sz w:val="20"/>
        </w:rPr>
        <w:t xml:space="preserve">PAF, des </w:t>
      </w:r>
      <w:r w:rsidRPr="00362834">
        <w:rPr>
          <w:rFonts w:eastAsiaTheme="minorEastAsia"/>
          <w:sz w:val="20"/>
        </w:rPr>
        <w:t>cytokines</w:t>
      </w:r>
      <w:r w:rsidR="00362834" w:rsidRPr="00362834">
        <w:rPr>
          <w:rFonts w:eastAsiaTheme="minorEastAsia"/>
          <w:sz w:val="20"/>
        </w:rPr>
        <w:t xml:space="preserve"> et</w:t>
      </w:r>
      <w:r w:rsidRPr="00362834">
        <w:rPr>
          <w:rFonts w:eastAsiaTheme="minorEastAsia"/>
          <w:sz w:val="20"/>
        </w:rPr>
        <w:t xml:space="preserve"> c</w:t>
      </w:r>
      <w:r w:rsidR="00362834" w:rsidRPr="00362834">
        <w:rPr>
          <w:rFonts w:eastAsiaTheme="minorEastAsia"/>
          <w:sz w:val="20"/>
        </w:rPr>
        <w:t>hémokines.</w:t>
      </w:r>
    </w:p>
    <w:p w:rsidR="00050219" w:rsidRDefault="00050219" w:rsidP="00050219">
      <w:pPr>
        <w:pStyle w:val="Paragraphedeliste"/>
        <w:spacing w:after="0"/>
        <w:rPr>
          <w:rFonts w:eastAsiaTheme="minorEastAsia"/>
          <w:sz w:val="20"/>
        </w:rPr>
      </w:pPr>
    </w:p>
    <w:p w:rsidR="00362834" w:rsidRPr="00362834" w:rsidRDefault="00362834" w:rsidP="00362834">
      <w:pPr>
        <w:spacing w:after="0"/>
        <w:rPr>
          <w:rFonts w:eastAsiaTheme="minorEastAsia"/>
          <w:sz w:val="20"/>
        </w:rPr>
      </w:pPr>
      <w:r w:rsidRPr="001650F0">
        <w:rPr>
          <w:rFonts w:eastAsiaTheme="minorEastAsia"/>
          <w:b/>
          <w:sz w:val="20"/>
        </w:rPr>
        <w:t>Cascade de l’allergie</w:t>
      </w:r>
      <w:r>
        <w:rPr>
          <w:rFonts w:eastAsiaTheme="minorEastAsia"/>
          <w:sz w:val="20"/>
        </w:rPr>
        <w:t> : la s</w:t>
      </w:r>
      <w:r w:rsidRPr="00362834">
        <w:rPr>
          <w:rFonts w:eastAsiaTheme="minorEastAsia"/>
          <w:sz w:val="20"/>
        </w:rPr>
        <w:t>ensibilisation</w:t>
      </w:r>
      <w:r>
        <w:rPr>
          <w:rFonts w:eastAsiaTheme="minorEastAsia"/>
          <w:sz w:val="20"/>
        </w:rPr>
        <w:t xml:space="preserve"> (processus menant à production d’anticorps contre un allergène)</w:t>
      </w:r>
    </w:p>
    <w:p w:rsidR="005456A8" w:rsidRDefault="00362834" w:rsidP="005456A8">
      <w:pPr>
        <w:pStyle w:val="Paragraphedeliste"/>
        <w:numPr>
          <w:ilvl w:val="0"/>
          <w:numId w:val="6"/>
        </w:numPr>
        <w:spacing w:after="0"/>
        <w:rPr>
          <w:rFonts w:eastAsiaTheme="minorEastAsia"/>
          <w:sz w:val="20"/>
        </w:rPr>
      </w:pPr>
      <w:r>
        <w:rPr>
          <w:rFonts w:eastAsiaTheme="minorEastAsia"/>
          <w:sz w:val="20"/>
        </w:rPr>
        <w:t>Différenciation lymphocytaire : cellules CD4</w:t>
      </w:r>
      <w:r w:rsidRPr="00362834">
        <w:rPr>
          <w:rFonts w:eastAsiaTheme="minorEastAsia"/>
          <w:sz w:val="20"/>
          <w:vertAlign w:val="superscript"/>
        </w:rPr>
        <w:t>+</w:t>
      </w:r>
      <w:r>
        <w:rPr>
          <w:rFonts w:eastAsiaTheme="minorEastAsia"/>
          <w:sz w:val="20"/>
        </w:rPr>
        <w:t xml:space="preserve"> naïves </w:t>
      </w:r>
      <w:r w:rsidR="00D323EC">
        <w:rPr>
          <w:rFonts w:eastAsiaTheme="minorEastAsia"/>
          <w:sz w:val="20"/>
        </w:rPr>
        <w:t xml:space="preserve">produisent IL-2 et INFɣ pour proliférer. Puis </w:t>
      </w:r>
      <w:r>
        <w:rPr>
          <w:rFonts w:eastAsiaTheme="minorEastAsia"/>
          <w:sz w:val="20"/>
        </w:rPr>
        <w:t>se différencient selon stimulation</w:t>
      </w:r>
      <w:r w:rsidR="00D323EC">
        <w:rPr>
          <w:rFonts w:eastAsiaTheme="minorEastAsia"/>
          <w:sz w:val="20"/>
        </w:rPr>
        <w:t> :</w:t>
      </w:r>
    </w:p>
    <w:p w:rsidR="005456A8" w:rsidRDefault="00AA5B2A" w:rsidP="005456A8">
      <w:pPr>
        <w:pStyle w:val="Paragraphedeliste"/>
        <w:numPr>
          <w:ilvl w:val="0"/>
          <w:numId w:val="14"/>
        </w:numPr>
        <w:spacing w:after="0"/>
        <w:rPr>
          <w:rFonts w:eastAsiaTheme="minorEastAsia"/>
          <w:sz w:val="20"/>
        </w:rPr>
      </w:pPr>
      <w:r>
        <w:rPr>
          <w:noProof/>
          <w:lang w:eastAsia="fr-CH"/>
        </w:rPr>
        <mc:AlternateContent>
          <mc:Choice Requires="wps">
            <w:drawing>
              <wp:anchor distT="0" distB="0" distL="114300" distR="114300" simplePos="0" relativeHeight="251660288" behindDoc="0" locked="0" layoutInCell="1" allowOverlap="1">
                <wp:simplePos x="0" y="0"/>
                <wp:positionH relativeFrom="column">
                  <wp:posOffset>4395470</wp:posOffset>
                </wp:positionH>
                <wp:positionV relativeFrom="paragraph">
                  <wp:posOffset>30480</wp:posOffset>
                </wp:positionV>
                <wp:extent cx="1614170" cy="540385"/>
                <wp:effectExtent l="8890" t="9525" r="5715" b="1206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4170" cy="540385"/>
                        </a:xfrm>
                        <a:prstGeom prst="rect">
                          <a:avLst/>
                        </a:prstGeom>
                        <a:solidFill>
                          <a:srgbClr val="FFFFFF"/>
                        </a:solidFill>
                        <a:ln w="9525">
                          <a:solidFill>
                            <a:srgbClr val="000000"/>
                          </a:solidFill>
                          <a:miter lim="800000"/>
                          <a:headEnd/>
                          <a:tailEnd/>
                        </a:ln>
                      </wps:spPr>
                      <wps:txbx>
                        <w:txbxContent>
                          <w:p w:rsidR="00266BAC" w:rsidRPr="005456A8" w:rsidRDefault="00266BAC" w:rsidP="005456A8">
                            <w:pPr>
                              <w:spacing w:after="0"/>
                              <w:jc w:val="center"/>
                              <w:rPr>
                                <w:rFonts w:eastAsiaTheme="minorEastAsia"/>
                                <w:sz w:val="18"/>
                              </w:rPr>
                            </w:pPr>
                            <w:r w:rsidRPr="005456A8">
                              <w:rPr>
                                <w:rFonts w:eastAsiaTheme="minorEastAsia"/>
                                <w:sz w:val="18"/>
                              </w:rPr>
                              <w:t>L’INFɣ ne semble jouer aucun rôle dans la différenciation des lymphocytes T</w:t>
                            </w:r>
                          </w:p>
                          <w:p w:rsidR="00266BAC" w:rsidRPr="005456A8" w:rsidRDefault="00266BAC" w:rsidP="005456A8">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346.1pt;margin-top:2.4pt;width:127.1pt;height:4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">
                <v:textbox>
                  <w:txbxContent>
                    <w:p w:rsidR="00266BAC" w:rsidRPr="005456A8" w:rsidRDefault="00266BAC" w:rsidP="005456A8">
                      <w:pPr>
                        <w:spacing w:after="0"/>
                        <w:jc w:val="center"/>
                        <w:rPr>
                          <w:rFonts w:eastAsiaTheme="minorEastAsia"/>
                          <w:sz w:val="18"/>
                        </w:rPr>
                      </w:pPr>
                      <w:r w:rsidRPr="005456A8">
                        <w:rPr>
                          <w:rFonts w:eastAsiaTheme="minorEastAsia"/>
                          <w:sz w:val="18"/>
                        </w:rPr>
                        <w:t>L’INFɣ ne semble jouer aucun rôle dans la différenciation des lymphocytes T</w:t>
                      </w:r>
                    </w:p>
                    <w:p w:rsidR="00266BAC" w:rsidRPr="005456A8" w:rsidRDefault="00266BAC" w:rsidP="005456A8">
                      <w:pPr>
                        <w:rPr>
                          <w:sz w:val="20"/>
                        </w:rPr>
                      </w:pPr>
                    </w:p>
                  </w:txbxContent>
                </v:textbox>
              </v:shape>
            </w:pict>
          </mc:Fallback>
        </mc:AlternateContent>
      </w:r>
      <w:r w:rsidR="005456A8" w:rsidRPr="005456A8">
        <w:rPr>
          <w:rFonts w:eastAsiaTheme="minorEastAsia"/>
          <w:sz w:val="20"/>
        </w:rPr>
        <w:t>IL-12</w:t>
      </w:r>
      <w:r w:rsidR="005456A8" w:rsidRPr="005456A8">
        <w:rPr>
          <w:rFonts w:eastAsiaTheme="minorEastAsia"/>
          <w:sz w:val="20"/>
        </w:rPr>
        <w:tab/>
        <w:t xml:space="preserve">→ </w:t>
      </w:r>
      <w:r w:rsidR="005456A8" w:rsidRPr="005456A8">
        <w:rPr>
          <w:rFonts w:eastAsiaTheme="minorEastAsia"/>
          <w:sz w:val="20"/>
        </w:rPr>
        <w:tab/>
        <w:t>Th1</w:t>
      </w:r>
      <w:r w:rsidR="005456A8" w:rsidRPr="005456A8">
        <w:rPr>
          <w:rFonts w:eastAsiaTheme="minorEastAsia"/>
          <w:sz w:val="20"/>
        </w:rPr>
        <w:tab/>
        <w:t>→</w:t>
      </w:r>
      <w:r w:rsidR="005456A8" w:rsidRPr="005456A8">
        <w:rPr>
          <w:rFonts w:eastAsiaTheme="minorEastAsia"/>
          <w:sz w:val="20"/>
        </w:rPr>
        <w:tab/>
        <w:t>IL-2 + INFɣ (non-allergie)</w:t>
      </w:r>
    </w:p>
    <w:p w:rsidR="005456A8" w:rsidRDefault="00362834" w:rsidP="005456A8">
      <w:pPr>
        <w:pStyle w:val="Paragraphedeliste"/>
        <w:numPr>
          <w:ilvl w:val="0"/>
          <w:numId w:val="14"/>
        </w:numPr>
        <w:spacing w:after="0"/>
        <w:rPr>
          <w:rFonts w:eastAsiaTheme="minorEastAsia"/>
          <w:sz w:val="20"/>
        </w:rPr>
      </w:pPr>
      <w:r w:rsidRPr="005456A8">
        <w:rPr>
          <w:rFonts w:eastAsiaTheme="minorEastAsia"/>
          <w:sz w:val="20"/>
        </w:rPr>
        <w:t xml:space="preserve">IL-17 </w:t>
      </w:r>
      <w:r w:rsidRPr="005456A8">
        <w:rPr>
          <w:rFonts w:eastAsiaTheme="minorEastAsia"/>
          <w:sz w:val="20"/>
        </w:rPr>
        <w:tab/>
        <w:t>→</w:t>
      </w:r>
      <w:r w:rsidRPr="005456A8">
        <w:rPr>
          <w:rFonts w:eastAsiaTheme="minorEastAsia"/>
          <w:sz w:val="20"/>
        </w:rPr>
        <w:tab/>
        <w:t xml:space="preserve">Th17 </w:t>
      </w:r>
      <w:r w:rsidRPr="005456A8">
        <w:rPr>
          <w:rFonts w:eastAsiaTheme="minorEastAsia"/>
          <w:sz w:val="20"/>
        </w:rPr>
        <w:tab/>
        <w:t>→</w:t>
      </w:r>
      <w:r w:rsidRPr="005456A8">
        <w:rPr>
          <w:rFonts w:eastAsiaTheme="minorEastAsia"/>
          <w:sz w:val="20"/>
        </w:rPr>
        <w:tab/>
        <w:t>IL-17</w:t>
      </w:r>
    </w:p>
    <w:p w:rsidR="005456A8" w:rsidRDefault="005456A8" w:rsidP="005456A8">
      <w:pPr>
        <w:pStyle w:val="Paragraphedeliste"/>
        <w:numPr>
          <w:ilvl w:val="0"/>
          <w:numId w:val="14"/>
        </w:numPr>
        <w:spacing w:after="0"/>
        <w:rPr>
          <w:rFonts w:eastAsiaTheme="minorEastAsia"/>
          <w:sz w:val="20"/>
        </w:rPr>
      </w:pPr>
      <w:r w:rsidRPr="005456A8">
        <w:rPr>
          <w:rFonts w:eastAsiaTheme="minorEastAsia"/>
          <w:sz w:val="20"/>
        </w:rPr>
        <w:t xml:space="preserve">IL-4 </w:t>
      </w:r>
      <w:r w:rsidRPr="005456A8">
        <w:rPr>
          <w:rFonts w:eastAsiaTheme="minorEastAsia"/>
          <w:sz w:val="20"/>
        </w:rPr>
        <w:tab/>
        <w:t>→</w:t>
      </w:r>
      <w:r w:rsidRPr="005456A8">
        <w:rPr>
          <w:rFonts w:eastAsiaTheme="minorEastAsia"/>
          <w:sz w:val="20"/>
        </w:rPr>
        <w:tab/>
        <w:t xml:space="preserve">Th2 </w:t>
      </w:r>
      <w:r w:rsidRPr="005456A8">
        <w:rPr>
          <w:rFonts w:eastAsiaTheme="minorEastAsia"/>
          <w:sz w:val="20"/>
        </w:rPr>
        <w:tab/>
        <w:t xml:space="preserve">→ </w:t>
      </w:r>
      <w:r w:rsidRPr="005456A8">
        <w:rPr>
          <w:rFonts w:eastAsiaTheme="minorEastAsia"/>
          <w:sz w:val="20"/>
        </w:rPr>
        <w:tab/>
        <w:t>IL-4/5/10/13 (allergie)</w:t>
      </w:r>
    </w:p>
    <w:p w:rsidR="005456A8" w:rsidRDefault="005456A8" w:rsidP="005456A8">
      <w:pPr>
        <w:spacing w:after="0"/>
        <w:rPr>
          <w:rFonts w:eastAsiaTheme="minorEastAsia"/>
          <w:sz w:val="20"/>
        </w:rPr>
      </w:pPr>
    </w:p>
    <w:p w:rsidR="005456A8" w:rsidRDefault="005456A8" w:rsidP="005456A8">
      <w:pPr>
        <w:spacing w:after="0"/>
        <w:rPr>
          <w:rFonts w:eastAsiaTheme="minorEastAsia"/>
          <w:sz w:val="20"/>
        </w:rPr>
      </w:pPr>
      <w:r>
        <w:rPr>
          <w:rFonts w:eastAsiaTheme="minorEastAsia"/>
          <w:sz w:val="20"/>
        </w:rPr>
        <w:t>Rappel</w:t>
      </w:r>
      <w:r w:rsidR="00D323EC">
        <w:rPr>
          <w:rFonts w:eastAsiaTheme="minorEastAsia"/>
          <w:sz w:val="20"/>
        </w:rPr>
        <w:t> : différenciation des cellules Th2 nécessite expression du facteur de transcription Gata3 (via activation de STAT6) et l’activation de STAT5.</w:t>
      </w:r>
    </w:p>
    <w:p w:rsidR="005456A8" w:rsidRDefault="005456A8" w:rsidP="00362834">
      <w:pPr>
        <w:pStyle w:val="Paragraphedeliste"/>
        <w:spacing w:after="0"/>
        <w:ind w:left="1440"/>
        <w:rPr>
          <w:rFonts w:eastAsiaTheme="minorEastAsia"/>
          <w:sz w:val="20"/>
        </w:rPr>
      </w:pPr>
    </w:p>
    <w:p w:rsidR="00362834" w:rsidRDefault="00362834" w:rsidP="00362834">
      <w:pPr>
        <w:pStyle w:val="Paragraphedeliste"/>
        <w:numPr>
          <w:ilvl w:val="0"/>
          <w:numId w:val="6"/>
        </w:numPr>
        <w:spacing w:after="0"/>
        <w:rPr>
          <w:rFonts w:eastAsiaTheme="minorEastAsia"/>
          <w:sz w:val="20"/>
          <w:lang w:val="de-CH"/>
        </w:rPr>
      </w:pPr>
      <w:r w:rsidRPr="00362834">
        <w:rPr>
          <w:rFonts w:eastAsiaTheme="minorEastAsia"/>
          <w:sz w:val="20"/>
          <w:lang w:val="de-CH"/>
        </w:rPr>
        <w:t>Interleukines et switch des Ig :</w:t>
      </w:r>
    </w:p>
    <w:p w:rsidR="005456A8" w:rsidRPr="005456A8" w:rsidRDefault="005456A8" w:rsidP="005456A8">
      <w:pPr>
        <w:pStyle w:val="Paragraphedeliste"/>
        <w:spacing w:after="0"/>
        <w:ind w:firstLine="696"/>
        <w:rPr>
          <w:rFonts w:eastAsiaTheme="minorEastAsia"/>
          <w:sz w:val="20"/>
          <w:lang w:val="en-GB"/>
        </w:rPr>
      </w:pPr>
      <w:r>
        <w:rPr>
          <w:rFonts w:eastAsiaTheme="minorEastAsia"/>
          <w:sz w:val="20"/>
          <w:lang w:val="en-GB"/>
        </w:rPr>
        <w:t>T</w:t>
      </w:r>
      <w:r w:rsidRPr="00362834">
        <w:rPr>
          <w:rFonts w:eastAsiaTheme="minorEastAsia"/>
          <w:sz w:val="20"/>
          <w:lang w:val="en-GB"/>
        </w:rPr>
        <w:t>h1</w:t>
      </w:r>
      <w:r w:rsidRPr="00362834">
        <w:rPr>
          <w:rFonts w:eastAsiaTheme="minorEastAsia"/>
          <w:sz w:val="20"/>
          <w:lang w:val="en-GB"/>
        </w:rPr>
        <w:tab/>
        <w:t>→</w:t>
      </w:r>
      <w:r w:rsidRPr="00362834">
        <w:rPr>
          <w:rFonts w:eastAsiaTheme="minorEastAsia"/>
          <w:sz w:val="20"/>
          <w:lang w:val="en-GB"/>
        </w:rPr>
        <w:tab/>
        <w:t>switch IgG</w:t>
      </w:r>
      <w:r>
        <w:rPr>
          <w:rFonts w:eastAsiaTheme="minorEastAsia"/>
          <w:sz w:val="20"/>
          <w:lang w:val="en-GB"/>
        </w:rPr>
        <w:t xml:space="preserve"> (IL-4 &lt; </w:t>
      </w:r>
      <w:r w:rsidRPr="004D20C8">
        <w:rPr>
          <w:rFonts w:eastAsiaTheme="minorEastAsia"/>
          <w:sz w:val="20"/>
          <w:lang w:val="en-GB"/>
        </w:rPr>
        <w:t>INFɣ</w:t>
      </w:r>
      <w:r>
        <w:rPr>
          <w:rFonts w:eastAsiaTheme="minorEastAsia"/>
          <w:sz w:val="20"/>
          <w:lang w:val="en-GB"/>
        </w:rPr>
        <w:t>)</w:t>
      </w:r>
    </w:p>
    <w:p w:rsidR="00362834" w:rsidRPr="00362834" w:rsidRDefault="00362834" w:rsidP="00362834">
      <w:pPr>
        <w:pStyle w:val="Paragraphedeliste"/>
        <w:spacing w:after="0"/>
        <w:ind w:left="1416"/>
        <w:rPr>
          <w:rFonts w:eastAsiaTheme="minorEastAsia"/>
          <w:sz w:val="20"/>
          <w:lang w:val="en-GB"/>
        </w:rPr>
      </w:pPr>
      <w:r w:rsidRPr="00362834">
        <w:rPr>
          <w:rFonts w:eastAsiaTheme="minorEastAsia"/>
          <w:sz w:val="20"/>
          <w:lang w:val="en-GB"/>
        </w:rPr>
        <w:t>Th2</w:t>
      </w:r>
      <w:r w:rsidRPr="00362834">
        <w:rPr>
          <w:rFonts w:eastAsiaTheme="minorEastAsia"/>
          <w:sz w:val="20"/>
          <w:lang w:val="en-GB"/>
        </w:rPr>
        <w:tab/>
        <w:t>→</w:t>
      </w:r>
      <w:r w:rsidRPr="00362834">
        <w:rPr>
          <w:rFonts w:eastAsiaTheme="minorEastAsia"/>
          <w:sz w:val="20"/>
          <w:lang w:val="en-GB"/>
        </w:rPr>
        <w:tab/>
        <w:t>switch IgE (</w:t>
      </w:r>
      <w:r>
        <w:rPr>
          <w:rFonts w:eastAsiaTheme="minorEastAsia"/>
          <w:sz w:val="20"/>
          <w:lang w:val="en-GB"/>
        </w:rPr>
        <w:t xml:space="preserve">IL-4 &gt; </w:t>
      </w:r>
      <w:r w:rsidR="004D20C8" w:rsidRPr="004D20C8">
        <w:rPr>
          <w:rFonts w:eastAsiaTheme="minorEastAsia"/>
          <w:sz w:val="20"/>
          <w:lang w:val="en-GB"/>
        </w:rPr>
        <w:t>INFɣ</w:t>
      </w:r>
      <w:r w:rsidR="004D20C8">
        <w:rPr>
          <w:rFonts w:eastAsiaTheme="minorEastAsia"/>
          <w:sz w:val="20"/>
          <w:lang w:val="en-GB"/>
        </w:rPr>
        <w:t>)</w:t>
      </w:r>
    </w:p>
    <w:p w:rsidR="004D20C8" w:rsidRPr="005456A8" w:rsidRDefault="004D20C8" w:rsidP="004D20C8">
      <w:pPr>
        <w:spacing w:after="0"/>
        <w:rPr>
          <w:rFonts w:eastAsiaTheme="minorEastAsia"/>
          <w:sz w:val="20"/>
          <w:lang w:val="en-GB"/>
        </w:rPr>
      </w:pPr>
    </w:p>
    <w:p w:rsidR="005456A8" w:rsidRDefault="004D20C8" w:rsidP="005456A8">
      <w:pPr>
        <w:spacing w:after="0"/>
        <w:ind w:firstLine="708"/>
        <w:rPr>
          <w:rFonts w:eastAsiaTheme="minorEastAsia"/>
          <w:sz w:val="20"/>
        </w:rPr>
      </w:pPr>
      <w:r w:rsidRPr="004D20C8">
        <w:rPr>
          <w:rFonts w:eastAsiaTheme="minorEastAsia"/>
          <w:sz w:val="20"/>
        </w:rPr>
        <w:t>Pour que le switch IgE a</w:t>
      </w:r>
      <w:r>
        <w:rPr>
          <w:rFonts w:eastAsiaTheme="minorEastAsia"/>
          <w:sz w:val="20"/>
        </w:rPr>
        <w:t>it lieu, il faut 3 signaux : si on a juste les 2 premier</w:t>
      </w:r>
      <w:r w:rsidR="005456A8">
        <w:rPr>
          <w:rFonts w:eastAsiaTheme="minorEastAsia"/>
          <w:sz w:val="20"/>
        </w:rPr>
        <w:t>s, il y aura transcription mais</w:t>
      </w:r>
    </w:p>
    <w:p w:rsidR="004D20C8" w:rsidRDefault="004D20C8" w:rsidP="005456A8">
      <w:pPr>
        <w:spacing w:after="0"/>
        <w:ind w:firstLine="708"/>
        <w:rPr>
          <w:rFonts w:eastAsiaTheme="minorEastAsia"/>
          <w:sz w:val="20"/>
        </w:rPr>
      </w:pPr>
      <w:r>
        <w:rPr>
          <w:rFonts w:eastAsiaTheme="minorEastAsia"/>
          <w:sz w:val="20"/>
        </w:rPr>
        <w:t>pas traduction en protéine.</w:t>
      </w:r>
    </w:p>
    <w:p w:rsidR="004D20C8" w:rsidRDefault="004D20C8" w:rsidP="004D20C8">
      <w:pPr>
        <w:pStyle w:val="Paragraphedeliste"/>
        <w:spacing w:after="0"/>
        <w:rPr>
          <w:rFonts w:eastAsiaTheme="minorEastAsia"/>
          <w:sz w:val="20"/>
        </w:rPr>
      </w:pPr>
      <w:r>
        <w:rPr>
          <w:rFonts w:eastAsiaTheme="minorEastAsia"/>
          <w:sz w:val="20"/>
        </w:rPr>
        <w:t>1. Présentation de l’antigène à la cellule B par cellule T</w:t>
      </w:r>
    </w:p>
    <w:p w:rsidR="004D20C8" w:rsidRDefault="004D20C8" w:rsidP="004D20C8">
      <w:pPr>
        <w:pStyle w:val="Paragraphedeliste"/>
        <w:spacing w:after="0"/>
        <w:rPr>
          <w:rFonts w:eastAsiaTheme="minorEastAsia"/>
          <w:sz w:val="20"/>
        </w:rPr>
      </w:pPr>
      <w:r>
        <w:rPr>
          <w:rFonts w:eastAsiaTheme="minorEastAsia"/>
          <w:sz w:val="20"/>
        </w:rPr>
        <w:t>2. Production de IL-4 par cell T et liaison à récepteur de IL-4 sur cellule B</w:t>
      </w:r>
    </w:p>
    <w:p w:rsidR="004D20C8" w:rsidRDefault="004D20C8" w:rsidP="004D20C8">
      <w:pPr>
        <w:pStyle w:val="Paragraphedeliste"/>
        <w:spacing w:after="0"/>
        <w:rPr>
          <w:rFonts w:eastAsiaTheme="minorEastAsia"/>
          <w:sz w:val="20"/>
        </w:rPr>
      </w:pPr>
      <w:r>
        <w:rPr>
          <w:rFonts w:eastAsiaTheme="minorEastAsia"/>
          <w:sz w:val="20"/>
        </w:rPr>
        <w:t xml:space="preserve">3. </w:t>
      </w:r>
      <w:r w:rsidRPr="004D20C8">
        <w:rPr>
          <w:rFonts w:eastAsiaTheme="minorEastAsia"/>
          <w:sz w:val="20"/>
        </w:rPr>
        <w:t>Liaison de CD40 (</w:t>
      </w:r>
      <w:r w:rsidR="006B09F4">
        <w:rPr>
          <w:rFonts w:eastAsiaTheme="minorEastAsia"/>
          <w:sz w:val="20"/>
        </w:rPr>
        <w:t>B</w:t>
      </w:r>
      <w:r w:rsidRPr="004D20C8">
        <w:rPr>
          <w:rFonts w:eastAsiaTheme="minorEastAsia"/>
          <w:sz w:val="20"/>
        </w:rPr>
        <w:t>) – CD40L (</w:t>
      </w:r>
      <w:r w:rsidR="006B09F4">
        <w:rPr>
          <w:rFonts w:eastAsiaTheme="minorEastAsia"/>
          <w:sz w:val="20"/>
        </w:rPr>
        <w:t>T</w:t>
      </w:r>
      <w:r w:rsidRPr="004D20C8">
        <w:rPr>
          <w:rFonts w:eastAsiaTheme="minorEastAsia"/>
          <w:sz w:val="20"/>
        </w:rPr>
        <w:t>) : on a tenté d’empêcher cette interaction pour prévenir fabrication d’IgE mais trop dangereux, cause des thromboses.</w:t>
      </w:r>
      <w:r>
        <w:rPr>
          <w:rFonts w:eastAsiaTheme="minorEastAsia"/>
          <w:sz w:val="20"/>
        </w:rPr>
        <w:t xml:space="preserve"> Autre alternative de costimulation : CD23-CD21</w:t>
      </w:r>
      <w:r w:rsidR="006B09F4">
        <w:rPr>
          <w:rFonts w:eastAsiaTheme="minorEastAsia"/>
          <w:sz w:val="20"/>
        </w:rPr>
        <w:t xml:space="preserve"> (=FcεRIIb)</w:t>
      </w:r>
      <w:r>
        <w:rPr>
          <w:rFonts w:eastAsiaTheme="minorEastAsia"/>
          <w:sz w:val="20"/>
        </w:rPr>
        <w:t>.</w:t>
      </w:r>
    </w:p>
    <w:p w:rsidR="004D20C8" w:rsidRPr="004D20C8" w:rsidRDefault="004D20C8" w:rsidP="004D20C8">
      <w:pPr>
        <w:spacing w:after="0"/>
        <w:rPr>
          <w:rFonts w:eastAsiaTheme="minorEastAsia"/>
          <w:sz w:val="20"/>
        </w:rPr>
      </w:pPr>
      <w:r>
        <w:rPr>
          <w:rFonts w:eastAsiaTheme="minorEastAsia"/>
          <w:sz w:val="20"/>
        </w:rPr>
        <w:t>NB : les mastocytes produisent aussi CD40</w:t>
      </w:r>
      <w:r w:rsidR="006B09F4">
        <w:rPr>
          <w:rFonts w:eastAsiaTheme="minorEastAsia"/>
          <w:sz w:val="20"/>
        </w:rPr>
        <w:t>L</w:t>
      </w:r>
      <w:r>
        <w:rPr>
          <w:rFonts w:eastAsiaTheme="minorEastAsia"/>
          <w:sz w:val="20"/>
        </w:rPr>
        <w:t xml:space="preserve"> et IL-4, donc contribuent aussi au switch (i.e. à la sensibilisation)</w:t>
      </w:r>
    </w:p>
    <w:p w:rsidR="004D20C8" w:rsidRDefault="004D20C8" w:rsidP="004D20C8">
      <w:pPr>
        <w:spacing w:after="0"/>
        <w:rPr>
          <w:rFonts w:eastAsiaTheme="minorEastAsia"/>
          <w:sz w:val="20"/>
        </w:rPr>
      </w:pPr>
    </w:p>
    <w:p w:rsidR="004D20C8" w:rsidRPr="004D20C8" w:rsidRDefault="004D20C8" w:rsidP="004D20C8">
      <w:pPr>
        <w:spacing w:after="0"/>
        <w:rPr>
          <w:rFonts w:eastAsiaTheme="minorEastAsia"/>
          <w:sz w:val="20"/>
        </w:rPr>
      </w:pPr>
      <w:r w:rsidRPr="001650F0">
        <w:rPr>
          <w:rFonts w:eastAsiaTheme="minorEastAsia"/>
          <w:b/>
          <w:sz w:val="20"/>
        </w:rPr>
        <w:t>L’interleukine 4</w:t>
      </w:r>
      <w:r>
        <w:rPr>
          <w:rFonts w:eastAsiaTheme="minorEastAsia"/>
          <w:sz w:val="20"/>
        </w:rPr>
        <w:t> :</w:t>
      </w:r>
      <w:r w:rsidRPr="004D20C8">
        <w:t xml:space="preserve"> </w:t>
      </w:r>
      <w:r w:rsidRPr="004D20C8">
        <w:rPr>
          <w:rFonts w:eastAsiaTheme="minorEastAsia"/>
          <w:sz w:val="20"/>
        </w:rPr>
        <w:t xml:space="preserve">IL-4 est nécessaire à la production des IgE </w:t>
      </w:r>
      <w:r w:rsidR="005456A8">
        <w:rPr>
          <w:rFonts w:eastAsiaTheme="minorEastAsia"/>
          <w:sz w:val="20"/>
        </w:rPr>
        <w:t>et la p</w:t>
      </w:r>
      <w:r w:rsidRPr="004D20C8">
        <w:rPr>
          <w:rFonts w:eastAsiaTheme="minorEastAsia"/>
          <w:sz w:val="20"/>
        </w:rPr>
        <w:t xml:space="preserve">rincipale cytokine stimulant le switch des </w:t>
      </w:r>
    </w:p>
    <w:p w:rsidR="004D20C8" w:rsidRDefault="00D323EC" w:rsidP="004D20C8">
      <w:pPr>
        <w:spacing w:after="0"/>
        <w:rPr>
          <w:rFonts w:eastAsiaTheme="minorEastAsia"/>
          <w:sz w:val="20"/>
        </w:rPr>
      </w:pPr>
      <w:r>
        <w:rPr>
          <w:rFonts w:eastAsiaTheme="minorEastAsia"/>
          <w:sz w:val="20"/>
        </w:rPr>
        <w:t>B vers l’</w:t>
      </w:r>
      <w:r w:rsidR="004D20C8" w:rsidRPr="004D20C8">
        <w:rPr>
          <w:rFonts w:eastAsiaTheme="minorEastAsia"/>
          <w:sz w:val="20"/>
        </w:rPr>
        <w:t>IgE</w:t>
      </w:r>
      <w:r w:rsidR="005456A8">
        <w:rPr>
          <w:rFonts w:eastAsiaTheme="minorEastAsia"/>
          <w:sz w:val="20"/>
        </w:rPr>
        <w:t xml:space="preserve">. </w:t>
      </w:r>
      <w:r>
        <w:rPr>
          <w:rFonts w:eastAsiaTheme="minorEastAsia"/>
          <w:sz w:val="20"/>
        </w:rPr>
        <w:t>On ne sait pas très bien exactement quelles sont les sources de l’IL-4, voici ce que semble actuellement indiquer la recherche :</w:t>
      </w:r>
    </w:p>
    <w:p w:rsidR="00D323EC" w:rsidRDefault="00D323EC" w:rsidP="00D323EC">
      <w:pPr>
        <w:pStyle w:val="Paragraphedeliste"/>
        <w:numPr>
          <w:ilvl w:val="0"/>
          <w:numId w:val="6"/>
        </w:numPr>
        <w:spacing w:after="0"/>
        <w:rPr>
          <w:rFonts w:eastAsiaTheme="minorEastAsia"/>
          <w:sz w:val="20"/>
        </w:rPr>
      </w:pPr>
      <w:r>
        <w:rPr>
          <w:rFonts w:eastAsiaTheme="minorEastAsia"/>
          <w:sz w:val="20"/>
        </w:rPr>
        <w:t>Les cellules Tnaïves (Th0) stimulées en présence de l’antigène</w:t>
      </w:r>
    </w:p>
    <w:p w:rsidR="00D323EC" w:rsidRDefault="00D323EC" w:rsidP="00D323EC">
      <w:pPr>
        <w:pStyle w:val="Paragraphedeliste"/>
        <w:numPr>
          <w:ilvl w:val="0"/>
          <w:numId w:val="6"/>
        </w:numPr>
        <w:spacing w:after="0"/>
        <w:rPr>
          <w:rFonts w:eastAsiaTheme="minorEastAsia"/>
          <w:sz w:val="20"/>
        </w:rPr>
      </w:pPr>
      <w:r>
        <w:rPr>
          <w:rFonts w:eastAsiaTheme="minorEastAsia"/>
          <w:sz w:val="20"/>
        </w:rPr>
        <w:t xml:space="preserve">NK T cells (faible </w:t>
      </w:r>
      <w:r w:rsidR="001650F0">
        <w:rPr>
          <w:rFonts w:eastAsiaTheme="minorEastAsia"/>
          <w:sz w:val="20"/>
        </w:rPr>
        <w:t>population de cells T combinant les propriétés de cellules T et NK)</w:t>
      </w:r>
    </w:p>
    <w:p w:rsidR="001650F0" w:rsidRDefault="001650F0" w:rsidP="00D323EC">
      <w:pPr>
        <w:pStyle w:val="Paragraphedeliste"/>
        <w:numPr>
          <w:ilvl w:val="0"/>
          <w:numId w:val="6"/>
        </w:numPr>
        <w:spacing w:after="0"/>
        <w:rPr>
          <w:rFonts w:eastAsiaTheme="minorEastAsia"/>
          <w:sz w:val="20"/>
        </w:rPr>
      </w:pPr>
      <w:r>
        <w:rPr>
          <w:rFonts w:eastAsiaTheme="minorEastAsia"/>
          <w:sz w:val="20"/>
        </w:rPr>
        <w:t>Mastocytes, basophiles et éosinophiles</w:t>
      </w:r>
    </w:p>
    <w:p w:rsidR="001650F0" w:rsidRDefault="001650F0" w:rsidP="00D323EC">
      <w:pPr>
        <w:pStyle w:val="Paragraphedeliste"/>
        <w:numPr>
          <w:ilvl w:val="0"/>
          <w:numId w:val="6"/>
        </w:numPr>
        <w:spacing w:after="0"/>
        <w:rPr>
          <w:rFonts w:eastAsiaTheme="minorEastAsia"/>
          <w:sz w:val="20"/>
        </w:rPr>
      </w:pPr>
      <w:r>
        <w:rPr>
          <w:rFonts w:eastAsiaTheme="minorEastAsia"/>
          <w:sz w:val="20"/>
        </w:rPr>
        <w:t>Nuocytes = natural helper cells : activées par IL-25/33, intermédiaires entre cellules T naïves et épithéliales. Lymphocytes « innés » faisant spontanément sécrétion de cytokines Th2.</w:t>
      </w:r>
    </w:p>
    <w:p w:rsidR="001650F0" w:rsidRDefault="001650F0" w:rsidP="001650F0">
      <w:pPr>
        <w:spacing w:after="0"/>
        <w:rPr>
          <w:rFonts w:eastAsiaTheme="minorEastAsia"/>
          <w:sz w:val="20"/>
        </w:rPr>
      </w:pPr>
    </w:p>
    <w:p w:rsidR="00C46160" w:rsidRDefault="001650F0" w:rsidP="00267741">
      <w:pPr>
        <w:spacing w:after="0"/>
        <w:rPr>
          <w:rFonts w:eastAsiaTheme="minorEastAsia"/>
          <w:sz w:val="20"/>
        </w:rPr>
      </w:pPr>
      <w:r w:rsidRPr="001650F0">
        <w:rPr>
          <w:rFonts w:eastAsiaTheme="minorEastAsia"/>
          <w:b/>
          <w:sz w:val="20"/>
        </w:rPr>
        <w:t>L’interleukine 12</w:t>
      </w:r>
      <w:r>
        <w:rPr>
          <w:rFonts w:eastAsiaTheme="minorEastAsia"/>
          <w:sz w:val="20"/>
        </w:rPr>
        <w:t> : h</w:t>
      </w:r>
      <w:r w:rsidRPr="001650F0">
        <w:rPr>
          <w:rFonts w:eastAsiaTheme="minorEastAsia"/>
          <w:sz w:val="20"/>
        </w:rPr>
        <w:t>étérodimère de 70 kD</w:t>
      </w:r>
      <w:r>
        <w:rPr>
          <w:rFonts w:eastAsiaTheme="minorEastAsia"/>
          <w:sz w:val="20"/>
        </w:rPr>
        <w:t xml:space="preserve"> (chaines β1 + β2 ; β1 constitutive. Présence de β</w:t>
      </w:r>
      <w:r w:rsidR="006B09F4">
        <w:rPr>
          <w:rFonts w:eastAsiaTheme="minorEastAsia"/>
          <w:sz w:val="20"/>
        </w:rPr>
        <w:t>2</w:t>
      </w:r>
      <w:r>
        <w:rPr>
          <w:rFonts w:eastAsiaTheme="minorEastAsia"/>
          <w:sz w:val="20"/>
        </w:rPr>
        <w:t xml:space="preserve"> = Th1, absence = Th2). Produite essentiellement par</w:t>
      </w:r>
      <w:r w:rsidR="006B09F4">
        <w:rPr>
          <w:rFonts w:eastAsiaTheme="minorEastAsia"/>
          <w:sz w:val="20"/>
        </w:rPr>
        <w:t xml:space="preserve"> </w:t>
      </w:r>
      <w:r w:rsidRPr="001650F0">
        <w:rPr>
          <w:rFonts w:eastAsiaTheme="minorEastAsia"/>
          <w:sz w:val="20"/>
        </w:rPr>
        <w:t>C</w:t>
      </w:r>
      <w:r w:rsidR="006B09F4">
        <w:rPr>
          <w:rFonts w:eastAsiaTheme="minorEastAsia"/>
          <w:sz w:val="20"/>
        </w:rPr>
        <w:t>D</w:t>
      </w:r>
      <w:r w:rsidRPr="001650F0">
        <w:rPr>
          <w:rFonts w:eastAsiaTheme="minorEastAsia"/>
          <w:sz w:val="20"/>
        </w:rPr>
        <w:t>s, monocytes</w:t>
      </w:r>
      <w:r>
        <w:rPr>
          <w:rFonts w:eastAsiaTheme="minorEastAsia"/>
          <w:sz w:val="20"/>
        </w:rPr>
        <w:t xml:space="preserve"> et</w:t>
      </w:r>
      <w:r w:rsidRPr="001650F0">
        <w:rPr>
          <w:rFonts w:eastAsiaTheme="minorEastAsia"/>
          <w:sz w:val="20"/>
        </w:rPr>
        <w:t xml:space="preserve"> cell</w:t>
      </w:r>
      <w:r>
        <w:rPr>
          <w:rFonts w:eastAsiaTheme="minorEastAsia"/>
          <w:sz w:val="20"/>
        </w:rPr>
        <w:t>s</w:t>
      </w:r>
      <w:r w:rsidRPr="001650F0">
        <w:rPr>
          <w:rFonts w:eastAsiaTheme="minorEastAsia"/>
          <w:sz w:val="20"/>
        </w:rPr>
        <w:t xml:space="preserve"> B</w:t>
      </w:r>
      <w:r>
        <w:rPr>
          <w:rFonts w:eastAsiaTheme="minorEastAsia"/>
          <w:sz w:val="20"/>
        </w:rPr>
        <w:t>. Représente le</w:t>
      </w:r>
      <w:r w:rsidRPr="001650F0">
        <w:rPr>
          <w:rFonts w:eastAsiaTheme="minorEastAsia"/>
          <w:sz w:val="20"/>
        </w:rPr>
        <w:t xml:space="preserve"> plus puissant stimulateur des NK</w:t>
      </w:r>
      <w:r>
        <w:rPr>
          <w:rFonts w:eastAsiaTheme="minorEastAsia"/>
          <w:sz w:val="20"/>
        </w:rPr>
        <w:t xml:space="preserve"> et s</w:t>
      </w:r>
      <w:r w:rsidRPr="001650F0">
        <w:rPr>
          <w:rFonts w:eastAsiaTheme="minorEastAsia"/>
          <w:sz w:val="20"/>
        </w:rPr>
        <w:t>timule la différentiation des CD4+ T naïfs en cellules T</w:t>
      </w:r>
      <w:r w:rsidR="006B09F4">
        <w:rPr>
          <w:rFonts w:eastAsiaTheme="minorEastAsia"/>
          <w:sz w:val="20"/>
        </w:rPr>
        <w:t>h</w:t>
      </w:r>
      <w:r w:rsidRPr="001650F0">
        <w:rPr>
          <w:rFonts w:eastAsiaTheme="minorEastAsia"/>
          <w:sz w:val="20"/>
        </w:rPr>
        <w:t>1</w:t>
      </w:r>
      <w:r>
        <w:rPr>
          <w:rFonts w:eastAsiaTheme="minorEastAsia"/>
          <w:sz w:val="20"/>
        </w:rPr>
        <w:t xml:space="preserve">. Cave : si on essaie de contrer une réaction allergique en augmentant la réaction Th1, on empire au lieu d’améliorer la situation. </w:t>
      </w:r>
      <w:r w:rsidR="00050219">
        <w:rPr>
          <w:rFonts w:eastAsiaTheme="minorEastAsia"/>
          <w:sz w:val="20"/>
        </w:rPr>
        <w:t>La solution réside dans les IL-10/IRA et autres agents anti-inflammatoires.</w:t>
      </w:r>
    </w:p>
    <w:p w:rsidR="00C46160" w:rsidRDefault="00C46160">
      <w:pPr>
        <w:rPr>
          <w:rFonts w:eastAsiaTheme="minorEastAsia"/>
          <w:sz w:val="20"/>
        </w:rPr>
      </w:pPr>
      <w:r>
        <w:rPr>
          <w:rFonts w:eastAsiaTheme="minorEastAsia"/>
          <w:sz w:val="20"/>
        </w:rPr>
        <w:br w:type="page"/>
      </w:r>
    </w:p>
    <w:p w:rsidR="005F12BC" w:rsidRDefault="005F12BC" w:rsidP="005F12BC">
      <w:pPr>
        <w:jc w:val="center"/>
        <w:rPr>
          <w:b/>
        </w:rPr>
      </w:pPr>
      <w:r>
        <w:rPr>
          <w:b/>
        </w:rPr>
        <w:lastRenderedPageBreak/>
        <w:t>Allergie alimentaire</w:t>
      </w:r>
    </w:p>
    <w:p w:rsidR="000638E3" w:rsidRPr="000638E3" w:rsidRDefault="005F12BC">
      <w:pPr>
        <w:rPr>
          <w:sz w:val="20"/>
          <w:szCs w:val="20"/>
        </w:rPr>
      </w:pPr>
      <w:r w:rsidRPr="005F12BC">
        <w:rPr>
          <w:b/>
          <w:sz w:val="20"/>
          <w:u w:val="single"/>
        </w:rPr>
        <w:t>Introduction</w:t>
      </w:r>
      <w:r w:rsidRPr="005F12BC">
        <w:rPr>
          <w:sz w:val="20"/>
        </w:rPr>
        <w:t> :</w:t>
      </w:r>
      <w:r>
        <w:rPr>
          <w:sz w:val="20"/>
        </w:rPr>
        <w:t xml:space="preserve"> l’a</w:t>
      </w:r>
      <w:r w:rsidRPr="000638E3">
        <w:rPr>
          <w:sz w:val="20"/>
          <w:szCs w:val="20"/>
        </w:rPr>
        <w:t xml:space="preserve">llergie alimentaire est la première à apparaître (pic d’incidence à 6 mois de vie). Associe souvent atteintes cutanées, respiratoires, digestives, voire même systémiques (choc anaphylactique). Mais il peut tout à fait y avoir des patients avec </w:t>
      </w:r>
      <w:r w:rsidR="000638E3" w:rsidRPr="000638E3">
        <w:rPr>
          <w:sz w:val="20"/>
          <w:szCs w:val="20"/>
        </w:rPr>
        <w:t xml:space="preserve">symptomatologie atypique (ex </w:t>
      </w:r>
      <w:r w:rsidRPr="000638E3">
        <w:rPr>
          <w:sz w:val="20"/>
          <w:szCs w:val="20"/>
        </w:rPr>
        <w:t>aucun symptôme digestif</w:t>
      </w:r>
      <w:r w:rsidR="000638E3" w:rsidRPr="000638E3">
        <w:rPr>
          <w:sz w:val="20"/>
          <w:szCs w:val="20"/>
        </w:rPr>
        <w:t xml:space="preserve"> ou manifestation d’urticaire isolée).</w:t>
      </w:r>
    </w:p>
    <w:p w:rsidR="000638E3" w:rsidRPr="000638E3" w:rsidRDefault="000638E3" w:rsidP="000638E3">
      <w:pPr>
        <w:spacing w:after="0"/>
        <w:rPr>
          <w:sz w:val="20"/>
          <w:szCs w:val="20"/>
        </w:rPr>
      </w:pPr>
      <w:r w:rsidRPr="000638E3">
        <w:rPr>
          <w:b/>
          <w:sz w:val="20"/>
          <w:szCs w:val="20"/>
        </w:rPr>
        <w:t>Allergènes alimentaires les plus fréquents (80%)</w:t>
      </w:r>
      <w:r w:rsidRPr="000638E3">
        <w:rPr>
          <w:sz w:val="20"/>
          <w:szCs w:val="20"/>
        </w:rPr>
        <w:t> :</w:t>
      </w:r>
    </w:p>
    <w:tbl>
      <w:tblPr>
        <w:tblStyle w:val="Grilledutableau"/>
        <w:tblW w:w="9924" w:type="dxa"/>
        <w:tblInd w:w="-318" w:type="dxa"/>
        <w:tblLook w:val="04A0" w:firstRow="1" w:lastRow="0" w:firstColumn="1" w:lastColumn="0" w:noHBand="0" w:noVBand="1"/>
      </w:tblPr>
      <w:tblGrid>
        <w:gridCol w:w="2694"/>
        <w:gridCol w:w="4111"/>
        <w:gridCol w:w="3119"/>
      </w:tblGrid>
      <w:tr w:rsidR="000638E3" w:rsidRPr="000638E3" w:rsidTr="00212201">
        <w:tc>
          <w:tcPr>
            <w:tcW w:w="2694" w:type="dxa"/>
            <w:tcBorders>
              <w:top w:val="nil"/>
              <w:left w:val="nil"/>
              <w:bottom w:val="nil"/>
              <w:right w:val="nil"/>
            </w:tcBorders>
          </w:tcPr>
          <w:p w:rsidR="000638E3" w:rsidRPr="000638E3" w:rsidRDefault="000638E3" w:rsidP="000638E3">
            <w:pPr>
              <w:pStyle w:val="Paragraphedeliste"/>
              <w:numPr>
                <w:ilvl w:val="0"/>
                <w:numId w:val="6"/>
              </w:numPr>
              <w:rPr>
                <w:sz w:val="20"/>
                <w:szCs w:val="20"/>
              </w:rPr>
            </w:pPr>
            <w:r w:rsidRPr="000638E3">
              <w:rPr>
                <w:sz w:val="20"/>
                <w:szCs w:val="20"/>
              </w:rPr>
              <w:t>Œufs</w:t>
            </w:r>
          </w:p>
          <w:p w:rsidR="000638E3" w:rsidRDefault="000638E3" w:rsidP="000638E3">
            <w:pPr>
              <w:pStyle w:val="Paragraphedeliste"/>
              <w:numPr>
                <w:ilvl w:val="0"/>
                <w:numId w:val="6"/>
              </w:numPr>
              <w:rPr>
                <w:sz w:val="20"/>
                <w:szCs w:val="20"/>
              </w:rPr>
            </w:pPr>
            <w:r>
              <w:rPr>
                <w:sz w:val="20"/>
                <w:szCs w:val="20"/>
              </w:rPr>
              <w:t>Poissons et crustacés</w:t>
            </w:r>
          </w:p>
          <w:p w:rsidR="000638E3" w:rsidRDefault="000638E3" w:rsidP="000638E3">
            <w:pPr>
              <w:pStyle w:val="Paragraphedeliste"/>
              <w:numPr>
                <w:ilvl w:val="0"/>
                <w:numId w:val="6"/>
              </w:numPr>
              <w:rPr>
                <w:sz w:val="20"/>
                <w:szCs w:val="20"/>
              </w:rPr>
            </w:pPr>
            <w:r w:rsidRPr="000638E3">
              <w:rPr>
                <w:sz w:val="20"/>
                <w:szCs w:val="20"/>
              </w:rPr>
              <w:t>Lait</w:t>
            </w:r>
          </w:p>
          <w:p w:rsidR="000638E3" w:rsidRPr="000638E3" w:rsidRDefault="000638E3" w:rsidP="000638E3">
            <w:pPr>
              <w:pStyle w:val="Paragraphedeliste"/>
              <w:numPr>
                <w:ilvl w:val="0"/>
                <w:numId w:val="6"/>
              </w:numPr>
              <w:rPr>
                <w:sz w:val="20"/>
                <w:szCs w:val="20"/>
              </w:rPr>
            </w:pPr>
            <w:r>
              <w:rPr>
                <w:sz w:val="20"/>
                <w:szCs w:val="20"/>
              </w:rPr>
              <w:t>Blé/soja/sésame</w:t>
            </w:r>
          </w:p>
        </w:tc>
        <w:tc>
          <w:tcPr>
            <w:tcW w:w="4111" w:type="dxa"/>
            <w:tcBorders>
              <w:top w:val="nil"/>
              <w:left w:val="nil"/>
              <w:bottom w:val="nil"/>
              <w:right w:val="single" w:sz="4" w:space="0" w:color="auto"/>
            </w:tcBorders>
          </w:tcPr>
          <w:p w:rsidR="000638E3" w:rsidRDefault="000638E3" w:rsidP="000638E3">
            <w:pPr>
              <w:pStyle w:val="Paragraphedeliste"/>
              <w:numPr>
                <w:ilvl w:val="0"/>
                <w:numId w:val="6"/>
              </w:numPr>
              <w:rPr>
                <w:sz w:val="20"/>
                <w:szCs w:val="20"/>
              </w:rPr>
            </w:pPr>
            <w:r>
              <w:rPr>
                <w:sz w:val="20"/>
                <w:szCs w:val="20"/>
              </w:rPr>
              <w:t>Oléagineux (noix/noisettes/amandes)</w:t>
            </w:r>
          </w:p>
          <w:p w:rsidR="000638E3" w:rsidRDefault="000638E3" w:rsidP="000638E3">
            <w:pPr>
              <w:pStyle w:val="Paragraphedeliste"/>
              <w:numPr>
                <w:ilvl w:val="0"/>
                <w:numId w:val="6"/>
              </w:numPr>
              <w:rPr>
                <w:sz w:val="20"/>
                <w:szCs w:val="20"/>
              </w:rPr>
            </w:pPr>
            <w:r>
              <w:rPr>
                <w:sz w:val="20"/>
                <w:szCs w:val="20"/>
              </w:rPr>
              <w:t>Légumineux (cacahouètes)</w:t>
            </w:r>
          </w:p>
          <w:p w:rsidR="000638E3" w:rsidRPr="000638E3" w:rsidRDefault="000638E3" w:rsidP="000638E3">
            <w:pPr>
              <w:pStyle w:val="Paragraphedeliste"/>
              <w:numPr>
                <w:ilvl w:val="0"/>
                <w:numId w:val="6"/>
              </w:numPr>
              <w:rPr>
                <w:sz w:val="20"/>
                <w:szCs w:val="20"/>
              </w:rPr>
            </w:pPr>
            <w:r>
              <w:rPr>
                <w:sz w:val="20"/>
                <w:szCs w:val="20"/>
              </w:rPr>
              <w:t>Légumes et fruits (céleri/carottes/pommes)</w:t>
            </w:r>
          </w:p>
        </w:tc>
        <w:tc>
          <w:tcPr>
            <w:tcW w:w="3119" w:type="dxa"/>
            <w:tcBorders>
              <w:left w:val="single" w:sz="4" w:space="0" w:color="auto"/>
            </w:tcBorders>
          </w:tcPr>
          <w:p w:rsidR="000638E3" w:rsidRPr="000638E3" w:rsidRDefault="000638E3" w:rsidP="00212201">
            <w:pPr>
              <w:jc w:val="center"/>
              <w:rPr>
                <w:sz w:val="20"/>
                <w:szCs w:val="20"/>
              </w:rPr>
            </w:pPr>
            <w:r>
              <w:rPr>
                <w:sz w:val="20"/>
                <w:szCs w:val="20"/>
              </w:rPr>
              <w:t>L’a</w:t>
            </w:r>
            <w:r w:rsidRPr="000638E3">
              <w:rPr>
                <w:sz w:val="20"/>
                <w:szCs w:val="20"/>
              </w:rPr>
              <w:t xml:space="preserve">llergénicité peut être modifiée par le </w:t>
            </w:r>
            <w:r>
              <w:rPr>
                <w:sz w:val="20"/>
                <w:szCs w:val="20"/>
              </w:rPr>
              <w:t xml:space="preserve"> </w:t>
            </w:r>
            <w:r w:rsidRPr="000638E3">
              <w:rPr>
                <w:sz w:val="20"/>
                <w:szCs w:val="20"/>
              </w:rPr>
              <w:t>conditionnement ou l</w:t>
            </w:r>
            <w:r w:rsidR="00212201">
              <w:rPr>
                <w:sz w:val="20"/>
                <w:szCs w:val="20"/>
              </w:rPr>
              <w:t xml:space="preserve">a cuisson. </w:t>
            </w:r>
            <w:r>
              <w:rPr>
                <w:sz w:val="20"/>
                <w:szCs w:val="20"/>
              </w:rPr>
              <w:t>Mais c</w:t>
            </w:r>
            <w:r w:rsidRPr="000638E3">
              <w:rPr>
                <w:sz w:val="20"/>
                <w:szCs w:val="20"/>
              </w:rPr>
              <w:t>e n’est pas une garantie de sécurité</w:t>
            </w:r>
            <w:r>
              <w:rPr>
                <w:sz w:val="20"/>
                <w:szCs w:val="20"/>
              </w:rPr>
              <w:t> !</w:t>
            </w:r>
          </w:p>
        </w:tc>
      </w:tr>
    </w:tbl>
    <w:p w:rsidR="00B309C0" w:rsidRDefault="00B309C0" w:rsidP="00F04CAD">
      <w:pPr>
        <w:spacing w:after="0"/>
        <w:rPr>
          <w:b/>
          <w:sz w:val="20"/>
          <w:szCs w:val="20"/>
        </w:rPr>
      </w:pPr>
    </w:p>
    <w:p w:rsidR="00B309C0" w:rsidRDefault="00B309C0" w:rsidP="00F04CAD">
      <w:pPr>
        <w:spacing w:after="0"/>
        <w:rPr>
          <w:sz w:val="20"/>
          <w:szCs w:val="20"/>
        </w:rPr>
      </w:pPr>
      <w:r>
        <w:rPr>
          <w:b/>
          <w:sz w:val="20"/>
          <w:szCs w:val="20"/>
        </w:rPr>
        <w:t>Tolérance alimentaire</w:t>
      </w:r>
      <w:r w:rsidRPr="00B309C0">
        <w:rPr>
          <w:sz w:val="20"/>
          <w:szCs w:val="20"/>
        </w:rPr>
        <w:t> :</w:t>
      </w:r>
    </w:p>
    <w:p w:rsidR="00B309C0" w:rsidRPr="00B309C0" w:rsidRDefault="00B309C0" w:rsidP="00F04CAD">
      <w:pPr>
        <w:pStyle w:val="Paragraphedeliste"/>
        <w:numPr>
          <w:ilvl w:val="0"/>
          <w:numId w:val="6"/>
        </w:numPr>
        <w:spacing w:after="0"/>
        <w:rPr>
          <w:sz w:val="20"/>
          <w:szCs w:val="20"/>
        </w:rPr>
      </w:pPr>
      <w:r w:rsidRPr="00B309C0">
        <w:rPr>
          <w:sz w:val="20"/>
          <w:szCs w:val="20"/>
        </w:rPr>
        <w:t xml:space="preserve">Obtenue le plus souvent chez l’enfant après l’âge de 4 à 7 ans </w:t>
      </w:r>
    </w:p>
    <w:p w:rsidR="00B309C0" w:rsidRPr="00B309C0" w:rsidRDefault="00B309C0" w:rsidP="00B309C0">
      <w:pPr>
        <w:pStyle w:val="Paragraphedeliste"/>
        <w:numPr>
          <w:ilvl w:val="0"/>
          <w:numId w:val="38"/>
        </w:numPr>
        <w:rPr>
          <w:sz w:val="20"/>
          <w:szCs w:val="20"/>
        </w:rPr>
      </w:pPr>
      <w:r w:rsidRPr="00B309C0">
        <w:rPr>
          <w:sz w:val="20"/>
          <w:szCs w:val="20"/>
        </w:rPr>
        <w:t xml:space="preserve">lait (80-90%) </w:t>
      </w:r>
    </w:p>
    <w:p w:rsidR="00B309C0" w:rsidRPr="00B309C0" w:rsidRDefault="00B309C0" w:rsidP="00B309C0">
      <w:pPr>
        <w:pStyle w:val="Paragraphedeliste"/>
        <w:numPr>
          <w:ilvl w:val="0"/>
          <w:numId w:val="37"/>
        </w:numPr>
        <w:rPr>
          <w:sz w:val="20"/>
          <w:szCs w:val="20"/>
        </w:rPr>
      </w:pPr>
      <w:r w:rsidRPr="00B309C0">
        <w:rPr>
          <w:sz w:val="20"/>
          <w:szCs w:val="20"/>
        </w:rPr>
        <w:t xml:space="preserve">soja (50%)  </w:t>
      </w:r>
    </w:p>
    <w:p w:rsidR="00B309C0" w:rsidRPr="00B309C0" w:rsidRDefault="00B309C0" w:rsidP="00B309C0">
      <w:pPr>
        <w:pStyle w:val="Paragraphedeliste"/>
        <w:numPr>
          <w:ilvl w:val="0"/>
          <w:numId w:val="6"/>
        </w:numPr>
        <w:rPr>
          <w:sz w:val="20"/>
          <w:szCs w:val="20"/>
        </w:rPr>
      </w:pPr>
      <w:r w:rsidRPr="00B309C0">
        <w:rPr>
          <w:sz w:val="20"/>
          <w:szCs w:val="20"/>
        </w:rPr>
        <w:t xml:space="preserve">Avec certains allergènes, la tolérance peut être difficile à obtenir! Cave réintroduction! </w:t>
      </w:r>
    </w:p>
    <w:p w:rsidR="00B309C0" w:rsidRPr="00B309C0" w:rsidRDefault="00B309C0" w:rsidP="00B309C0">
      <w:pPr>
        <w:pStyle w:val="Paragraphedeliste"/>
        <w:numPr>
          <w:ilvl w:val="0"/>
          <w:numId w:val="36"/>
        </w:numPr>
        <w:rPr>
          <w:sz w:val="20"/>
          <w:szCs w:val="20"/>
        </w:rPr>
      </w:pPr>
      <w:r w:rsidRPr="00B309C0">
        <w:rPr>
          <w:sz w:val="20"/>
          <w:szCs w:val="20"/>
        </w:rPr>
        <w:t xml:space="preserve">cacahouètes, noix </w:t>
      </w:r>
    </w:p>
    <w:p w:rsidR="00F04CAD" w:rsidRPr="00F04CAD" w:rsidRDefault="00E20F5D" w:rsidP="00B309C0">
      <w:pPr>
        <w:pStyle w:val="Paragraphedeliste"/>
        <w:numPr>
          <w:ilvl w:val="0"/>
          <w:numId w:val="35"/>
        </w:numPr>
        <w:rPr>
          <w:b/>
          <w:sz w:val="20"/>
          <w:szCs w:val="20"/>
        </w:rPr>
      </w:pPr>
      <w:r>
        <w:rPr>
          <w:sz w:val="20"/>
          <w:szCs w:val="20"/>
        </w:rPr>
        <w:t>poissons</w:t>
      </w:r>
      <w:r w:rsidR="00B309C0" w:rsidRPr="00B309C0">
        <w:rPr>
          <w:sz w:val="20"/>
          <w:szCs w:val="20"/>
        </w:rPr>
        <w:t xml:space="preserve">, crustacés </w:t>
      </w:r>
    </w:p>
    <w:p w:rsidR="00D41191" w:rsidRDefault="009C01A8" w:rsidP="00D41191">
      <w:pPr>
        <w:spacing w:after="0"/>
        <w:rPr>
          <w:sz w:val="20"/>
          <w:szCs w:val="20"/>
        </w:rPr>
      </w:pPr>
      <w:r w:rsidRPr="009C01A8">
        <w:rPr>
          <w:b/>
          <w:sz w:val="20"/>
          <w:szCs w:val="20"/>
        </w:rPr>
        <w:t>Mécanismes de la tolérance alimentaire</w:t>
      </w:r>
      <w:r w:rsidR="00D41191">
        <w:rPr>
          <w:b/>
          <w:sz w:val="20"/>
          <w:szCs w:val="20"/>
        </w:rPr>
        <w:t> </w:t>
      </w:r>
      <w:r w:rsidR="00D41191">
        <w:rPr>
          <w:sz w:val="20"/>
          <w:szCs w:val="20"/>
        </w:rPr>
        <w:t>:</w:t>
      </w:r>
    </w:p>
    <w:p w:rsidR="00D41191" w:rsidRDefault="00D41191" w:rsidP="00D41191">
      <w:pPr>
        <w:pStyle w:val="Paragraphedeliste"/>
        <w:numPr>
          <w:ilvl w:val="0"/>
          <w:numId w:val="6"/>
        </w:numPr>
        <w:spacing w:after="0"/>
        <w:rPr>
          <w:sz w:val="20"/>
          <w:szCs w:val="20"/>
        </w:rPr>
      </w:pPr>
      <w:r w:rsidRPr="00D41191">
        <w:rPr>
          <w:sz w:val="20"/>
          <w:szCs w:val="20"/>
        </w:rPr>
        <w:t>Repose sur l’induction de</w:t>
      </w:r>
      <w:r>
        <w:rPr>
          <w:sz w:val="20"/>
          <w:szCs w:val="20"/>
        </w:rPr>
        <w:t xml:space="preserve"> cells</w:t>
      </w:r>
      <w:r w:rsidRPr="00D41191">
        <w:rPr>
          <w:sz w:val="20"/>
          <w:szCs w:val="20"/>
        </w:rPr>
        <w:t xml:space="preserve"> T régulatrices</w:t>
      </w:r>
      <w:r>
        <w:rPr>
          <w:sz w:val="20"/>
          <w:szCs w:val="20"/>
        </w:rPr>
        <w:t> : la capacité de l’organisme de générer ces cellules dépend de facteurs génétiques et environnementaux.</w:t>
      </w:r>
    </w:p>
    <w:p w:rsidR="00D41191" w:rsidRDefault="00D41191" w:rsidP="00D41191">
      <w:pPr>
        <w:pStyle w:val="Paragraphedeliste"/>
        <w:numPr>
          <w:ilvl w:val="0"/>
          <w:numId w:val="35"/>
        </w:numPr>
        <w:rPr>
          <w:sz w:val="20"/>
          <w:szCs w:val="20"/>
        </w:rPr>
      </w:pPr>
      <w:r w:rsidRPr="00D41191">
        <w:rPr>
          <w:sz w:val="20"/>
          <w:szCs w:val="20"/>
        </w:rPr>
        <w:t>TH3 producteurs de TGFβ</w:t>
      </w:r>
      <w:r>
        <w:rPr>
          <w:sz w:val="20"/>
          <w:szCs w:val="20"/>
        </w:rPr>
        <w:t> : réduit l’inflammation au niveau digestif mais mauvais au niveau pulmonaire car induit fibrose sous-muqueuse</w:t>
      </w:r>
      <w:r w:rsidR="00822618">
        <w:rPr>
          <w:sz w:val="20"/>
          <w:szCs w:val="20"/>
        </w:rPr>
        <w:t>. IL-10 a rôle prédominant dans le poumon.</w:t>
      </w:r>
    </w:p>
    <w:p w:rsidR="00822618" w:rsidRDefault="00822618" w:rsidP="00822618">
      <w:pPr>
        <w:pStyle w:val="Paragraphedeliste"/>
        <w:numPr>
          <w:ilvl w:val="0"/>
          <w:numId w:val="35"/>
        </w:numPr>
        <w:rPr>
          <w:sz w:val="20"/>
          <w:szCs w:val="20"/>
        </w:rPr>
      </w:pPr>
      <w:r>
        <w:rPr>
          <w:sz w:val="20"/>
          <w:szCs w:val="20"/>
        </w:rPr>
        <w:t xml:space="preserve">CD8 reg et </w:t>
      </w:r>
      <w:r w:rsidR="00D41191">
        <w:rPr>
          <w:sz w:val="20"/>
          <w:szCs w:val="20"/>
        </w:rPr>
        <w:t xml:space="preserve">TR1 producteurs d’IL-10 : </w:t>
      </w:r>
      <w:r>
        <w:rPr>
          <w:sz w:val="20"/>
          <w:szCs w:val="20"/>
        </w:rPr>
        <w:t xml:space="preserve">IL-10 est un </w:t>
      </w:r>
      <w:r w:rsidR="00D41191">
        <w:rPr>
          <w:sz w:val="20"/>
          <w:szCs w:val="20"/>
        </w:rPr>
        <w:t>homodimère</w:t>
      </w:r>
      <w:r>
        <w:rPr>
          <w:sz w:val="20"/>
          <w:szCs w:val="20"/>
        </w:rPr>
        <w:t xml:space="preserve"> qui…</w:t>
      </w:r>
    </w:p>
    <w:p w:rsidR="00822618" w:rsidRDefault="00822618" w:rsidP="00822618">
      <w:pPr>
        <w:pStyle w:val="Paragraphedeliste"/>
        <w:numPr>
          <w:ilvl w:val="0"/>
          <w:numId w:val="41"/>
        </w:numPr>
        <w:rPr>
          <w:sz w:val="20"/>
          <w:szCs w:val="20"/>
        </w:rPr>
      </w:pPr>
      <w:r w:rsidRPr="00822618">
        <w:rPr>
          <w:sz w:val="20"/>
          <w:szCs w:val="20"/>
        </w:rPr>
        <w:t xml:space="preserve">Inhibe la fonction présentatrice des monocytes </w:t>
      </w:r>
      <w:r>
        <w:rPr>
          <w:sz w:val="20"/>
          <w:szCs w:val="20"/>
        </w:rPr>
        <w:t>par ↓</w:t>
      </w:r>
      <w:r w:rsidRPr="00822618">
        <w:rPr>
          <w:sz w:val="20"/>
          <w:szCs w:val="20"/>
        </w:rPr>
        <w:t xml:space="preserve">expression of MHC II </w:t>
      </w:r>
      <w:r>
        <w:rPr>
          <w:sz w:val="20"/>
          <w:szCs w:val="20"/>
        </w:rPr>
        <w:t xml:space="preserve">et </w:t>
      </w:r>
      <w:r w:rsidRPr="00822618">
        <w:rPr>
          <w:sz w:val="20"/>
          <w:szCs w:val="20"/>
        </w:rPr>
        <w:t xml:space="preserve">CD86/CD80 </w:t>
      </w:r>
      <w:r>
        <w:rPr>
          <w:sz w:val="20"/>
          <w:szCs w:val="20"/>
        </w:rPr>
        <w:t>(costimulation pour présentation d’antigène à cell T</w:t>
      </w:r>
      <w:r w:rsidR="00E20F5D">
        <w:rPr>
          <w:sz w:val="20"/>
          <w:szCs w:val="20"/>
        </w:rPr>
        <w:t xml:space="preserve"> par liaison à CD28)</w:t>
      </w:r>
    </w:p>
    <w:p w:rsidR="00822618" w:rsidRDefault="00822618" w:rsidP="00822618">
      <w:pPr>
        <w:pStyle w:val="Paragraphedeliste"/>
        <w:numPr>
          <w:ilvl w:val="0"/>
          <w:numId w:val="41"/>
        </w:numPr>
        <w:rPr>
          <w:sz w:val="20"/>
          <w:szCs w:val="20"/>
        </w:rPr>
      </w:pPr>
      <w:r w:rsidRPr="00822618">
        <w:rPr>
          <w:sz w:val="20"/>
          <w:szCs w:val="20"/>
        </w:rPr>
        <w:t xml:space="preserve">Inhibe la production d’IL-2 par les </w:t>
      </w:r>
      <w:r>
        <w:rPr>
          <w:sz w:val="20"/>
          <w:szCs w:val="20"/>
        </w:rPr>
        <w:t>c</w:t>
      </w:r>
      <w:r w:rsidR="00E20F5D">
        <w:rPr>
          <w:sz w:val="20"/>
          <w:szCs w:val="20"/>
        </w:rPr>
        <w:t>ell</w:t>
      </w:r>
      <w:r>
        <w:rPr>
          <w:sz w:val="20"/>
          <w:szCs w:val="20"/>
        </w:rPr>
        <w:t>s TH2 (empêche prolifération)</w:t>
      </w:r>
    </w:p>
    <w:p w:rsidR="00D41191" w:rsidRDefault="00822618" w:rsidP="00822618">
      <w:pPr>
        <w:pStyle w:val="Paragraphedeliste"/>
        <w:numPr>
          <w:ilvl w:val="0"/>
          <w:numId w:val="41"/>
        </w:numPr>
        <w:rPr>
          <w:sz w:val="20"/>
          <w:szCs w:val="20"/>
        </w:rPr>
      </w:pPr>
      <w:r w:rsidRPr="00822618">
        <w:rPr>
          <w:sz w:val="20"/>
          <w:szCs w:val="20"/>
        </w:rPr>
        <w:t>Stimule les cell. B</w:t>
      </w:r>
      <w:r>
        <w:rPr>
          <w:sz w:val="20"/>
          <w:szCs w:val="20"/>
        </w:rPr>
        <w:t xml:space="preserve"> : </w:t>
      </w:r>
      <w:r w:rsidRPr="00822618">
        <w:rPr>
          <w:sz w:val="20"/>
          <w:szCs w:val="20"/>
        </w:rPr>
        <w:t xml:space="preserve">switch factor pour la production des IgG4 </w:t>
      </w:r>
      <w:r>
        <w:rPr>
          <w:sz w:val="20"/>
          <w:szCs w:val="20"/>
        </w:rPr>
        <w:t>(</w:t>
      </w:r>
      <w:r w:rsidRPr="00822618">
        <w:rPr>
          <w:sz w:val="20"/>
          <w:szCs w:val="20"/>
        </w:rPr>
        <w:t>e</w:t>
      </w:r>
      <w:r>
        <w:rPr>
          <w:sz w:val="20"/>
          <w:szCs w:val="20"/>
        </w:rPr>
        <w:t xml:space="preserve">ntre en compétition avec l’IgE, = </w:t>
      </w:r>
      <w:r w:rsidRPr="00822618">
        <w:rPr>
          <w:sz w:val="20"/>
          <w:szCs w:val="20"/>
        </w:rPr>
        <w:t>mécanisme protecteur)</w:t>
      </w:r>
    </w:p>
    <w:p w:rsidR="00E20F5D" w:rsidRPr="00822618" w:rsidRDefault="00E20F5D" w:rsidP="00822618">
      <w:pPr>
        <w:pStyle w:val="Paragraphedeliste"/>
        <w:numPr>
          <w:ilvl w:val="0"/>
          <w:numId w:val="41"/>
        </w:numPr>
        <w:rPr>
          <w:sz w:val="20"/>
          <w:szCs w:val="20"/>
        </w:rPr>
      </w:pPr>
      <w:r>
        <w:rPr>
          <w:sz w:val="20"/>
          <w:szCs w:val="20"/>
        </w:rPr>
        <w:t>Inhibe la production d’IL-12 par les macrophages</w:t>
      </w:r>
    </w:p>
    <w:p w:rsidR="00822618" w:rsidRDefault="00822618" w:rsidP="00822618">
      <w:pPr>
        <w:spacing w:after="0"/>
        <w:rPr>
          <w:sz w:val="20"/>
          <w:szCs w:val="20"/>
        </w:rPr>
      </w:pPr>
      <w:r>
        <w:rPr>
          <w:sz w:val="20"/>
          <w:szCs w:val="20"/>
        </w:rPr>
        <w:t xml:space="preserve">En gros : </w:t>
      </w:r>
      <w:r w:rsidR="00D41191" w:rsidRPr="00822618">
        <w:rPr>
          <w:sz w:val="20"/>
          <w:szCs w:val="20"/>
        </w:rPr>
        <w:t>IL-10 et TGFβ ont un rôle anti-inflammatoire essentiel</w:t>
      </w:r>
    </w:p>
    <w:p w:rsidR="00822618" w:rsidRDefault="00D41191" w:rsidP="00822618">
      <w:pPr>
        <w:pStyle w:val="Paragraphedeliste"/>
        <w:numPr>
          <w:ilvl w:val="0"/>
          <w:numId w:val="6"/>
        </w:numPr>
        <w:spacing w:after="0"/>
        <w:rPr>
          <w:sz w:val="20"/>
          <w:szCs w:val="20"/>
        </w:rPr>
      </w:pPr>
      <w:r w:rsidRPr="00822618">
        <w:rPr>
          <w:sz w:val="20"/>
          <w:szCs w:val="20"/>
        </w:rPr>
        <w:t>Inhibent la production de cytokines TH2 ou TH1 pro-inflammatoires</w:t>
      </w:r>
    </w:p>
    <w:p w:rsidR="00212201" w:rsidRDefault="00D41191" w:rsidP="00822618">
      <w:pPr>
        <w:pStyle w:val="Paragraphedeliste"/>
        <w:numPr>
          <w:ilvl w:val="0"/>
          <w:numId w:val="6"/>
        </w:numPr>
        <w:rPr>
          <w:sz w:val="20"/>
          <w:szCs w:val="20"/>
        </w:rPr>
      </w:pPr>
      <w:r w:rsidRPr="00822618">
        <w:rPr>
          <w:sz w:val="20"/>
          <w:szCs w:val="20"/>
        </w:rPr>
        <w:t>Induisent une anergie T (tolérance) : incapables de s’a</w:t>
      </w:r>
      <w:r w:rsidR="00212201">
        <w:rPr>
          <w:sz w:val="20"/>
          <w:szCs w:val="20"/>
        </w:rPr>
        <w:t>ctiver et de se multiplier</w:t>
      </w:r>
    </w:p>
    <w:p w:rsidR="0080262A" w:rsidRDefault="00212201" w:rsidP="0080262A">
      <w:pPr>
        <w:spacing w:after="0"/>
        <w:rPr>
          <w:sz w:val="20"/>
          <w:szCs w:val="20"/>
        </w:rPr>
      </w:pPr>
      <w:r w:rsidRPr="00212201">
        <w:rPr>
          <w:b/>
          <w:sz w:val="20"/>
          <w:szCs w:val="20"/>
        </w:rPr>
        <w:t>Diagnostic de l’allergie alimentaire</w:t>
      </w:r>
      <w:r>
        <w:rPr>
          <w:sz w:val="20"/>
          <w:szCs w:val="20"/>
        </w:rPr>
        <w:t> :</w:t>
      </w:r>
      <w:r w:rsidR="0080262A">
        <w:rPr>
          <w:sz w:val="20"/>
          <w:szCs w:val="20"/>
        </w:rPr>
        <w:t xml:space="preserve"> se base essentiellement sur l’anamnèse !</w:t>
      </w:r>
      <w:r w:rsidR="00FC69EA">
        <w:rPr>
          <w:sz w:val="20"/>
          <w:szCs w:val="20"/>
        </w:rPr>
        <w:t xml:space="preserve"> Après on ne fait des tests cutanés (ou autres) que pour les aliments impliqués par l’anamnèse).</w:t>
      </w:r>
    </w:p>
    <w:p w:rsidR="0080262A" w:rsidRDefault="0080262A" w:rsidP="0080262A">
      <w:pPr>
        <w:pStyle w:val="Paragraphedeliste"/>
        <w:numPr>
          <w:ilvl w:val="0"/>
          <w:numId w:val="6"/>
        </w:numPr>
        <w:spacing w:after="0"/>
        <w:rPr>
          <w:sz w:val="20"/>
          <w:szCs w:val="20"/>
        </w:rPr>
      </w:pPr>
      <w:r w:rsidRPr="0080262A">
        <w:rPr>
          <w:sz w:val="20"/>
          <w:szCs w:val="20"/>
        </w:rPr>
        <w:t xml:space="preserve">Symptômes / développement dans le temps : </w:t>
      </w:r>
    </w:p>
    <w:p w:rsidR="0080262A" w:rsidRDefault="0080262A" w:rsidP="0080262A">
      <w:pPr>
        <w:pStyle w:val="Paragraphedeliste"/>
        <w:numPr>
          <w:ilvl w:val="0"/>
          <w:numId w:val="6"/>
        </w:numPr>
        <w:rPr>
          <w:sz w:val="20"/>
          <w:szCs w:val="20"/>
        </w:rPr>
      </w:pPr>
      <w:r w:rsidRPr="0080262A">
        <w:rPr>
          <w:sz w:val="20"/>
          <w:szCs w:val="20"/>
        </w:rPr>
        <w:t xml:space="preserve">Circonstances : effort, repas au restaurant, maladie concomitante (médicaments ...) </w:t>
      </w:r>
    </w:p>
    <w:p w:rsidR="0080262A" w:rsidRDefault="0080262A" w:rsidP="0080262A">
      <w:pPr>
        <w:pStyle w:val="Paragraphedeliste"/>
        <w:numPr>
          <w:ilvl w:val="0"/>
          <w:numId w:val="6"/>
        </w:numPr>
        <w:rPr>
          <w:sz w:val="20"/>
          <w:szCs w:val="20"/>
        </w:rPr>
      </w:pPr>
      <w:r w:rsidRPr="0080262A">
        <w:rPr>
          <w:sz w:val="20"/>
          <w:szCs w:val="20"/>
        </w:rPr>
        <w:t>Prise d’aliments, boissons, médicaments ...</w:t>
      </w:r>
    </w:p>
    <w:p w:rsidR="0080262A" w:rsidRDefault="0080262A" w:rsidP="0080262A">
      <w:pPr>
        <w:pStyle w:val="Paragraphedeliste"/>
        <w:numPr>
          <w:ilvl w:val="0"/>
          <w:numId w:val="42"/>
        </w:numPr>
        <w:rPr>
          <w:sz w:val="20"/>
          <w:szCs w:val="20"/>
        </w:rPr>
      </w:pPr>
      <w:r w:rsidRPr="0080262A">
        <w:rPr>
          <w:sz w:val="20"/>
          <w:szCs w:val="20"/>
        </w:rPr>
        <w:t xml:space="preserve">analyse détaillée avec carnet alimentaire. Cave aliments cachés. </w:t>
      </w:r>
    </w:p>
    <w:p w:rsidR="0080262A" w:rsidRDefault="0080262A" w:rsidP="0080262A">
      <w:pPr>
        <w:pStyle w:val="Paragraphedeliste"/>
        <w:numPr>
          <w:ilvl w:val="0"/>
          <w:numId w:val="6"/>
        </w:numPr>
        <w:rPr>
          <w:sz w:val="20"/>
          <w:szCs w:val="20"/>
        </w:rPr>
      </w:pPr>
      <w:r w:rsidRPr="0080262A">
        <w:rPr>
          <w:sz w:val="20"/>
          <w:szCs w:val="20"/>
        </w:rPr>
        <w:t>Terrain atopique</w:t>
      </w:r>
    </w:p>
    <w:p w:rsidR="00B9087C" w:rsidRDefault="0080262A" w:rsidP="0080262A">
      <w:pPr>
        <w:pStyle w:val="Paragraphedeliste"/>
        <w:numPr>
          <w:ilvl w:val="0"/>
          <w:numId w:val="6"/>
        </w:numPr>
        <w:rPr>
          <w:sz w:val="20"/>
          <w:szCs w:val="20"/>
        </w:rPr>
      </w:pPr>
      <w:r>
        <w:rPr>
          <w:sz w:val="20"/>
          <w:szCs w:val="20"/>
        </w:rPr>
        <w:t>S</w:t>
      </w:r>
      <w:r w:rsidRPr="0080262A">
        <w:rPr>
          <w:sz w:val="20"/>
          <w:szCs w:val="20"/>
        </w:rPr>
        <w:t>yndrome oral croisé</w:t>
      </w:r>
    </w:p>
    <w:p w:rsidR="005A3947" w:rsidRDefault="00B9087C" w:rsidP="005A3947">
      <w:pPr>
        <w:spacing w:after="0"/>
        <w:rPr>
          <w:sz w:val="20"/>
          <w:szCs w:val="20"/>
        </w:rPr>
      </w:pPr>
      <w:r w:rsidRPr="00B9087C">
        <w:rPr>
          <w:b/>
          <w:sz w:val="20"/>
          <w:szCs w:val="20"/>
          <w:u w:val="single"/>
        </w:rPr>
        <w:t>Syndrome oral croisé</w:t>
      </w:r>
      <w:r w:rsidR="005A3947">
        <w:rPr>
          <w:b/>
          <w:sz w:val="20"/>
          <w:szCs w:val="20"/>
          <w:u w:val="single"/>
        </w:rPr>
        <w:t xml:space="preserve"> (SOC)</w:t>
      </w:r>
      <w:r>
        <w:rPr>
          <w:sz w:val="20"/>
          <w:szCs w:val="20"/>
        </w:rPr>
        <w:t> :</w:t>
      </w:r>
      <w:r w:rsidR="005A3947">
        <w:rPr>
          <w:sz w:val="20"/>
          <w:szCs w:val="20"/>
        </w:rPr>
        <w:t xml:space="preserve"> r</w:t>
      </w:r>
      <w:r w:rsidR="005A3947" w:rsidRPr="005A3947">
        <w:rPr>
          <w:sz w:val="20"/>
          <w:szCs w:val="20"/>
        </w:rPr>
        <w:t xml:space="preserve">éaction allergique croisée entre certains pollens et certains aliments (en général </w:t>
      </w:r>
      <w:r w:rsidR="005A3947">
        <w:rPr>
          <w:sz w:val="20"/>
          <w:szCs w:val="20"/>
        </w:rPr>
        <w:t xml:space="preserve">fruits ou légumes, latex). Se manifeste dans </w:t>
      </w:r>
      <w:r w:rsidR="005A3947" w:rsidRPr="005A3947">
        <w:rPr>
          <w:sz w:val="20"/>
          <w:szCs w:val="20"/>
        </w:rPr>
        <w:t>&gt;80% des cas</w:t>
      </w:r>
      <w:r w:rsidR="005A3947">
        <w:rPr>
          <w:sz w:val="20"/>
          <w:szCs w:val="20"/>
        </w:rPr>
        <w:t xml:space="preserve"> par des s</w:t>
      </w:r>
      <w:r w:rsidR="005A3947" w:rsidRPr="005A3947">
        <w:rPr>
          <w:sz w:val="20"/>
          <w:szCs w:val="20"/>
        </w:rPr>
        <w:t>ymptômes bucco-pharyngés</w:t>
      </w:r>
      <w:r w:rsidR="005A3947">
        <w:rPr>
          <w:sz w:val="20"/>
          <w:szCs w:val="20"/>
        </w:rPr>
        <w:t xml:space="preserve"> bénins. Ex :</w:t>
      </w:r>
    </w:p>
    <w:p w:rsidR="005A3947" w:rsidRDefault="005A3947" w:rsidP="005A3947">
      <w:pPr>
        <w:spacing w:after="0"/>
        <w:rPr>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127"/>
      </w:tblGrid>
      <w:tr w:rsidR="005A3947" w:rsidTr="005A3947">
        <w:tc>
          <w:tcPr>
            <w:tcW w:w="3085" w:type="dxa"/>
          </w:tcPr>
          <w:p w:rsidR="005A3947" w:rsidRPr="005A3947" w:rsidRDefault="005A3947" w:rsidP="005A3947">
            <w:pPr>
              <w:pStyle w:val="Paragraphedeliste"/>
              <w:numPr>
                <w:ilvl w:val="0"/>
                <w:numId w:val="6"/>
              </w:numPr>
              <w:rPr>
                <w:sz w:val="20"/>
                <w:szCs w:val="20"/>
              </w:rPr>
            </w:pPr>
            <w:r w:rsidRPr="005A3947">
              <w:rPr>
                <w:sz w:val="20"/>
                <w:szCs w:val="20"/>
              </w:rPr>
              <w:t xml:space="preserve">irritation et prurit oraux </w:t>
            </w:r>
          </w:p>
          <w:p w:rsidR="005A3947" w:rsidRPr="005A3947" w:rsidRDefault="005A3947" w:rsidP="005A3947">
            <w:pPr>
              <w:pStyle w:val="Paragraphedeliste"/>
              <w:numPr>
                <w:ilvl w:val="0"/>
                <w:numId w:val="6"/>
              </w:numPr>
              <w:rPr>
                <w:sz w:val="20"/>
                <w:szCs w:val="20"/>
              </w:rPr>
            </w:pPr>
            <w:r w:rsidRPr="005A3947">
              <w:rPr>
                <w:sz w:val="20"/>
                <w:szCs w:val="20"/>
              </w:rPr>
              <w:t xml:space="preserve">gêne pharyngée </w:t>
            </w:r>
          </w:p>
          <w:p w:rsidR="005A3947" w:rsidRPr="005A3947" w:rsidRDefault="005A3947" w:rsidP="005A3947">
            <w:pPr>
              <w:pStyle w:val="Paragraphedeliste"/>
              <w:numPr>
                <w:ilvl w:val="0"/>
                <w:numId w:val="6"/>
              </w:numPr>
              <w:rPr>
                <w:sz w:val="20"/>
                <w:szCs w:val="20"/>
              </w:rPr>
            </w:pPr>
            <w:r w:rsidRPr="005A3947">
              <w:rPr>
                <w:sz w:val="20"/>
                <w:szCs w:val="20"/>
              </w:rPr>
              <w:t xml:space="preserve">gonflement lèvres/langue </w:t>
            </w:r>
          </w:p>
          <w:p w:rsidR="005A3947" w:rsidRPr="005A3947" w:rsidRDefault="005A3947" w:rsidP="005A3947">
            <w:pPr>
              <w:pStyle w:val="Paragraphedeliste"/>
              <w:numPr>
                <w:ilvl w:val="0"/>
                <w:numId w:val="6"/>
              </w:numPr>
              <w:rPr>
                <w:sz w:val="20"/>
                <w:szCs w:val="20"/>
              </w:rPr>
            </w:pPr>
            <w:r w:rsidRPr="005A3947">
              <w:rPr>
                <w:sz w:val="20"/>
                <w:szCs w:val="20"/>
              </w:rPr>
              <w:t>phlyctènes</w:t>
            </w:r>
            <w:r w:rsidR="00E20F5D">
              <w:rPr>
                <w:sz w:val="20"/>
                <w:szCs w:val="20"/>
              </w:rPr>
              <w:t xml:space="preserve"> (vésicules)</w:t>
            </w:r>
          </w:p>
        </w:tc>
        <w:tc>
          <w:tcPr>
            <w:tcW w:w="6127" w:type="dxa"/>
          </w:tcPr>
          <w:p w:rsidR="005A3947" w:rsidRPr="005A3947" w:rsidRDefault="005A3947" w:rsidP="005A3947">
            <w:pPr>
              <w:rPr>
                <w:sz w:val="20"/>
                <w:szCs w:val="20"/>
              </w:rPr>
            </w:pPr>
            <w:r>
              <w:rPr>
                <w:sz w:val="20"/>
                <w:szCs w:val="20"/>
              </w:rPr>
              <w:t>S</w:t>
            </w:r>
            <w:r w:rsidRPr="005A3947">
              <w:rPr>
                <w:sz w:val="20"/>
                <w:szCs w:val="20"/>
              </w:rPr>
              <w:t xml:space="preserve">ymptômes locaux présents dans les secondes à minutes suivant le contact avec </w:t>
            </w:r>
            <w:r>
              <w:rPr>
                <w:sz w:val="20"/>
                <w:szCs w:val="20"/>
              </w:rPr>
              <w:t xml:space="preserve">muqueuse buccale. </w:t>
            </w:r>
            <w:r w:rsidRPr="005A3947">
              <w:rPr>
                <w:sz w:val="20"/>
                <w:szCs w:val="20"/>
              </w:rPr>
              <w:t xml:space="preserve"> Symptômes digestifs p</w:t>
            </w:r>
            <w:r>
              <w:rPr>
                <w:sz w:val="20"/>
                <w:szCs w:val="20"/>
              </w:rPr>
              <w:t xml:space="preserve">euvent être différés. </w:t>
            </w:r>
            <w:r w:rsidRPr="005A3947">
              <w:rPr>
                <w:sz w:val="20"/>
                <w:szCs w:val="20"/>
              </w:rPr>
              <w:t xml:space="preserve">La sévérité de la réaction est souvent fonction de l’aliment ingéré </w:t>
            </w:r>
            <w:r>
              <w:rPr>
                <w:sz w:val="20"/>
                <w:szCs w:val="20"/>
              </w:rPr>
              <w:t>(céleri/noisette/</w:t>
            </w:r>
            <w:r w:rsidRPr="005A3947">
              <w:rPr>
                <w:sz w:val="20"/>
                <w:szCs w:val="20"/>
              </w:rPr>
              <w:t>cacahouète</w:t>
            </w:r>
            <w:r w:rsidR="008149DF">
              <w:rPr>
                <w:sz w:val="20"/>
                <w:szCs w:val="20"/>
              </w:rPr>
              <w:t xml:space="preserve"> </w:t>
            </w:r>
            <w:r w:rsidRPr="005A3947">
              <w:rPr>
                <w:sz w:val="20"/>
                <w:szCs w:val="20"/>
              </w:rPr>
              <w:t>&gt;&gt;&gt; pomme</w:t>
            </w:r>
            <w:r>
              <w:rPr>
                <w:sz w:val="20"/>
                <w:szCs w:val="20"/>
              </w:rPr>
              <w:t>/</w:t>
            </w:r>
            <w:r w:rsidRPr="005A3947">
              <w:rPr>
                <w:sz w:val="20"/>
                <w:szCs w:val="20"/>
              </w:rPr>
              <w:t>carotte</w:t>
            </w:r>
            <w:r w:rsidR="00E20F5D">
              <w:rPr>
                <w:sz w:val="20"/>
                <w:szCs w:val="20"/>
              </w:rPr>
              <w:t>)</w:t>
            </w:r>
          </w:p>
          <w:p w:rsidR="005A3947" w:rsidRDefault="005A3947" w:rsidP="005A3947">
            <w:pPr>
              <w:rPr>
                <w:sz w:val="20"/>
                <w:szCs w:val="20"/>
              </w:rPr>
            </w:pPr>
          </w:p>
        </w:tc>
      </w:tr>
    </w:tbl>
    <w:p w:rsidR="00123971" w:rsidRPr="00123971" w:rsidRDefault="005A3947" w:rsidP="00FC69EA">
      <w:pPr>
        <w:rPr>
          <w:sz w:val="20"/>
          <w:szCs w:val="20"/>
        </w:rPr>
      </w:pPr>
      <w:r>
        <w:rPr>
          <w:sz w:val="20"/>
          <w:szCs w:val="20"/>
        </w:rPr>
        <w:br w:type="page"/>
      </w:r>
      <w:r w:rsidR="00523451" w:rsidRPr="00523451">
        <w:rPr>
          <w:b/>
          <w:sz w:val="20"/>
          <w:szCs w:val="20"/>
        </w:rPr>
        <w:lastRenderedPageBreak/>
        <w:t>Allergènes croisés</w:t>
      </w:r>
      <w:r w:rsidR="00523451">
        <w:rPr>
          <w:sz w:val="20"/>
          <w:szCs w:val="20"/>
        </w:rPr>
        <w:t> :</w:t>
      </w:r>
      <w:r w:rsidR="008149DF">
        <w:rPr>
          <w:sz w:val="20"/>
          <w:szCs w:val="20"/>
        </w:rPr>
        <w:t xml:space="preserve"> p</w:t>
      </w:r>
      <w:r w:rsidR="008149DF" w:rsidRPr="008149DF">
        <w:rPr>
          <w:sz w:val="20"/>
          <w:szCs w:val="20"/>
        </w:rPr>
        <w:t xml:space="preserve">résence d’IgE reconnaissants des allergènes présents dans les pollens et </w:t>
      </w:r>
      <w:r w:rsidR="008149DF">
        <w:rPr>
          <w:sz w:val="20"/>
          <w:szCs w:val="20"/>
        </w:rPr>
        <w:t>certains fruits/légumes (en raison d’une homologie importante dans séquences d’acides aminés des différents allergènes).</w:t>
      </w:r>
      <w:r w:rsidR="00123971">
        <w:rPr>
          <w:sz w:val="20"/>
          <w:szCs w:val="20"/>
        </w:rPr>
        <w:t xml:space="preserve"> Cave : h</w:t>
      </w:r>
      <w:r w:rsidR="00123971" w:rsidRPr="00123971">
        <w:rPr>
          <w:sz w:val="20"/>
          <w:szCs w:val="20"/>
        </w:rPr>
        <w:t>ypersensibilité clinique aux pollens pas toujours présente</w:t>
      </w:r>
      <w:r w:rsidR="00123971">
        <w:rPr>
          <w:sz w:val="20"/>
          <w:szCs w:val="20"/>
        </w:rPr>
        <w:t>. C</w:t>
      </w:r>
      <w:r w:rsidR="00123971" w:rsidRPr="00123971">
        <w:rPr>
          <w:sz w:val="20"/>
          <w:szCs w:val="20"/>
        </w:rPr>
        <w:t>ontraire</w:t>
      </w:r>
      <w:r w:rsidR="00123971">
        <w:rPr>
          <w:sz w:val="20"/>
          <w:szCs w:val="20"/>
        </w:rPr>
        <w:t>ment</w:t>
      </w:r>
      <w:r w:rsidR="00123971" w:rsidRPr="00123971">
        <w:rPr>
          <w:sz w:val="20"/>
          <w:szCs w:val="20"/>
        </w:rPr>
        <w:t xml:space="preserve"> </w:t>
      </w:r>
      <w:r w:rsidR="00123971">
        <w:rPr>
          <w:sz w:val="20"/>
          <w:szCs w:val="20"/>
        </w:rPr>
        <w:t>à</w:t>
      </w:r>
      <w:r w:rsidR="00123971" w:rsidRPr="00123971">
        <w:rPr>
          <w:sz w:val="20"/>
          <w:szCs w:val="20"/>
        </w:rPr>
        <w:t xml:space="preserve"> l’allergie du nouveau</w:t>
      </w:r>
      <w:r w:rsidR="00123971">
        <w:rPr>
          <w:sz w:val="20"/>
          <w:szCs w:val="20"/>
        </w:rPr>
        <w:t xml:space="preserve">-né, SOC persiste à l’âge adulte. Exemples </w:t>
      </w:r>
      <w:r w:rsidR="00FC69EA">
        <w:rPr>
          <w:sz w:val="20"/>
          <w:szCs w:val="20"/>
        </w:rPr>
        <w:t>de familles d’</w:t>
      </w:r>
      <w:r w:rsidR="00123971">
        <w:rPr>
          <w:sz w:val="20"/>
          <w:szCs w:val="20"/>
        </w:rPr>
        <w:t>allergènes faisant facilement cross</w:t>
      </w:r>
      <w:r w:rsidR="00E20F5D">
        <w:rPr>
          <w:sz w:val="20"/>
          <w:szCs w:val="20"/>
        </w:rPr>
        <w:t xml:space="preserve"> </w:t>
      </w:r>
      <w:r w:rsidR="00123971">
        <w:rPr>
          <w:sz w:val="20"/>
          <w:szCs w:val="20"/>
        </w:rPr>
        <w:t>reactions :</w:t>
      </w:r>
    </w:p>
    <w:p w:rsidR="008149DF" w:rsidRDefault="00FC69EA" w:rsidP="00123971">
      <w:pPr>
        <w:pStyle w:val="Paragraphedeliste"/>
        <w:numPr>
          <w:ilvl w:val="0"/>
          <w:numId w:val="6"/>
        </w:numPr>
        <w:spacing w:after="0"/>
        <w:rPr>
          <w:sz w:val="20"/>
          <w:szCs w:val="20"/>
        </w:rPr>
      </w:pPr>
      <w:r>
        <w:rPr>
          <w:sz w:val="20"/>
          <w:szCs w:val="20"/>
          <w:highlight w:val="yellow"/>
        </w:rPr>
        <w:t>P</w:t>
      </w:r>
      <w:r w:rsidRPr="00FC69EA">
        <w:rPr>
          <w:sz w:val="20"/>
          <w:szCs w:val="20"/>
          <w:highlight w:val="yellow"/>
        </w:rPr>
        <w:t>rotéines PR-10</w:t>
      </w:r>
      <w:r>
        <w:rPr>
          <w:sz w:val="20"/>
          <w:szCs w:val="20"/>
        </w:rPr>
        <w:t xml:space="preserve"> : Bet v1 = </w:t>
      </w:r>
      <w:r w:rsidR="008149DF" w:rsidRPr="008149DF">
        <w:rPr>
          <w:sz w:val="20"/>
          <w:szCs w:val="20"/>
        </w:rPr>
        <w:t xml:space="preserve">allergène </w:t>
      </w:r>
      <w:r w:rsidR="008149DF">
        <w:rPr>
          <w:sz w:val="20"/>
          <w:szCs w:val="20"/>
        </w:rPr>
        <w:t>principal</w:t>
      </w:r>
      <w:r w:rsidR="008149DF" w:rsidRPr="008149DF">
        <w:rPr>
          <w:sz w:val="20"/>
          <w:szCs w:val="20"/>
        </w:rPr>
        <w:t xml:space="preserve"> des bétulacées</w:t>
      </w:r>
      <w:r>
        <w:rPr>
          <w:sz w:val="20"/>
          <w:szCs w:val="20"/>
        </w:rPr>
        <w:t> et</w:t>
      </w:r>
      <w:r w:rsidR="008149DF" w:rsidRPr="008149DF">
        <w:rPr>
          <w:sz w:val="20"/>
          <w:szCs w:val="20"/>
        </w:rPr>
        <w:t xml:space="preserve"> </w:t>
      </w:r>
      <w:r>
        <w:rPr>
          <w:sz w:val="20"/>
          <w:szCs w:val="20"/>
        </w:rPr>
        <w:t xml:space="preserve">« chef »  de cette famille de protéines thermolabiles. </w:t>
      </w:r>
      <w:r w:rsidR="00E20F5D">
        <w:rPr>
          <w:sz w:val="20"/>
          <w:szCs w:val="20"/>
        </w:rPr>
        <w:t>H</w:t>
      </w:r>
      <w:r w:rsidR="008149DF" w:rsidRPr="008149DF">
        <w:rPr>
          <w:sz w:val="20"/>
          <w:szCs w:val="20"/>
        </w:rPr>
        <w:t xml:space="preserve">omologie avec protéines allergéniques des </w:t>
      </w:r>
      <w:r w:rsidR="008149DF" w:rsidRPr="008149DF">
        <w:rPr>
          <w:sz w:val="20"/>
          <w:szCs w:val="20"/>
          <w:highlight w:val="yellow"/>
        </w:rPr>
        <w:t>rosacées</w:t>
      </w:r>
      <w:r w:rsidR="008149DF" w:rsidRPr="008149DF">
        <w:rPr>
          <w:sz w:val="20"/>
          <w:szCs w:val="20"/>
        </w:rPr>
        <w:t xml:space="preserve"> (pomme, poire, cerises, noix, noisette, amande</w:t>
      </w:r>
      <w:r w:rsidR="008149DF">
        <w:rPr>
          <w:sz w:val="20"/>
          <w:szCs w:val="20"/>
        </w:rPr>
        <w:t>), ainsi qu’entre les différentes espèces de botulacées.</w:t>
      </w:r>
    </w:p>
    <w:p w:rsidR="00FC69EA" w:rsidRDefault="00FC69EA" w:rsidP="00FC69EA">
      <w:pPr>
        <w:pStyle w:val="Paragraphedeliste"/>
        <w:spacing w:after="0"/>
        <w:rPr>
          <w:sz w:val="20"/>
          <w:szCs w:val="20"/>
        </w:rPr>
      </w:pPr>
    </w:p>
    <w:p w:rsidR="008149DF" w:rsidRDefault="008149DF" w:rsidP="008149DF">
      <w:pPr>
        <w:pStyle w:val="Paragraphedeliste"/>
        <w:numPr>
          <w:ilvl w:val="0"/>
          <w:numId w:val="6"/>
        </w:numPr>
        <w:rPr>
          <w:sz w:val="20"/>
          <w:szCs w:val="20"/>
        </w:rPr>
      </w:pPr>
      <w:r>
        <w:rPr>
          <w:sz w:val="20"/>
          <w:szCs w:val="20"/>
        </w:rPr>
        <w:t>Bet v2 (=</w:t>
      </w:r>
      <w:r w:rsidRPr="008149DF">
        <w:rPr>
          <w:sz w:val="20"/>
          <w:szCs w:val="20"/>
          <w:highlight w:val="yellow"/>
        </w:rPr>
        <w:t>profiline</w:t>
      </w:r>
      <w:r>
        <w:rPr>
          <w:sz w:val="20"/>
          <w:szCs w:val="20"/>
        </w:rPr>
        <w:t xml:space="preserve">) : </w:t>
      </w:r>
      <w:r w:rsidR="00123971">
        <w:rPr>
          <w:sz w:val="20"/>
          <w:szCs w:val="20"/>
        </w:rPr>
        <w:t>chaperonne</w:t>
      </w:r>
      <w:r>
        <w:rPr>
          <w:sz w:val="20"/>
          <w:szCs w:val="20"/>
        </w:rPr>
        <w:t xml:space="preserve"> du pollen de bétulacées, graminées et armoise. Présent aussi dans rosacées et </w:t>
      </w:r>
      <w:r w:rsidRPr="008149DF">
        <w:rPr>
          <w:sz w:val="20"/>
          <w:szCs w:val="20"/>
          <w:highlight w:val="yellow"/>
        </w:rPr>
        <w:t>ombellifères</w:t>
      </w:r>
      <w:r>
        <w:rPr>
          <w:sz w:val="20"/>
          <w:szCs w:val="20"/>
        </w:rPr>
        <w:t xml:space="preserve"> (céleri, carottes, certaines épices)</w:t>
      </w:r>
      <w:r w:rsidR="00123971">
        <w:rPr>
          <w:sz w:val="20"/>
          <w:szCs w:val="20"/>
        </w:rPr>
        <w:t xml:space="preserve">. </w:t>
      </w:r>
      <w:r w:rsidR="00FC69EA">
        <w:rPr>
          <w:sz w:val="20"/>
          <w:szCs w:val="20"/>
        </w:rPr>
        <w:t>Encore plus terrible que Bet v1 car peut faire cross réaction avec beaucoup beaucoup d’aliments. Rarement associé à des symptômes cliniques mais, chez une minorité de patients peut provoquer des réactions très sévères (ex avec céleri).</w:t>
      </w:r>
    </w:p>
    <w:p w:rsidR="00123971" w:rsidRDefault="00123971" w:rsidP="00FC69EA">
      <w:pPr>
        <w:spacing w:after="0"/>
        <w:rPr>
          <w:sz w:val="20"/>
          <w:szCs w:val="20"/>
        </w:rPr>
      </w:pPr>
      <w:r>
        <w:rPr>
          <w:sz w:val="20"/>
          <w:szCs w:val="20"/>
        </w:rPr>
        <w:t>Synthèse</w:t>
      </w:r>
      <w:r w:rsidR="00FC69EA">
        <w:rPr>
          <w:sz w:val="20"/>
          <w:szCs w:val="20"/>
        </w:rPr>
        <w:t xml:space="preserve"> Bet v1/v2</w:t>
      </w:r>
      <w:r>
        <w:rPr>
          <w:sz w:val="20"/>
          <w:szCs w:val="20"/>
        </w:rPr>
        <w:t> : on peut être allergique à tout, et tout allergène peut +/- faire réaction croisée avec +/- n’importe quoi. Il y a cependant des interactions plus fréquentes à retenir :</w:t>
      </w:r>
    </w:p>
    <w:p w:rsidR="00123971" w:rsidRPr="00123971" w:rsidRDefault="00AA5B2A" w:rsidP="00FC69EA">
      <w:pPr>
        <w:spacing w:after="0"/>
        <w:jc w:val="center"/>
        <w:rPr>
          <w:sz w:val="20"/>
          <w:szCs w:val="20"/>
        </w:rPr>
      </w:pPr>
      <w:r>
        <w:rPr>
          <w:noProof/>
          <w:sz w:val="20"/>
          <w:szCs w:val="20"/>
          <w:lang w:eastAsia="fr-CH"/>
        </w:rPr>
        <mc:AlternateContent>
          <mc:Choice Requires="wps">
            <w:drawing>
              <wp:anchor distT="0" distB="0" distL="114300" distR="114300" simplePos="0" relativeHeight="251665408" behindDoc="0" locked="0" layoutInCell="1" allowOverlap="1">
                <wp:simplePos x="0" y="0"/>
                <wp:positionH relativeFrom="column">
                  <wp:posOffset>4008120</wp:posOffset>
                </wp:positionH>
                <wp:positionV relativeFrom="paragraph">
                  <wp:posOffset>306070</wp:posOffset>
                </wp:positionV>
                <wp:extent cx="489585" cy="270510"/>
                <wp:effectExtent l="2540" t="635" r="3175"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0F5D" w:rsidRPr="00E20F5D" w:rsidRDefault="00E20F5D" w:rsidP="00E20F5D">
                            <w:pPr>
                              <w:rPr>
                                <w:sz w:val="18"/>
                              </w:rPr>
                            </w:pPr>
                            <w:r w:rsidRPr="00E20F5D">
                              <w:rPr>
                                <w:sz w:val="18"/>
                              </w:rPr>
                              <w:t>Betv</w:t>
                            </w:r>
                            <w:r>
                              <w:rPr>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left:0;text-align:left;margin-left:315.6pt;margin-top:24.1pt;width:38.55pt;height:2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SpuQIAAL8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" filled="f" stroked="f">
                <v:textbox>
                  <w:txbxContent>
                    <w:p w:rsidR="00E20F5D" w:rsidRPr="00E20F5D" w:rsidRDefault="00E20F5D" w:rsidP="00E20F5D">
                      <w:pPr>
                        <w:rPr>
                          <w:sz w:val="18"/>
                        </w:rPr>
                      </w:pPr>
                      <w:r w:rsidRPr="00E20F5D">
                        <w:rPr>
                          <w:sz w:val="18"/>
                        </w:rPr>
                        <w:t>Betv</w:t>
                      </w:r>
                      <w:r>
                        <w:rPr>
                          <w:sz w:val="18"/>
                        </w:rPr>
                        <w:t>2</w:t>
                      </w:r>
                    </w:p>
                  </w:txbxContent>
                </v:textbox>
              </v:shape>
            </w:pict>
          </mc:Fallback>
        </mc:AlternateContent>
      </w:r>
      <w:r>
        <w:rPr>
          <w:noProof/>
          <w:sz w:val="20"/>
          <w:szCs w:val="20"/>
          <w:lang w:eastAsia="fr-CH"/>
        </w:rPr>
        <mc:AlternateContent>
          <mc:Choice Requires="wps">
            <w:drawing>
              <wp:anchor distT="0" distB="0" distL="114300" distR="114300" simplePos="0" relativeHeight="251664384" behindDoc="0" locked="0" layoutInCell="1" allowOverlap="1">
                <wp:simplePos x="0" y="0"/>
                <wp:positionH relativeFrom="column">
                  <wp:posOffset>2595880</wp:posOffset>
                </wp:positionH>
                <wp:positionV relativeFrom="paragraph">
                  <wp:posOffset>306070</wp:posOffset>
                </wp:positionV>
                <wp:extent cx="489585" cy="270510"/>
                <wp:effectExtent l="0" t="635" r="0" b="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0F5D" w:rsidRPr="00E20F5D" w:rsidRDefault="00E20F5D" w:rsidP="00E20F5D">
                            <w:pPr>
                              <w:rPr>
                                <w:sz w:val="18"/>
                              </w:rPr>
                            </w:pPr>
                            <w:r w:rsidRPr="00E20F5D">
                              <w:rPr>
                                <w:sz w:val="18"/>
                              </w:rPr>
                              <w:t>Betv</w:t>
                            </w:r>
                            <w:r>
                              <w:rPr>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9" type="#_x0000_t202" style="position:absolute;left:0;text-align:left;margin-left:204.4pt;margin-top:24.1pt;width:38.55pt;height:21.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3ONuQIAAL8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" filled="f" stroked="f">
                <v:textbox>
                  <w:txbxContent>
                    <w:p w:rsidR="00E20F5D" w:rsidRPr="00E20F5D" w:rsidRDefault="00E20F5D" w:rsidP="00E20F5D">
                      <w:pPr>
                        <w:rPr>
                          <w:sz w:val="18"/>
                        </w:rPr>
                      </w:pPr>
                      <w:r w:rsidRPr="00E20F5D">
                        <w:rPr>
                          <w:sz w:val="18"/>
                        </w:rPr>
                        <w:t>Betv</w:t>
                      </w:r>
                      <w:r>
                        <w:rPr>
                          <w:sz w:val="18"/>
                        </w:rPr>
                        <w:t>2</w:t>
                      </w:r>
                    </w:p>
                  </w:txbxContent>
                </v:textbox>
              </v:shape>
            </w:pict>
          </mc:Fallback>
        </mc:AlternateContent>
      </w:r>
      <w:r>
        <w:rPr>
          <w:noProof/>
          <w:lang w:eastAsia="fr-CH"/>
        </w:rPr>
        <mc:AlternateContent>
          <mc:Choice Requires="wps">
            <w:drawing>
              <wp:anchor distT="0" distB="0" distL="114300" distR="114300" simplePos="0" relativeHeight="251663360" behindDoc="0" locked="0" layoutInCell="1" allowOverlap="1">
                <wp:simplePos x="0" y="0"/>
                <wp:positionH relativeFrom="column">
                  <wp:posOffset>1221740</wp:posOffset>
                </wp:positionH>
                <wp:positionV relativeFrom="paragraph">
                  <wp:posOffset>306070</wp:posOffset>
                </wp:positionV>
                <wp:extent cx="489585" cy="270510"/>
                <wp:effectExtent l="0" t="635" r="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20F5D" w:rsidRPr="00E20F5D" w:rsidRDefault="00E20F5D">
                            <w:pPr>
                              <w:rPr>
                                <w:sz w:val="18"/>
                              </w:rPr>
                            </w:pPr>
                            <w:r w:rsidRPr="00E20F5D">
                              <w:rPr>
                                <w:sz w:val="18"/>
                              </w:rPr>
                              <w:t>Betv1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0" type="#_x0000_t202" style="position:absolute;left:0;text-align:left;margin-left:96.2pt;margin-top:24.1pt;width:38.55pt;height:2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XZWuQIAAL8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" filled="f" stroked="f">
                <v:textbox>
                  <w:txbxContent>
                    <w:p w:rsidR="00E20F5D" w:rsidRPr="00E20F5D" w:rsidRDefault="00E20F5D">
                      <w:pPr>
                        <w:rPr>
                          <w:sz w:val="18"/>
                        </w:rPr>
                      </w:pPr>
                      <w:r w:rsidRPr="00E20F5D">
                        <w:rPr>
                          <w:sz w:val="18"/>
                        </w:rPr>
                        <w:t>Betv1</w:t>
                      </w:r>
                    </w:p>
                  </w:txbxContent>
                </v:textbox>
              </v:shape>
            </w:pict>
          </mc:Fallback>
        </mc:AlternateContent>
      </w:r>
      <w:r w:rsidR="00123971" w:rsidRPr="00123971">
        <w:rPr>
          <w:noProof/>
          <w:lang w:eastAsia="fr-CH"/>
        </w:rPr>
        <w:drawing>
          <wp:inline distT="0" distB="0" distL="0" distR="0">
            <wp:extent cx="4915535" cy="431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915535" cy="431800"/>
                    </a:xfrm>
                    <a:prstGeom prst="rect">
                      <a:avLst/>
                    </a:prstGeom>
                    <a:noFill/>
                    <a:ln w="9525">
                      <a:noFill/>
                      <a:miter lim="800000"/>
                      <a:headEnd/>
                      <a:tailEnd/>
                    </a:ln>
                  </pic:spPr>
                </pic:pic>
              </a:graphicData>
            </a:graphic>
          </wp:inline>
        </w:drawing>
      </w:r>
    </w:p>
    <w:p w:rsidR="00FC69EA" w:rsidRDefault="00FC69EA" w:rsidP="00FC69EA">
      <w:pPr>
        <w:spacing w:after="0"/>
        <w:rPr>
          <w:sz w:val="20"/>
          <w:szCs w:val="20"/>
        </w:rPr>
      </w:pPr>
    </w:p>
    <w:p w:rsidR="00FC69EA" w:rsidRDefault="00FC69EA" w:rsidP="00266BAC">
      <w:pPr>
        <w:pStyle w:val="Paragraphedeliste"/>
        <w:numPr>
          <w:ilvl w:val="0"/>
          <w:numId w:val="6"/>
        </w:numPr>
        <w:spacing w:after="0"/>
        <w:rPr>
          <w:sz w:val="20"/>
          <w:szCs w:val="20"/>
        </w:rPr>
      </w:pPr>
      <w:r w:rsidRPr="00266BAC">
        <w:rPr>
          <w:sz w:val="20"/>
          <w:szCs w:val="20"/>
        </w:rPr>
        <w:t>LTP</w:t>
      </w:r>
      <w:r w:rsidR="00266BAC" w:rsidRPr="00266BAC">
        <w:rPr>
          <w:sz w:val="20"/>
          <w:szCs w:val="20"/>
        </w:rPr>
        <w:t>/</w:t>
      </w:r>
      <w:r w:rsidRPr="00266BAC">
        <w:rPr>
          <w:sz w:val="20"/>
          <w:szCs w:val="20"/>
        </w:rPr>
        <w:t>nsLTP (</w:t>
      </w:r>
      <w:r w:rsidR="00266BAC">
        <w:rPr>
          <w:sz w:val="20"/>
          <w:szCs w:val="20"/>
        </w:rPr>
        <w:t>l</w:t>
      </w:r>
      <w:r w:rsidRPr="00266BAC">
        <w:rPr>
          <w:sz w:val="20"/>
          <w:szCs w:val="20"/>
        </w:rPr>
        <w:t>ipid transfer protein</w:t>
      </w:r>
      <w:r w:rsidR="00266BAC" w:rsidRPr="00266BAC">
        <w:rPr>
          <w:sz w:val="20"/>
          <w:szCs w:val="20"/>
        </w:rPr>
        <w:t>/non specific LTP</w:t>
      </w:r>
      <w:r w:rsidRPr="00266BAC">
        <w:rPr>
          <w:sz w:val="20"/>
          <w:szCs w:val="20"/>
        </w:rPr>
        <w:t>) :</w:t>
      </w:r>
      <w:r w:rsidR="00266BAC" w:rsidRPr="00266BAC">
        <w:t xml:space="preserve"> </w:t>
      </w:r>
      <w:r w:rsidR="00266BAC" w:rsidRPr="00266BAC">
        <w:rPr>
          <w:sz w:val="20"/>
          <w:szCs w:val="20"/>
        </w:rPr>
        <w:t>protéine stable à la chaleur et la digestion, provoquant des réactions aux aliments cuits également. Souvent associée à des réactions systémiques et plus sévères</w:t>
      </w:r>
      <w:r w:rsidR="00266BAC">
        <w:rPr>
          <w:sz w:val="20"/>
          <w:szCs w:val="20"/>
        </w:rPr>
        <w:t>.</w:t>
      </w:r>
    </w:p>
    <w:p w:rsidR="00266BAC" w:rsidRPr="00266BAC" w:rsidRDefault="00266BAC" w:rsidP="00266BAC">
      <w:pPr>
        <w:pStyle w:val="Paragraphedeliste"/>
        <w:numPr>
          <w:ilvl w:val="0"/>
          <w:numId w:val="6"/>
        </w:numPr>
        <w:spacing w:after="0"/>
        <w:rPr>
          <w:sz w:val="20"/>
          <w:szCs w:val="20"/>
        </w:rPr>
      </w:pPr>
      <w:r w:rsidRPr="00266BAC">
        <w:rPr>
          <w:sz w:val="20"/>
          <w:szCs w:val="20"/>
        </w:rPr>
        <w:t>Protéine de stockage, CCD, tropomyosine, parvalbumine, albumine</w:t>
      </w:r>
      <w:r>
        <w:rPr>
          <w:sz w:val="20"/>
          <w:szCs w:val="20"/>
        </w:rPr>
        <w:t xml:space="preserve"> (intolérance à l’albumine peut causer cross réactions avec volaille/poisson).</w:t>
      </w:r>
    </w:p>
    <w:p w:rsidR="00FC69EA" w:rsidRDefault="00FC69EA" w:rsidP="00FC69EA">
      <w:pPr>
        <w:spacing w:after="0"/>
        <w:rPr>
          <w:sz w:val="20"/>
          <w:szCs w:val="20"/>
        </w:rPr>
      </w:pPr>
    </w:p>
    <w:p w:rsidR="00266BAC" w:rsidRDefault="00266BAC" w:rsidP="00FC69EA">
      <w:pPr>
        <w:spacing w:after="0"/>
        <w:rPr>
          <w:sz w:val="20"/>
          <w:szCs w:val="20"/>
        </w:rPr>
      </w:pPr>
      <w:r>
        <w:rPr>
          <w:sz w:val="20"/>
          <w:szCs w:val="20"/>
        </w:rPr>
        <w:t>Cas particulier de l’allergie au latex : après sensibilisation au latex, il est généralement très difficile d’y développer une tolérance. La gravité de la réaction cependant dépend de l’allergène en cause :</w:t>
      </w:r>
    </w:p>
    <w:p w:rsidR="00266BAC" w:rsidRDefault="00266BAC" w:rsidP="00266BAC">
      <w:pPr>
        <w:pStyle w:val="Paragraphedeliste"/>
        <w:numPr>
          <w:ilvl w:val="0"/>
          <w:numId w:val="6"/>
        </w:numPr>
        <w:spacing w:after="0"/>
        <w:rPr>
          <w:sz w:val="20"/>
          <w:szCs w:val="20"/>
        </w:rPr>
      </w:pPr>
      <w:r>
        <w:rPr>
          <w:sz w:val="20"/>
          <w:szCs w:val="20"/>
        </w:rPr>
        <w:t>Pour intolérance pour allergènes propres au latex (Hev5/6), la sensibilisation se fait au cour d’une opération ou de soins dentaires. Réaction peut être très sévère, risques de choc.</w:t>
      </w:r>
    </w:p>
    <w:p w:rsidR="00123971" w:rsidRDefault="00F17F8E" w:rsidP="00FC69EA">
      <w:pPr>
        <w:pStyle w:val="Paragraphedeliste"/>
        <w:numPr>
          <w:ilvl w:val="0"/>
          <w:numId w:val="6"/>
        </w:numPr>
        <w:spacing w:after="0"/>
        <w:rPr>
          <w:sz w:val="20"/>
          <w:szCs w:val="20"/>
        </w:rPr>
      </w:pPr>
      <w:r>
        <w:rPr>
          <w:sz w:val="20"/>
          <w:szCs w:val="20"/>
        </w:rPr>
        <w:t>Les Bet v1/2 peuvent faire cross réactions avec allergènes du latex (ex HevB8). Ces patients font typiquement réactions croisées avec</w:t>
      </w:r>
      <w:r w:rsidR="00123971" w:rsidRPr="00F17F8E">
        <w:rPr>
          <w:sz w:val="20"/>
          <w:szCs w:val="20"/>
        </w:rPr>
        <w:t xml:space="preserve"> kiwi, banane, figue, châtaigne, avocats etc.</w:t>
      </w:r>
      <w:r>
        <w:rPr>
          <w:sz w:val="20"/>
          <w:szCs w:val="20"/>
        </w:rPr>
        <w:t xml:space="preserve"> Réactions au latex ici généralement moins sévères.</w:t>
      </w:r>
    </w:p>
    <w:p w:rsidR="00F17F8E" w:rsidRDefault="00F17F8E" w:rsidP="00F17F8E">
      <w:pPr>
        <w:spacing w:after="0"/>
        <w:rPr>
          <w:sz w:val="20"/>
          <w:szCs w:val="20"/>
        </w:rPr>
      </w:pPr>
    </w:p>
    <w:p w:rsidR="00F17F8E" w:rsidRPr="00F17F8E" w:rsidRDefault="00F17F8E" w:rsidP="00F17F8E">
      <w:pPr>
        <w:spacing w:after="0"/>
        <w:rPr>
          <w:b/>
          <w:sz w:val="20"/>
          <w:szCs w:val="20"/>
        </w:rPr>
      </w:pPr>
      <w:r w:rsidRPr="00F17F8E">
        <w:rPr>
          <w:b/>
          <w:sz w:val="20"/>
          <w:szCs w:val="20"/>
          <w:u w:val="single"/>
        </w:rPr>
        <w:t>Autre cas intéressant</w:t>
      </w:r>
      <w:r>
        <w:rPr>
          <w:sz w:val="20"/>
          <w:szCs w:val="20"/>
        </w:rPr>
        <w:t xml:space="preserve"> : anaphylaxie </w:t>
      </w:r>
      <w:r w:rsidR="008D05B5">
        <w:rPr>
          <w:sz w:val="20"/>
          <w:szCs w:val="20"/>
        </w:rPr>
        <w:t>postprandiale</w:t>
      </w:r>
      <w:r>
        <w:rPr>
          <w:sz w:val="20"/>
          <w:szCs w:val="20"/>
        </w:rPr>
        <w:t xml:space="preserve"> dépendante de l’effort (</w:t>
      </w:r>
      <w:r w:rsidRPr="00F17F8E">
        <w:rPr>
          <w:sz w:val="20"/>
          <w:szCs w:val="20"/>
        </w:rPr>
        <w:t xml:space="preserve">FDEIA </w:t>
      </w:r>
      <w:r w:rsidR="008D05B5">
        <w:rPr>
          <w:sz w:val="20"/>
          <w:szCs w:val="20"/>
        </w:rPr>
        <w:t xml:space="preserve">= </w:t>
      </w:r>
      <w:r w:rsidRPr="00F17F8E">
        <w:rPr>
          <w:sz w:val="20"/>
          <w:szCs w:val="20"/>
        </w:rPr>
        <w:t>food-dependent exercice induced anaphylaxis)</w:t>
      </w:r>
      <w:r>
        <w:rPr>
          <w:sz w:val="20"/>
          <w:szCs w:val="20"/>
        </w:rPr>
        <w:t xml:space="preserve">. </w:t>
      </w:r>
      <w:r w:rsidRPr="00F17F8E">
        <w:rPr>
          <w:sz w:val="20"/>
          <w:szCs w:val="20"/>
        </w:rPr>
        <w:t>Actuellement très fréquente lors d’allergie au blé</w:t>
      </w:r>
      <w:r>
        <w:rPr>
          <w:sz w:val="20"/>
          <w:szCs w:val="20"/>
        </w:rPr>
        <w:t>.</w:t>
      </w:r>
    </w:p>
    <w:p w:rsidR="005F12BC" w:rsidRPr="005A3947" w:rsidRDefault="005F12BC" w:rsidP="005A3947">
      <w:pPr>
        <w:rPr>
          <w:sz w:val="20"/>
          <w:szCs w:val="20"/>
        </w:rPr>
      </w:pPr>
      <w:r w:rsidRPr="005A3947">
        <w:rPr>
          <w:sz w:val="20"/>
          <w:szCs w:val="20"/>
        </w:rPr>
        <w:br w:type="page"/>
      </w:r>
    </w:p>
    <w:p w:rsidR="00796D74" w:rsidRPr="00196BD5" w:rsidRDefault="00CB2A6C" w:rsidP="00196BD5">
      <w:pPr>
        <w:jc w:val="center"/>
        <w:rPr>
          <w:b/>
          <w:sz w:val="20"/>
        </w:rPr>
      </w:pPr>
      <w:r w:rsidRPr="00196BD5">
        <w:rPr>
          <w:b/>
        </w:rPr>
        <w:lastRenderedPageBreak/>
        <w:t>Traitement des pathologies allergiques</w:t>
      </w:r>
    </w:p>
    <w:p w:rsidR="00196BD5" w:rsidRDefault="00CB2A6C" w:rsidP="00196BD5">
      <w:pPr>
        <w:rPr>
          <w:sz w:val="20"/>
        </w:rPr>
      </w:pPr>
      <w:r w:rsidRPr="00196BD5">
        <w:rPr>
          <w:b/>
          <w:sz w:val="20"/>
          <w:u w:val="single"/>
        </w:rPr>
        <w:t>Les antihistaminiques</w:t>
      </w:r>
      <w:r w:rsidR="000B0A08">
        <w:rPr>
          <w:b/>
          <w:sz w:val="20"/>
          <w:u w:val="single"/>
        </w:rPr>
        <w:t xml:space="preserve"> (anti-H1)</w:t>
      </w:r>
      <w:r>
        <w:rPr>
          <w:sz w:val="20"/>
        </w:rPr>
        <w:t> :</w:t>
      </w:r>
    </w:p>
    <w:p w:rsidR="000B0A08" w:rsidRDefault="000B0A08" w:rsidP="000B0A08">
      <w:pPr>
        <w:pStyle w:val="Paragraphedeliste"/>
        <w:numPr>
          <w:ilvl w:val="0"/>
          <w:numId w:val="6"/>
        </w:numPr>
        <w:rPr>
          <w:sz w:val="20"/>
        </w:rPr>
      </w:pPr>
      <w:r>
        <w:rPr>
          <w:sz w:val="20"/>
        </w:rPr>
        <w:t>Nez : ↓rhinorrhée fluide/éternuements/prurit. Peu d’effets sur obstruction nasale</w:t>
      </w:r>
    </w:p>
    <w:p w:rsidR="000B0A08" w:rsidRDefault="000B0A08" w:rsidP="000B0A08">
      <w:pPr>
        <w:pStyle w:val="Paragraphedeliste"/>
        <w:numPr>
          <w:ilvl w:val="0"/>
          <w:numId w:val="6"/>
        </w:numPr>
        <w:rPr>
          <w:sz w:val="20"/>
        </w:rPr>
      </w:pPr>
      <w:r>
        <w:rPr>
          <w:sz w:val="20"/>
        </w:rPr>
        <w:t>Œil :  ↓larmoiement/prurit/conjonctivite</w:t>
      </w:r>
    </w:p>
    <w:p w:rsidR="000B0A08" w:rsidRDefault="000B0A08" w:rsidP="000B0A08">
      <w:pPr>
        <w:pStyle w:val="Paragraphedeliste"/>
        <w:numPr>
          <w:ilvl w:val="0"/>
          <w:numId w:val="6"/>
        </w:numPr>
        <w:rPr>
          <w:sz w:val="20"/>
        </w:rPr>
      </w:pPr>
      <w:r>
        <w:rPr>
          <w:sz w:val="20"/>
        </w:rPr>
        <w:t>Peau : ↓prurit/urticaire</w:t>
      </w:r>
    </w:p>
    <w:p w:rsidR="000B0A08" w:rsidRPr="000B0A08" w:rsidRDefault="000B0A08" w:rsidP="000B0A08">
      <w:pPr>
        <w:pStyle w:val="Paragraphedeliste"/>
        <w:numPr>
          <w:ilvl w:val="0"/>
          <w:numId w:val="6"/>
        </w:numPr>
        <w:rPr>
          <w:sz w:val="20"/>
        </w:rPr>
      </w:pPr>
      <w:r>
        <w:rPr>
          <w:sz w:val="20"/>
        </w:rPr>
        <w:t>Bronches : peu ou pas d’effet sur asthme</w:t>
      </w:r>
    </w:p>
    <w:p w:rsidR="00B90612" w:rsidRDefault="00196BD5" w:rsidP="00196BD5">
      <w:pPr>
        <w:rPr>
          <w:sz w:val="20"/>
        </w:rPr>
      </w:pPr>
      <w:r w:rsidRPr="00196BD5">
        <w:rPr>
          <w:b/>
          <w:sz w:val="20"/>
        </w:rPr>
        <w:t>1</w:t>
      </w:r>
      <w:r w:rsidRPr="00196BD5">
        <w:rPr>
          <w:b/>
          <w:sz w:val="20"/>
          <w:vertAlign w:val="superscript"/>
        </w:rPr>
        <w:t>ère</w:t>
      </w:r>
      <w:r w:rsidRPr="00196BD5">
        <w:rPr>
          <w:b/>
          <w:sz w:val="20"/>
        </w:rPr>
        <w:t xml:space="preserve"> génération</w:t>
      </w:r>
      <w:r>
        <w:rPr>
          <w:sz w:val="20"/>
        </w:rPr>
        <w:t> </w:t>
      </w:r>
      <w:r w:rsidR="000B0A08">
        <w:rPr>
          <w:sz w:val="20"/>
        </w:rPr>
        <w:t xml:space="preserve">(années 50) </w:t>
      </w:r>
      <w:r>
        <w:rPr>
          <w:sz w:val="20"/>
        </w:rPr>
        <w:t>:</w:t>
      </w:r>
      <w:r w:rsidR="00B90612">
        <w:rPr>
          <w:sz w:val="20"/>
        </w:rPr>
        <w:t xml:space="preserve"> dérivés des phénothiazines. Libre achat (ne nécessitent pas de prescription). Sont pris per os et très efficaces mais ont aussi des effets sédatifs et anti-ACh (pénible à supporter pour le patient).</w:t>
      </w:r>
      <w:r w:rsidR="00787178">
        <w:rPr>
          <w:sz w:val="20"/>
        </w:rPr>
        <w:t xml:space="preserve"> </w:t>
      </w:r>
      <w:r w:rsidR="00B90612">
        <w:rPr>
          <w:sz w:val="20"/>
        </w:rPr>
        <w:t xml:space="preserve">Utilisations : surtout pour prurit nocturne (per os), mais </w:t>
      </w:r>
      <w:r w:rsidR="00C47B78">
        <w:rPr>
          <w:sz w:val="20"/>
        </w:rPr>
        <w:t>h</w:t>
      </w:r>
      <w:r w:rsidR="00B90612">
        <w:rPr>
          <w:sz w:val="20"/>
        </w:rPr>
        <w:t>ydrosolubles donc injection iv possible pour urgence.</w:t>
      </w:r>
    </w:p>
    <w:p w:rsidR="00B90612" w:rsidRDefault="00196BD5" w:rsidP="00196BD5">
      <w:pPr>
        <w:rPr>
          <w:sz w:val="20"/>
        </w:rPr>
      </w:pPr>
      <w:r w:rsidRPr="00196BD5">
        <w:rPr>
          <w:b/>
          <w:sz w:val="20"/>
        </w:rPr>
        <w:t>2</w:t>
      </w:r>
      <w:r w:rsidRPr="00196BD5">
        <w:rPr>
          <w:b/>
          <w:sz w:val="20"/>
          <w:vertAlign w:val="superscript"/>
        </w:rPr>
        <w:t>ème</w:t>
      </w:r>
      <w:r w:rsidRPr="00196BD5">
        <w:rPr>
          <w:b/>
          <w:sz w:val="20"/>
        </w:rPr>
        <w:t xml:space="preserve"> génération</w:t>
      </w:r>
      <w:r>
        <w:rPr>
          <w:sz w:val="20"/>
        </w:rPr>
        <w:t> </w:t>
      </w:r>
      <w:r w:rsidR="000B0A08">
        <w:rPr>
          <w:sz w:val="20"/>
        </w:rPr>
        <w:t xml:space="preserve">(années 80) </w:t>
      </w:r>
      <w:r>
        <w:rPr>
          <w:sz w:val="20"/>
        </w:rPr>
        <w:t>:</w:t>
      </w:r>
      <w:r w:rsidR="00B90612">
        <w:rPr>
          <w:sz w:val="20"/>
        </w:rPr>
        <w:t xml:space="preserve"> peu hydrosolubles donc per os. Très efficaces et sélectifs (pratiquement pas d’effet sédatif ou antiACh). Profiter du fait que certains ont métabolisme hépatique et d’autres rénal (important d’en tenir compte s’il y a une insuffisance). Certains peuvent être pris pendant la grossesse et à faibles doses pendant allaitement. Attention au Mizollen qui peut causer allongement QT (contrindiqué si troubles de fonction cardiaque).</w:t>
      </w:r>
    </w:p>
    <w:p w:rsidR="00B90612" w:rsidRPr="00B90612" w:rsidRDefault="00196BD5" w:rsidP="00566A5D">
      <w:pPr>
        <w:spacing w:after="0"/>
        <w:rPr>
          <w:sz w:val="20"/>
        </w:rPr>
      </w:pPr>
      <w:r w:rsidRPr="00196BD5">
        <w:rPr>
          <w:b/>
          <w:sz w:val="20"/>
        </w:rPr>
        <w:t>Topiques</w:t>
      </w:r>
      <w:r>
        <w:rPr>
          <w:sz w:val="20"/>
        </w:rPr>
        <w:t> :</w:t>
      </w:r>
      <w:r w:rsidR="00B90612" w:rsidRPr="00B90612">
        <w:t xml:space="preserve"> </w:t>
      </w:r>
      <w:r w:rsidR="00B90612" w:rsidRPr="00B90612">
        <w:rPr>
          <w:sz w:val="20"/>
          <w:highlight w:val="yellow"/>
        </w:rPr>
        <w:t>collyres</w:t>
      </w:r>
      <w:r w:rsidR="00B90612" w:rsidRPr="00B90612">
        <w:rPr>
          <w:sz w:val="20"/>
        </w:rPr>
        <w:t xml:space="preserve"> oculaires </w:t>
      </w:r>
      <w:r w:rsidR="00B90612">
        <w:rPr>
          <w:sz w:val="20"/>
        </w:rPr>
        <w:t>(= gouttes ophtalmiques) et sprays pour le nez</w:t>
      </w:r>
    </w:p>
    <w:p w:rsidR="00566A5D" w:rsidRDefault="00B90612" w:rsidP="00566A5D">
      <w:pPr>
        <w:pStyle w:val="Paragraphedeliste"/>
        <w:numPr>
          <w:ilvl w:val="0"/>
          <w:numId w:val="33"/>
        </w:numPr>
        <w:spacing w:after="0"/>
        <w:rPr>
          <w:sz w:val="20"/>
        </w:rPr>
      </w:pPr>
      <w:r w:rsidRPr="00566A5D">
        <w:rPr>
          <w:sz w:val="20"/>
        </w:rPr>
        <w:t>Bonne efficacité antiallergique surtout pour la conjonctivite</w:t>
      </w:r>
    </w:p>
    <w:p w:rsidR="00566A5D" w:rsidRDefault="00B90612" w:rsidP="00B90612">
      <w:pPr>
        <w:pStyle w:val="Paragraphedeliste"/>
        <w:numPr>
          <w:ilvl w:val="0"/>
          <w:numId w:val="33"/>
        </w:numPr>
        <w:rPr>
          <w:sz w:val="20"/>
        </w:rPr>
      </w:pPr>
      <w:r w:rsidRPr="00566A5D">
        <w:rPr>
          <w:sz w:val="20"/>
        </w:rPr>
        <w:t xml:space="preserve">Action rapide (1/4h), durée 12h </w:t>
      </w:r>
    </w:p>
    <w:p w:rsidR="00566A5D" w:rsidRDefault="00B90612" w:rsidP="00B90612">
      <w:pPr>
        <w:pStyle w:val="Paragraphedeliste"/>
        <w:numPr>
          <w:ilvl w:val="0"/>
          <w:numId w:val="33"/>
        </w:numPr>
        <w:rPr>
          <w:sz w:val="20"/>
        </w:rPr>
      </w:pPr>
      <w:r w:rsidRPr="00566A5D">
        <w:rPr>
          <w:sz w:val="20"/>
        </w:rPr>
        <w:t xml:space="preserve">Taux sanguins très faibles (utiles dans la grossesse et l’allaitement) </w:t>
      </w:r>
    </w:p>
    <w:p w:rsidR="00566A5D" w:rsidRDefault="00B90612" w:rsidP="00B90612">
      <w:pPr>
        <w:pStyle w:val="Paragraphedeliste"/>
        <w:numPr>
          <w:ilvl w:val="0"/>
          <w:numId w:val="33"/>
        </w:numPr>
        <w:rPr>
          <w:sz w:val="20"/>
        </w:rPr>
      </w:pPr>
      <w:r w:rsidRPr="00566A5D">
        <w:rPr>
          <w:sz w:val="20"/>
        </w:rPr>
        <w:t xml:space="preserve">Effets </w:t>
      </w:r>
      <w:r w:rsidR="00566A5D">
        <w:rPr>
          <w:sz w:val="20"/>
        </w:rPr>
        <w:t>secondaires locaux bénins</w:t>
      </w:r>
    </w:p>
    <w:p w:rsidR="00196BD5" w:rsidRPr="00566A5D" w:rsidRDefault="00566A5D" w:rsidP="00B90612">
      <w:pPr>
        <w:pStyle w:val="Paragraphedeliste"/>
        <w:numPr>
          <w:ilvl w:val="0"/>
          <w:numId w:val="33"/>
        </w:numPr>
        <w:rPr>
          <w:sz w:val="20"/>
        </w:rPr>
      </w:pPr>
      <w:r>
        <w:rPr>
          <w:sz w:val="20"/>
        </w:rPr>
        <w:t>Seul inconvénient : p</w:t>
      </w:r>
      <w:r w:rsidR="00B90612" w:rsidRPr="00566A5D">
        <w:rPr>
          <w:sz w:val="20"/>
        </w:rPr>
        <w:t xml:space="preserve">rix ≥ 2x TTT antiH1 oral </w:t>
      </w:r>
      <w:r w:rsidR="00B90612" w:rsidRPr="00566A5D">
        <w:rPr>
          <w:sz w:val="20"/>
        </w:rPr>
        <w:cr/>
      </w:r>
    </w:p>
    <w:p w:rsidR="00CB2A6C" w:rsidRDefault="00F30EA2" w:rsidP="00566A5D">
      <w:pPr>
        <w:spacing w:after="0"/>
        <w:rPr>
          <w:sz w:val="20"/>
        </w:rPr>
      </w:pPr>
      <w:r w:rsidRPr="00F30EA2">
        <w:rPr>
          <w:b/>
          <w:sz w:val="20"/>
          <w:u w:val="single"/>
        </w:rPr>
        <w:t>C</w:t>
      </w:r>
      <w:r w:rsidR="00566A5D">
        <w:rPr>
          <w:b/>
          <w:sz w:val="20"/>
          <w:u w:val="single"/>
        </w:rPr>
        <w:t>h</w:t>
      </w:r>
      <w:r w:rsidRPr="00F30EA2">
        <w:rPr>
          <w:b/>
          <w:sz w:val="20"/>
          <w:u w:val="single"/>
        </w:rPr>
        <w:t>romones (topiques) = sels disodiques</w:t>
      </w:r>
      <w:r w:rsidR="00566A5D">
        <w:rPr>
          <w:sz w:val="20"/>
        </w:rPr>
        <w:t xml:space="preserve"> (ex cromoglycate) : inhibent dégranulation mastocytaire</w:t>
      </w:r>
      <w:r w:rsidR="005B6F31">
        <w:rPr>
          <w:sz w:val="20"/>
        </w:rPr>
        <w:t xml:space="preserve"> dans rhinites allergiques, conjonctivite et asthmes allergiques.</w:t>
      </w:r>
    </w:p>
    <w:p w:rsidR="00566A5D" w:rsidRDefault="00566A5D" w:rsidP="00566A5D">
      <w:pPr>
        <w:pStyle w:val="Paragraphedeliste"/>
        <w:numPr>
          <w:ilvl w:val="0"/>
          <w:numId w:val="33"/>
        </w:numPr>
        <w:spacing w:after="0"/>
        <w:rPr>
          <w:sz w:val="20"/>
        </w:rPr>
      </w:pPr>
      <w:r>
        <w:rPr>
          <w:sz w:val="20"/>
        </w:rPr>
        <w:t>Rhinite : moins efficaces que les corticoïdes topiques</w:t>
      </w:r>
    </w:p>
    <w:p w:rsidR="00566A5D" w:rsidRPr="00566A5D" w:rsidRDefault="00566A5D" w:rsidP="00566A5D">
      <w:pPr>
        <w:pStyle w:val="Paragraphedeliste"/>
        <w:numPr>
          <w:ilvl w:val="0"/>
          <w:numId w:val="33"/>
        </w:numPr>
        <w:rPr>
          <w:sz w:val="20"/>
        </w:rPr>
      </w:pPr>
      <w:r>
        <w:rPr>
          <w:sz w:val="20"/>
        </w:rPr>
        <w:t>Conjonctivite : très efficace (utile d’ailleurs car prescription de corticoïdes topiques nécessite examen ophtalmique → risque de perforation si on applique stéroïdes alors que c’est une infection).</w:t>
      </w:r>
    </w:p>
    <w:p w:rsidR="00F30EA2" w:rsidRDefault="00F30EA2" w:rsidP="00787178">
      <w:pPr>
        <w:spacing w:after="0"/>
        <w:rPr>
          <w:sz w:val="20"/>
        </w:rPr>
      </w:pPr>
      <w:r w:rsidRPr="00F30EA2">
        <w:rPr>
          <w:b/>
          <w:sz w:val="20"/>
          <w:u w:val="single"/>
        </w:rPr>
        <w:t>Stéroïdes topiques (inhalés → STI)</w:t>
      </w:r>
      <w:r>
        <w:rPr>
          <w:sz w:val="20"/>
        </w:rPr>
        <w:t xml:space="preserve"> :</w:t>
      </w:r>
      <w:r w:rsidR="005B6F31">
        <w:rPr>
          <w:sz w:val="20"/>
        </w:rPr>
        <w:t xml:space="preserve"> très efficaces pour réduire l’inflammation. </w:t>
      </w:r>
    </w:p>
    <w:p w:rsidR="00787178" w:rsidRDefault="00787178" w:rsidP="00787178">
      <w:pPr>
        <w:pStyle w:val="Paragraphedeliste"/>
        <w:numPr>
          <w:ilvl w:val="0"/>
          <w:numId w:val="33"/>
        </w:numPr>
        <w:spacing w:after="0"/>
        <w:rPr>
          <w:sz w:val="20"/>
        </w:rPr>
      </w:pPr>
      <w:r>
        <w:rPr>
          <w:sz w:val="20"/>
        </w:rPr>
        <w:t>Utilisés pour : asthme si &gt;1 crise/semaine, rhinite y compris obstruction</w:t>
      </w:r>
    </w:p>
    <w:p w:rsidR="00787178" w:rsidRDefault="00787178" w:rsidP="00787178">
      <w:pPr>
        <w:pStyle w:val="Paragraphedeliste"/>
        <w:numPr>
          <w:ilvl w:val="0"/>
          <w:numId w:val="33"/>
        </w:numPr>
        <w:rPr>
          <w:sz w:val="20"/>
        </w:rPr>
      </w:pPr>
      <w:r>
        <w:rPr>
          <w:sz w:val="20"/>
        </w:rPr>
        <w:t>Avantages : peu d’effets systémiques aux doses prescrites. Ttt de choix pour grossesse et allaitement (asthme et rhinite)</w:t>
      </w:r>
    </w:p>
    <w:p w:rsidR="00787178" w:rsidRDefault="00787178" w:rsidP="00787178">
      <w:pPr>
        <w:pStyle w:val="Paragraphedeliste"/>
        <w:numPr>
          <w:ilvl w:val="0"/>
          <w:numId w:val="33"/>
        </w:numPr>
        <w:rPr>
          <w:sz w:val="20"/>
        </w:rPr>
      </w:pPr>
      <w:r>
        <w:rPr>
          <w:sz w:val="20"/>
        </w:rPr>
        <w:t>Effets 2° : mycoses orales (très exceptionnellement perforation de la cloison nasale)</w:t>
      </w:r>
    </w:p>
    <w:p w:rsidR="00787178" w:rsidRDefault="00787178" w:rsidP="00787178">
      <w:pPr>
        <w:spacing w:after="0"/>
        <w:rPr>
          <w:sz w:val="20"/>
        </w:rPr>
      </w:pPr>
      <w:r>
        <w:rPr>
          <w:sz w:val="20"/>
        </w:rPr>
        <w:t>Si ttt d’asthme à long terme :</w:t>
      </w:r>
    </w:p>
    <w:p w:rsidR="00787178" w:rsidRPr="00787178" w:rsidRDefault="00787178" w:rsidP="00787178">
      <w:pPr>
        <w:pStyle w:val="Paragraphedeliste"/>
        <w:numPr>
          <w:ilvl w:val="0"/>
          <w:numId w:val="33"/>
        </w:numPr>
        <w:spacing w:after="0"/>
        <w:rPr>
          <w:sz w:val="20"/>
        </w:rPr>
      </w:pPr>
      <w:r w:rsidRPr="00787178">
        <w:rPr>
          <w:sz w:val="20"/>
        </w:rPr>
        <w:t xml:space="preserve">Préférer les STI aux corticostéroïdes par voie systémique </w:t>
      </w:r>
    </w:p>
    <w:p w:rsidR="00787178" w:rsidRPr="00787178" w:rsidRDefault="00787178" w:rsidP="00787178">
      <w:pPr>
        <w:pStyle w:val="Paragraphedeliste"/>
        <w:numPr>
          <w:ilvl w:val="0"/>
          <w:numId w:val="33"/>
        </w:numPr>
        <w:spacing w:after="0"/>
        <w:rPr>
          <w:sz w:val="20"/>
        </w:rPr>
      </w:pPr>
      <w:r w:rsidRPr="00787178">
        <w:rPr>
          <w:sz w:val="20"/>
        </w:rPr>
        <w:t xml:space="preserve">Utiliser la dose de STI la plus faible possible, se rincer la bouche </w:t>
      </w:r>
    </w:p>
    <w:p w:rsidR="00787178" w:rsidRPr="00787178" w:rsidRDefault="00787178" w:rsidP="00787178">
      <w:pPr>
        <w:pStyle w:val="Paragraphedeliste"/>
        <w:numPr>
          <w:ilvl w:val="0"/>
          <w:numId w:val="33"/>
        </w:numPr>
        <w:spacing w:after="0"/>
        <w:rPr>
          <w:sz w:val="20"/>
        </w:rPr>
      </w:pPr>
      <w:r w:rsidRPr="00787178">
        <w:rPr>
          <w:sz w:val="20"/>
        </w:rPr>
        <w:t xml:space="preserve">Ajouter si nécessaire un traitement complémentaire </w:t>
      </w:r>
    </w:p>
    <w:p w:rsidR="00787178" w:rsidRPr="00787178" w:rsidRDefault="00787178" w:rsidP="00787178">
      <w:pPr>
        <w:pStyle w:val="Paragraphedeliste"/>
        <w:numPr>
          <w:ilvl w:val="0"/>
          <w:numId w:val="33"/>
        </w:numPr>
        <w:spacing w:after="0"/>
        <w:rPr>
          <w:sz w:val="20"/>
        </w:rPr>
      </w:pPr>
      <w:r w:rsidRPr="00787178">
        <w:rPr>
          <w:sz w:val="20"/>
        </w:rPr>
        <w:t xml:space="preserve">Chez l’enfant, suivre le status staturo-pondéral </w:t>
      </w:r>
    </w:p>
    <w:p w:rsidR="00787178" w:rsidRPr="00787178" w:rsidRDefault="00787178" w:rsidP="00787178">
      <w:pPr>
        <w:pStyle w:val="Paragraphedeliste"/>
        <w:numPr>
          <w:ilvl w:val="0"/>
          <w:numId w:val="33"/>
        </w:numPr>
        <w:spacing w:after="0"/>
        <w:rPr>
          <w:sz w:val="20"/>
        </w:rPr>
      </w:pPr>
      <w:r w:rsidRPr="00787178">
        <w:rPr>
          <w:sz w:val="20"/>
        </w:rPr>
        <w:t xml:space="preserve">Assurer une diète correcte (apport protéino-calorique + calcique suffisant) </w:t>
      </w:r>
    </w:p>
    <w:p w:rsidR="00787178" w:rsidRPr="00787178" w:rsidRDefault="00787178" w:rsidP="00787178">
      <w:pPr>
        <w:pStyle w:val="Paragraphedeliste"/>
        <w:numPr>
          <w:ilvl w:val="0"/>
          <w:numId w:val="33"/>
        </w:numPr>
        <w:spacing w:after="0"/>
        <w:rPr>
          <w:sz w:val="20"/>
        </w:rPr>
      </w:pPr>
      <w:r w:rsidRPr="00787178">
        <w:rPr>
          <w:sz w:val="20"/>
        </w:rPr>
        <w:t xml:space="preserve">Maintenir une bonne activité physique (+ expos. solaire 15-20min/j pour vit D) </w:t>
      </w:r>
    </w:p>
    <w:p w:rsidR="00787178" w:rsidRPr="00787178" w:rsidRDefault="00787178" w:rsidP="00787178">
      <w:pPr>
        <w:pStyle w:val="Paragraphedeliste"/>
        <w:numPr>
          <w:ilvl w:val="0"/>
          <w:numId w:val="33"/>
        </w:numPr>
        <w:spacing w:after="0"/>
        <w:rPr>
          <w:sz w:val="20"/>
        </w:rPr>
      </w:pPr>
      <w:r w:rsidRPr="00787178">
        <w:rPr>
          <w:sz w:val="20"/>
        </w:rPr>
        <w:t xml:space="preserve">Si STI&gt; 1000 µg/j → calcium + vit D </w:t>
      </w:r>
    </w:p>
    <w:p w:rsidR="00787178" w:rsidRPr="00787178" w:rsidRDefault="00787178" w:rsidP="00787178">
      <w:pPr>
        <w:pStyle w:val="Paragraphedeliste"/>
        <w:numPr>
          <w:ilvl w:val="0"/>
          <w:numId w:val="33"/>
        </w:numPr>
        <w:spacing w:after="0"/>
        <w:rPr>
          <w:sz w:val="20"/>
        </w:rPr>
      </w:pPr>
      <w:r w:rsidRPr="00787178">
        <w:rPr>
          <w:sz w:val="20"/>
        </w:rPr>
        <w:t>Densitométrie osseuse si ttt &gt; 3mois avec STI</w:t>
      </w:r>
      <w:r>
        <w:rPr>
          <w:sz w:val="20"/>
        </w:rPr>
        <w:t xml:space="preserve"> </w:t>
      </w:r>
      <w:r w:rsidRPr="00787178">
        <w:rPr>
          <w:sz w:val="20"/>
        </w:rPr>
        <w:t>&gt; 1000 µg/j chez l’adulte</w:t>
      </w:r>
      <w:r>
        <w:rPr>
          <w:sz w:val="20"/>
        </w:rPr>
        <w:t xml:space="preserve"> ou </w:t>
      </w:r>
      <w:r w:rsidRPr="00787178">
        <w:rPr>
          <w:sz w:val="20"/>
        </w:rPr>
        <w:t>&gt; 400 µg/j chez l’enfant</w:t>
      </w:r>
    </w:p>
    <w:p w:rsidR="00787178" w:rsidRDefault="00787178" w:rsidP="00787178">
      <w:pPr>
        <w:spacing w:after="0"/>
        <w:rPr>
          <w:b/>
          <w:sz w:val="20"/>
          <w:u w:val="single"/>
        </w:rPr>
      </w:pPr>
    </w:p>
    <w:p w:rsidR="00787178" w:rsidRDefault="005E6D68" w:rsidP="00787178">
      <w:pPr>
        <w:spacing w:after="0"/>
        <w:rPr>
          <w:sz w:val="20"/>
        </w:rPr>
      </w:pPr>
      <w:r w:rsidRPr="005E6D68">
        <w:rPr>
          <w:b/>
          <w:sz w:val="20"/>
          <w:u w:val="single"/>
        </w:rPr>
        <w:t>Antileucotriènes</w:t>
      </w:r>
      <w:r>
        <w:rPr>
          <w:b/>
          <w:sz w:val="20"/>
          <w:u w:val="single"/>
        </w:rPr>
        <w:t xml:space="preserve"> (</w:t>
      </w:r>
      <w:r w:rsidR="00C47B78">
        <w:rPr>
          <w:b/>
          <w:sz w:val="20"/>
          <w:u w:val="single"/>
        </w:rPr>
        <w:t xml:space="preserve">= -lukasts, </w:t>
      </w:r>
      <w:r>
        <w:rPr>
          <w:b/>
          <w:sz w:val="20"/>
          <w:u w:val="single"/>
        </w:rPr>
        <w:t>per os)</w:t>
      </w:r>
      <w:r>
        <w:rPr>
          <w:sz w:val="20"/>
        </w:rPr>
        <w:t> :</w:t>
      </w:r>
      <w:r w:rsidR="00787178" w:rsidRPr="00787178">
        <w:rPr>
          <w:sz w:val="20"/>
        </w:rPr>
        <w:t xml:space="preserve"> ttt </w:t>
      </w:r>
      <w:r w:rsidR="00787178">
        <w:rPr>
          <w:sz w:val="20"/>
        </w:rPr>
        <w:t>2</w:t>
      </w:r>
      <w:r w:rsidR="00787178" w:rsidRPr="00787178">
        <w:rPr>
          <w:sz w:val="20"/>
          <w:vertAlign w:val="superscript"/>
        </w:rPr>
        <w:t>ème</w:t>
      </w:r>
      <w:r w:rsidR="00787178">
        <w:rPr>
          <w:sz w:val="20"/>
        </w:rPr>
        <w:t xml:space="preserve"> ligne</w:t>
      </w:r>
      <w:r w:rsidR="00C47B78">
        <w:rPr>
          <w:sz w:val="20"/>
        </w:rPr>
        <w:t xml:space="preserve"> (i.e. prophylaxie).</w:t>
      </w:r>
      <w:r w:rsidR="00787178">
        <w:rPr>
          <w:sz w:val="20"/>
        </w:rPr>
        <w:t xml:space="preserve"> 1</w:t>
      </w:r>
      <w:r w:rsidR="00787178" w:rsidRPr="00787178">
        <w:rPr>
          <w:sz w:val="20"/>
          <w:vertAlign w:val="superscript"/>
        </w:rPr>
        <w:t>ère</w:t>
      </w:r>
      <w:r w:rsidR="00787178">
        <w:rPr>
          <w:sz w:val="20"/>
        </w:rPr>
        <w:t xml:space="preserve"> ligne = bron</w:t>
      </w:r>
      <w:r w:rsidR="00C47B78">
        <w:rPr>
          <w:sz w:val="20"/>
        </w:rPr>
        <w:t>chodilatateurs/corticoïdes</w:t>
      </w:r>
    </w:p>
    <w:p w:rsidR="00787178" w:rsidRPr="00787178" w:rsidRDefault="00787178" w:rsidP="00787178">
      <w:pPr>
        <w:spacing w:after="0"/>
        <w:rPr>
          <w:sz w:val="20"/>
        </w:rPr>
      </w:pPr>
      <w:r w:rsidRPr="00787178">
        <w:rPr>
          <w:sz w:val="20"/>
        </w:rPr>
        <w:t xml:space="preserve">Effet anti-inflammatoire &lt; corticoïdes topiques </w:t>
      </w:r>
      <w:r>
        <w:rPr>
          <w:sz w:val="20"/>
        </w:rPr>
        <w:t>et effet bronchodilatateur léger.</w:t>
      </w:r>
    </w:p>
    <w:p w:rsidR="00787178" w:rsidRPr="00787178" w:rsidRDefault="00787178" w:rsidP="00787178">
      <w:pPr>
        <w:spacing w:after="0"/>
        <w:rPr>
          <w:sz w:val="20"/>
        </w:rPr>
      </w:pPr>
      <w:r w:rsidRPr="00787178">
        <w:rPr>
          <w:sz w:val="20"/>
        </w:rPr>
        <w:t xml:space="preserve">Association possible avec corticoïdes topiques pour en ↓ la dose aussi bien chez l’adulte que l’enfant </w:t>
      </w:r>
    </w:p>
    <w:p w:rsidR="00787178" w:rsidRDefault="00787178" w:rsidP="00787178">
      <w:pPr>
        <w:spacing w:after="0"/>
        <w:rPr>
          <w:sz w:val="20"/>
        </w:rPr>
      </w:pPr>
      <w:r w:rsidRPr="00787178">
        <w:rPr>
          <w:sz w:val="20"/>
        </w:rPr>
        <w:t xml:space="preserve">Utilisation dans </w:t>
      </w:r>
    </w:p>
    <w:p w:rsidR="00787178" w:rsidRDefault="00787178" w:rsidP="00787178">
      <w:pPr>
        <w:pStyle w:val="Paragraphedeliste"/>
        <w:numPr>
          <w:ilvl w:val="0"/>
          <w:numId w:val="33"/>
        </w:numPr>
        <w:spacing w:after="0"/>
        <w:rPr>
          <w:sz w:val="20"/>
        </w:rPr>
      </w:pPr>
      <w:r w:rsidRPr="00787178">
        <w:rPr>
          <w:sz w:val="20"/>
        </w:rPr>
        <w:t xml:space="preserve">l’asthme d’effort ou avec intolérance </w:t>
      </w:r>
      <w:r>
        <w:rPr>
          <w:sz w:val="20"/>
        </w:rPr>
        <w:t>à l’aspirine et polypose nasale (Widal ; souvent hyperéosino)</w:t>
      </w:r>
    </w:p>
    <w:p w:rsidR="005E6D68" w:rsidRPr="00787178" w:rsidRDefault="00787178" w:rsidP="00787178">
      <w:pPr>
        <w:pStyle w:val="Paragraphedeliste"/>
        <w:numPr>
          <w:ilvl w:val="0"/>
          <w:numId w:val="33"/>
        </w:numPr>
        <w:spacing w:after="0"/>
        <w:rPr>
          <w:sz w:val="20"/>
        </w:rPr>
      </w:pPr>
      <w:r w:rsidRPr="00787178">
        <w:rPr>
          <w:sz w:val="20"/>
        </w:rPr>
        <w:t>la rhinite obstructive</w:t>
      </w:r>
    </w:p>
    <w:p w:rsidR="005E6D68" w:rsidRDefault="005E6D68" w:rsidP="00787178">
      <w:pPr>
        <w:spacing w:after="0"/>
        <w:rPr>
          <w:sz w:val="20"/>
        </w:rPr>
      </w:pPr>
      <w:r w:rsidRPr="005E6D68">
        <w:rPr>
          <w:b/>
          <w:sz w:val="20"/>
          <w:u w:val="single"/>
        </w:rPr>
        <w:lastRenderedPageBreak/>
        <w:t>Bronchodilatateurs</w:t>
      </w:r>
      <w:r w:rsidR="00787178">
        <w:rPr>
          <w:b/>
          <w:sz w:val="20"/>
          <w:u w:val="single"/>
        </w:rPr>
        <w:t xml:space="preserve"> (β2 agonistes)</w:t>
      </w:r>
      <w:r>
        <w:rPr>
          <w:sz w:val="20"/>
        </w:rPr>
        <w:t> :</w:t>
      </w:r>
      <w:r w:rsidR="00787178">
        <w:rPr>
          <w:sz w:val="20"/>
        </w:rPr>
        <w:t xml:space="preserve"> utilisés le plus souvent en inhalation. </w:t>
      </w:r>
      <w:r w:rsidR="00787178" w:rsidRPr="00787178">
        <w:rPr>
          <w:sz w:val="20"/>
        </w:rPr>
        <w:t xml:space="preserve">Association obligatoire avec un ttt anti-inflammatoire (corticoïdes) </w:t>
      </w:r>
      <w:r w:rsidR="00787178">
        <w:rPr>
          <w:sz w:val="20"/>
        </w:rPr>
        <w:t>dès qu’ils sont nécessaires</w:t>
      </w:r>
      <w:r w:rsidR="00787178" w:rsidRPr="00787178">
        <w:rPr>
          <w:sz w:val="20"/>
        </w:rPr>
        <w:t xml:space="preserve"> </w:t>
      </w:r>
      <w:r w:rsidR="00787178">
        <w:rPr>
          <w:sz w:val="20"/>
        </w:rPr>
        <w:t>(&gt; ~3x/j). Effets 2° :</w:t>
      </w:r>
    </w:p>
    <w:p w:rsidR="00787178" w:rsidRPr="00787178" w:rsidRDefault="00787178" w:rsidP="00787178">
      <w:pPr>
        <w:pStyle w:val="Paragraphedeliste"/>
        <w:numPr>
          <w:ilvl w:val="0"/>
          <w:numId w:val="33"/>
        </w:numPr>
        <w:spacing w:after="0"/>
        <w:rPr>
          <w:sz w:val="20"/>
        </w:rPr>
      </w:pPr>
      <w:r w:rsidRPr="00787178">
        <w:rPr>
          <w:sz w:val="20"/>
        </w:rPr>
        <w:t xml:space="preserve">tremor &gt; 5% </w:t>
      </w:r>
    </w:p>
    <w:p w:rsidR="00787178" w:rsidRPr="00787178" w:rsidRDefault="00787178" w:rsidP="00787178">
      <w:pPr>
        <w:pStyle w:val="Paragraphedeliste"/>
        <w:numPr>
          <w:ilvl w:val="0"/>
          <w:numId w:val="33"/>
        </w:numPr>
        <w:rPr>
          <w:sz w:val="20"/>
        </w:rPr>
      </w:pPr>
      <w:r w:rsidRPr="00787178">
        <w:rPr>
          <w:sz w:val="20"/>
        </w:rPr>
        <w:t xml:space="preserve">tachycardie supraventriculaire </w:t>
      </w:r>
    </w:p>
    <w:p w:rsidR="00787178" w:rsidRPr="00787178" w:rsidRDefault="00787178" w:rsidP="00787178">
      <w:pPr>
        <w:pStyle w:val="Paragraphedeliste"/>
        <w:numPr>
          <w:ilvl w:val="0"/>
          <w:numId w:val="33"/>
        </w:numPr>
        <w:rPr>
          <w:sz w:val="20"/>
        </w:rPr>
      </w:pPr>
      <w:r w:rsidRPr="00787178">
        <w:rPr>
          <w:sz w:val="20"/>
        </w:rPr>
        <w:t xml:space="preserve">hypokaliémie </w:t>
      </w:r>
    </w:p>
    <w:p w:rsidR="00787178" w:rsidRPr="00787178" w:rsidRDefault="00787178" w:rsidP="00787178">
      <w:pPr>
        <w:pStyle w:val="Paragraphedeliste"/>
        <w:numPr>
          <w:ilvl w:val="0"/>
          <w:numId w:val="33"/>
        </w:numPr>
        <w:rPr>
          <w:sz w:val="20"/>
        </w:rPr>
      </w:pPr>
      <w:r w:rsidRPr="00787178">
        <w:rPr>
          <w:sz w:val="20"/>
        </w:rPr>
        <w:t xml:space="preserve">sécheresse buccale </w:t>
      </w:r>
    </w:p>
    <w:p w:rsidR="00787178" w:rsidRPr="00787178" w:rsidRDefault="00787178" w:rsidP="00787178">
      <w:pPr>
        <w:pStyle w:val="Paragraphedeliste"/>
        <w:numPr>
          <w:ilvl w:val="0"/>
          <w:numId w:val="33"/>
        </w:numPr>
        <w:rPr>
          <w:sz w:val="20"/>
        </w:rPr>
      </w:pPr>
      <w:r w:rsidRPr="00787178">
        <w:rPr>
          <w:sz w:val="20"/>
        </w:rPr>
        <w:t>céphalé</w:t>
      </w:r>
      <w:r w:rsidR="009E7099">
        <w:rPr>
          <w:sz w:val="20"/>
        </w:rPr>
        <w:t>es</w:t>
      </w:r>
    </w:p>
    <w:p w:rsidR="00F30EA2" w:rsidRDefault="005E6D68" w:rsidP="005F12BC">
      <w:pPr>
        <w:spacing w:after="0"/>
        <w:rPr>
          <w:sz w:val="20"/>
        </w:rPr>
      </w:pPr>
      <w:r w:rsidRPr="005E6D68">
        <w:rPr>
          <w:b/>
          <w:sz w:val="20"/>
          <w:u w:val="single"/>
        </w:rPr>
        <w:t>Nouveaux médicaments pour asthme sévère</w:t>
      </w:r>
      <w:r>
        <w:rPr>
          <w:sz w:val="20"/>
        </w:rPr>
        <w:t> :</w:t>
      </w:r>
    </w:p>
    <w:p w:rsidR="009E7099" w:rsidRDefault="009E7099" w:rsidP="005F12BC">
      <w:pPr>
        <w:pStyle w:val="Paragraphedeliste"/>
        <w:numPr>
          <w:ilvl w:val="0"/>
          <w:numId w:val="33"/>
        </w:numPr>
        <w:spacing w:after="0"/>
        <w:rPr>
          <w:sz w:val="20"/>
        </w:rPr>
      </w:pPr>
      <w:r>
        <w:rPr>
          <w:sz w:val="20"/>
        </w:rPr>
        <w:t>Anti-IgE = Omalizumab : très coûteux, remboursé pour asthme sévère persistant si atopie prouvée</w:t>
      </w:r>
    </w:p>
    <w:p w:rsidR="009E7099" w:rsidRPr="009E7099" w:rsidRDefault="009E7099" w:rsidP="009E7099">
      <w:pPr>
        <w:pStyle w:val="Paragraphedeliste"/>
        <w:numPr>
          <w:ilvl w:val="0"/>
          <w:numId w:val="33"/>
        </w:numPr>
        <w:rPr>
          <w:sz w:val="20"/>
        </w:rPr>
      </w:pPr>
      <w:r>
        <w:rPr>
          <w:sz w:val="20"/>
        </w:rPr>
        <w:t>Anti-interleukines : anti-Il-4/5/1</w:t>
      </w:r>
      <w:r w:rsidR="00C47B78">
        <w:rPr>
          <w:sz w:val="20"/>
        </w:rPr>
        <w:t>3</w:t>
      </w:r>
      <w:r>
        <w:rPr>
          <w:sz w:val="20"/>
        </w:rPr>
        <w:t>. Études encourageantes seulement dans asthme très sévère, en particulier chez patients ne répondant pas bien aux autres t</w:t>
      </w:r>
      <w:r w:rsidR="00E727BA">
        <w:rPr>
          <w:sz w:val="20"/>
        </w:rPr>
        <w:t>tt</w:t>
      </w:r>
      <w:r>
        <w:rPr>
          <w:sz w:val="20"/>
        </w:rPr>
        <w:t xml:space="preserve">s. </w:t>
      </w:r>
      <w:r w:rsidR="00E727BA">
        <w:rPr>
          <w:sz w:val="20"/>
        </w:rPr>
        <w:t>A défaut d’être sensationnel pour l’asthme, on pense qu’à l’avenir ça va devenir des très bons ttts pour soigner l’urticaire.</w:t>
      </w:r>
    </w:p>
    <w:p w:rsidR="00F30EA2" w:rsidRDefault="005E6D68" w:rsidP="005F12BC">
      <w:pPr>
        <w:spacing w:after="0"/>
        <w:rPr>
          <w:sz w:val="20"/>
        </w:rPr>
      </w:pPr>
      <w:r w:rsidRPr="005E6D68">
        <w:rPr>
          <w:b/>
          <w:sz w:val="20"/>
          <w:u w:val="single"/>
        </w:rPr>
        <w:t>Messages importants à retenir</w:t>
      </w:r>
      <w:r>
        <w:rPr>
          <w:sz w:val="20"/>
        </w:rPr>
        <w:t> :</w:t>
      </w:r>
    </w:p>
    <w:p w:rsidR="00E727BA" w:rsidRDefault="00E727BA" w:rsidP="005F12BC">
      <w:pPr>
        <w:pStyle w:val="Paragraphedeliste"/>
        <w:numPr>
          <w:ilvl w:val="0"/>
          <w:numId w:val="33"/>
        </w:numPr>
        <w:spacing w:after="0"/>
        <w:rPr>
          <w:sz w:val="20"/>
        </w:rPr>
      </w:pPr>
      <w:r>
        <w:rPr>
          <w:sz w:val="20"/>
        </w:rPr>
        <w:t>S’il y a une réaction grave (choc anaphylactique) : immédiatement injecter adrénaline i/m.</w:t>
      </w:r>
    </w:p>
    <w:p w:rsidR="00E727BA" w:rsidRDefault="00E727BA" w:rsidP="00E727BA">
      <w:pPr>
        <w:pStyle w:val="Paragraphedeliste"/>
        <w:numPr>
          <w:ilvl w:val="0"/>
          <w:numId w:val="33"/>
        </w:numPr>
        <w:rPr>
          <w:sz w:val="20"/>
        </w:rPr>
      </w:pPr>
      <w:r>
        <w:rPr>
          <w:sz w:val="20"/>
        </w:rPr>
        <w:t>Ttt post-urgence :</w:t>
      </w:r>
    </w:p>
    <w:p w:rsidR="00E727BA" w:rsidRPr="00E727BA" w:rsidRDefault="00E727BA" w:rsidP="00E727BA">
      <w:pPr>
        <w:pStyle w:val="Paragraphedeliste"/>
        <w:numPr>
          <w:ilvl w:val="0"/>
          <w:numId w:val="34"/>
        </w:numPr>
        <w:rPr>
          <w:sz w:val="20"/>
        </w:rPr>
      </w:pPr>
      <w:r w:rsidRPr="00E727BA">
        <w:rPr>
          <w:sz w:val="20"/>
        </w:rPr>
        <w:t>antiH1 et cortisone</w:t>
      </w:r>
      <w:r w:rsidR="005F12BC">
        <w:rPr>
          <w:sz w:val="20"/>
        </w:rPr>
        <w:t>/prednisone (agit après qq heures) pour 48H si réaction</w:t>
      </w:r>
      <w:r w:rsidRPr="00E727BA">
        <w:rPr>
          <w:sz w:val="20"/>
        </w:rPr>
        <w:t xml:space="preserve"> sévère </w:t>
      </w:r>
    </w:p>
    <w:p w:rsidR="00E727BA" w:rsidRPr="00E727BA" w:rsidRDefault="00E727BA" w:rsidP="00E727BA">
      <w:pPr>
        <w:pStyle w:val="Paragraphedeliste"/>
        <w:numPr>
          <w:ilvl w:val="0"/>
          <w:numId w:val="34"/>
        </w:numPr>
        <w:rPr>
          <w:sz w:val="20"/>
        </w:rPr>
      </w:pPr>
      <w:r w:rsidRPr="00E727BA">
        <w:rPr>
          <w:sz w:val="20"/>
        </w:rPr>
        <w:t>surveiller le patient 6</w:t>
      </w:r>
      <w:r>
        <w:rPr>
          <w:sz w:val="20"/>
        </w:rPr>
        <w:t>h si réaction</w:t>
      </w:r>
      <w:r w:rsidRPr="00E727BA">
        <w:rPr>
          <w:sz w:val="20"/>
        </w:rPr>
        <w:t xml:space="preserve"> cutanée, et 24</w:t>
      </w:r>
      <w:r>
        <w:rPr>
          <w:sz w:val="20"/>
        </w:rPr>
        <w:t>h</w:t>
      </w:r>
      <w:r w:rsidRPr="00E727BA">
        <w:rPr>
          <w:sz w:val="20"/>
        </w:rPr>
        <w:t xml:space="preserve"> si </w:t>
      </w:r>
      <w:r>
        <w:rPr>
          <w:sz w:val="20"/>
        </w:rPr>
        <w:t>réaction</w:t>
      </w:r>
      <w:r w:rsidRPr="00E727BA">
        <w:rPr>
          <w:sz w:val="20"/>
        </w:rPr>
        <w:t xml:space="preserve"> sévère </w:t>
      </w:r>
      <w:r>
        <w:rPr>
          <w:sz w:val="20"/>
        </w:rPr>
        <w:t>(risque de 2</w:t>
      </w:r>
      <w:r w:rsidRPr="00E727BA">
        <w:rPr>
          <w:sz w:val="20"/>
          <w:vertAlign w:val="superscript"/>
        </w:rPr>
        <w:t>ème</w:t>
      </w:r>
      <w:r>
        <w:rPr>
          <w:sz w:val="20"/>
        </w:rPr>
        <w:t xml:space="preserve"> épisode)</w:t>
      </w:r>
    </w:p>
    <w:p w:rsidR="00E727BA" w:rsidRPr="00E727BA" w:rsidRDefault="00E727BA" w:rsidP="00E727BA">
      <w:pPr>
        <w:pStyle w:val="Paragraphedeliste"/>
        <w:numPr>
          <w:ilvl w:val="0"/>
          <w:numId w:val="34"/>
        </w:numPr>
        <w:rPr>
          <w:sz w:val="20"/>
        </w:rPr>
      </w:pPr>
      <w:r w:rsidRPr="00E727BA">
        <w:rPr>
          <w:sz w:val="20"/>
        </w:rPr>
        <w:t xml:space="preserve">discuter des mesures préventives, prescrire </w:t>
      </w:r>
      <w:r>
        <w:rPr>
          <w:sz w:val="20"/>
        </w:rPr>
        <w:t>trousse d’urgence</w:t>
      </w:r>
    </w:p>
    <w:sectPr w:rsidR="00E727BA" w:rsidRPr="00E727BA" w:rsidSect="00BE39AA">
      <w:footerReference w:type="default" r:id="rId8"/>
      <w:pgSz w:w="11906" w:h="16838"/>
      <w:pgMar w:top="993" w:right="1417" w:bottom="993" w:left="1417" w:header="708"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6C0" w:rsidRDefault="00C516C0" w:rsidP="00462901">
      <w:pPr>
        <w:spacing w:after="0" w:line="240" w:lineRule="auto"/>
      </w:pPr>
      <w:r>
        <w:separator/>
      </w:r>
    </w:p>
  </w:endnote>
  <w:endnote w:type="continuationSeparator" w:id="0">
    <w:p w:rsidR="00C516C0" w:rsidRDefault="00C516C0" w:rsidP="00462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361652914"/>
      <w:docPartObj>
        <w:docPartGallery w:val="Page Numbers (Bottom of Page)"/>
        <w:docPartUnique/>
      </w:docPartObj>
    </w:sdtPr>
    <w:sdtEndPr/>
    <w:sdtContent>
      <w:p w:rsidR="00266BAC" w:rsidRPr="00462901" w:rsidRDefault="00F24683">
        <w:pPr>
          <w:pStyle w:val="Pieddepage"/>
          <w:jc w:val="right"/>
          <w:rPr>
            <w:sz w:val="18"/>
          </w:rPr>
        </w:pPr>
        <w:r w:rsidRPr="00462901">
          <w:rPr>
            <w:sz w:val="18"/>
          </w:rPr>
          <w:fldChar w:fldCharType="begin"/>
        </w:r>
        <w:r w:rsidR="00266BAC" w:rsidRPr="00462901">
          <w:rPr>
            <w:sz w:val="18"/>
          </w:rPr>
          <w:instrText xml:space="preserve"> PAGE   \* MERGEFORMAT </w:instrText>
        </w:r>
        <w:r w:rsidRPr="00462901">
          <w:rPr>
            <w:sz w:val="18"/>
          </w:rPr>
          <w:fldChar w:fldCharType="separate"/>
        </w:r>
        <w:r w:rsidR="00AA5B2A">
          <w:rPr>
            <w:noProof/>
            <w:sz w:val="18"/>
          </w:rPr>
          <w:t>1</w:t>
        </w:r>
        <w:r w:rsidRPr="00462901">
          <w:rPr>
            <w:sz w:val="18"/>
          </w:rPr>
          <w:fldChar w:fldCharType="end"/>
        </w:r>
      </w:p>
    </w:sdtContent>
  </w:sdt>
  <w:p w:rsidR="00266BAC" w:rsidRPr="00462901" w:rsidRDefault="00266BAC">
    <w:pPr>
      <w:pStyle w:val="Pieddepag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16C0" w:rsidRDefault="00C516C0" w:rsidP="00462901">
      <w:pPr>
        <w:spacing w:after="0" w:line="240" w:lineRule="auto"/>
      </w:pPr>
      <w:r>
        <w:separator/>
      </w:r>
    </w:p>
  </w:footnote>
  <w:footnote w:type="continuationSeparator" w:id="0">
    <w:p w:rsidR="00C516C0" w:rsidRDefault="00C516C0" w:rsidP="004629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27FA"/>
    <w:multiLevelType w:val="hybridMultilevel"/>
    <w:tmpl w:val="9F4255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0027971"/>
    <w:multiLevelType w:val="hybridMultilevel"/>
    <w:tmpl w:val="7514155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2C27DD8"/>
    <w:multiLevelType w:val="hybridMultilevel"/>
    <w:tmpl w:val="5802D688"/>
    <w:lvl w:ilvl="0" w:tplc="07348F08">
      <w:start w:val="1"/>
      <w:numFmt w:val="bullet"/>
      <w:lvlText w:val="•"/>
      <w:lvlJc w:val="left"/>
      <w:pPr>
        <w:ind w:left="720" w:hanging="360"/>
      </w:pPr>
      <w:rPr>
        <w:rFonts w:ascii="Calibri" w:hAnsi="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054851D8"/>
    <w:multiLevelType w:val="hybridMultilevel"/>
    <w:tmpl w:val="1D76787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55E2931"/>
    <w:multiLevelType w:val="hybridMultilevel"/>
    <w:tmpl w:val="CC08FF00"/>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059C65AA"/>
    <w:multiLevelType w:val="hybridMultilevel"/>
    <w:tmpl w:val="AA9ED9A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08973AB1"/>
    <w:multiLevelType w:val="hybridMultilevel"/>
    <w:tmpl w:val="D65E735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0A342802"/>
    <w:multiLevelType w:val="hybridMultilevel"/>
    <w:tmpl w:val="28E896E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0BED280B"/>
    <w:multiLevelType w:val="hybridMultilevel"/>
    <w:tmpl w:val="D494A908"/>
    <w:lvl w:ilvl="0" w:tplc="7198536C">
      <w:start w:val="1"/>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nsid w:val="0CDF0891"/>
    <w:multiLevelType w:val="hybridMultilevel"/>
    <w:tmpl w:val="8E6C4BE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14095753"/>
    <w:multiLevelType w:val="hybridMultilevel"/>
    <w:tmpl w:val="AB7AD6E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168C39A9"/>
    <w:multiLevelType w:val="hybridMultilevel"/>
    <w:tmpl w:val="033EA00C"/>
    <w:lvl w:ilvl="0" w:tplc="647E996A">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nsid w:val="18564002"/>
    <w:multiLevelType w:val="hybridMultilevel"/>
    <w:tmpl w:val="B6A21720"/>
    <w:lvl w:ilvl="0" w:tplc="647E996A">
      <w:numFmt w:val="bullet"/>
      <w:lvlText w:val="-"/>
      <w:lvlJc w:val="left"/>
      <w:pPr>
        <w:ind w:left="758" w:hanging="360"/>
      </w:pPr>
      <w:rPr>
        <w:rFonts w:ascii="Calibri" w:eastAsiaTheme="minorHAnsi" w:hAnsi="Calibri" w:cstheme="minorBidi" w:hint="default"/>
      </w:rPr>
    </w:lvl>
    <w:lvl w:ilvl="1" w:tplc="100C0003" w:tentative="1">
      <w:start w:val="1"/>
      <w:numFmt w:val="bullet"/>
      <w:lvlText w:val="o"/>
      <w:lvlJc w:val="left"/>
      <w:pPr>
        <w:ind w:left="1478" w:hanging="360"/>
      </w:pPr>
      <w:rPr>
        <w:rFonts w:ascii="Courier New" w:hAnsi="Courier New" w:cs="Courier New" w:hint="default"/>
      </w:rPr>
    </w:lvl>
    <w:lvl w:ilvl="2" w:tplc="100C0005" w:tentative="1">
      <w:start w:val="1"/>
      <w:numFmt w:val="bullet"/>
      <w:lvlText w:val=""/>
      <w:lvlJc w:val="left"/>
      <w:pPr>
        <w:ind w:left="2198" w:hanging="360"/>
      </w:pPr>
      <w:rPr>
        <w:rFonts w:ascii="Wingdings" w:hAnsi="Wingdings" w:hint="default"/>
      </w:rPr>
    </w:lvl>
    <w:lvl w:ilvl="3" w:tplc="100C0001" w:tentative="1">
      <w:start w:val="1"/>
      <w:numFmt w:val="bullet"/>
      <w:lvlText w:val=""/>
      <w:lvlJc w:val="left"/>
      <w:pPr>
        <w:ind w:left="2918" w:hanging="360"/>
      </w:pPr>
      <w:rPr>
        <w:rFonts w:ascii="Symbol" w:hAnsi="Symbol" w:hint="default"/>
      </w:rPr>
    </w:lvl>
    <w:lvl w:ilvl="4" w:tplc="100C0003" w:tentative="1">
      <w:start w:val="1"/>
      <w:numFmt w:val="bullet"/>
      <w:lvlText w:val="o"/>
      <w:lvlJc w:val="left"/>
      <w:pPr>
        <w:ind w:left="3638" w:hanging="360"/>
      </w:pPr>
      <w:rPr>
        <w:rFonts w:ascii="Courier New" w:hAnsi="Courier New" w:cs="Courier New" w:hint="default"/>
      </w:rPr>
    </w:lvl>
    <w:lvl w:ilvl="5" w:tplc="100C0005" w:tentative="1">
      <w:start w:val="1"/>
      <w:numFmt w:val="bullet"/>
      <w:lvlText w:val=""/>
      <w:lvlJc w:val="left"/>
      <w:pPr>
        <w:ind w:left="4358" w:hanging="360"/>
      </w:pPr>
      <w:rPr>
        <w:rFonts w:ascii="Wingdings" w:hAnsi="Wingdings" w:hint="default"/>
      </w:rPr>
    </w:lvl>
    <w:lvl w:ilvl="6" w:tplc="100C0001" w:tentative="1">
      <w:start w:val="1"/>
      <w:numFmt w:val="bullet"/>
      <w:lvlText w:val=""/>
      <w:lvlJc w:val="left"/>
      <w:pPr>
        <w:ind w:left="5078" w:hanging="360"/>
      </w:pPr>
      <w:rPr>
        <w:rFonts w:ascii="Symbol" w:hAnsi="Symbol" w:hint="default"/>
      </w:rPr>
    </w:lvl>
    <w:lvl w:ilvl="7" w:tplc="100C0003" w:tentative="1">
      <w:start w:val="1"/>
      <w:numFmt w:val="bullet"/>
      <w:lvlText w:val="o"/>
      <w:lvlJc w:val="left"/>
      <w:pPr>
        <w:ind w:left="5798" w:hanging="360"/>
      </w:pPr>
      <w:rPr>
        <w:rFonts w:ascii="Courier New" w:hAnsi="Courier New" w:cs="Courier New" w:hint="default"/>
      </w:rPr>
    </w:lvl>
    <w:lvl w:ilvl="8" w:tplc="100C0005" w:tentative="1">
      <w:start w:val="1"/>
      <w:numFmt w:val="bullet"/>
      <w:lvlText w:val=""/>
      <w:lvlJc w:val="left"/>
      <w:pPr>
        <w:ind w:left="6518" w:hanging="360"/>
      </w:pPr>
      <w:rPr>
        <w:rFonts w:ascii="Wingdings" w:hAnsi="Wingdings" w:hint="default"/>
      </w:rPr>
    </w:lvl>
  </w:abstractNum>
  <w:abstractNum w:abstractNumId="13">
    <w:nsid w:val="18B476C2"/>
    <w:multiLevelType w:val="hybridMultilevel"/>
    <w:tmpl w:val="9822C9B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1CAA68E9"/>
    <w:multiLevelType w:val="hybridMultilevel"/>
    <w:tmpl w:val="0F86DEF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209D6BBB"/>
    <w:multiLevelType w:val="hybridMultilevel"/>
    <w:tmpl w:val="5742103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21C54103"/>
    <w:multiLevelType w:val="hybridMultilevel"/>
    <w:tmpl w:val="B884555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237D1CC6"/>
    <w:multiLevelType w:val="hybridMultilevel"/>
    <w:tmpl w:val="1526946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24AA5027"/>
    <w:multiLevelType w:val="hybridMultilevel"/>
    <w:tmpl w:val="50065AE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9">
    <w:nsid w:val="25E16338"/>
    <w:multiLevelType w:val="hybridMultilevel"/>
    <w:tmpl w:val="41E69E44"/>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0">
    <w:nsid w:val="28922F7D"/>
    <w:multiLevelType w:val="hybridMultilevel"/>
    <w:tmpl w:val="1A6AC9A2"/>
    <w:lvl w:ilvl="0" w:tplc="07348F08">
      <w:start w:val="1"/>
      <w:numFmt w:val="bullet"/>
      <w:lvlText w:val="•"/>
      <w:lvlJc w:val="left"/>
      <w:pPr>
        <w:ind w:left="2136" w:hanging="360"/>
      </w:pPr>
      <w:rPr>
        <w:rFonts w:ascii="Calibri" w:hAnsi="Calibri" w:hint="default"/>
      </w:rPr>
    </w:lvl>
    <w:lvl w:ilvl="1" w:tplc="100C0003" w:tentative="1">
      <w:start w:val="1"/>
      <w:numFmt w:val="bullet"/>
      <w:lvlText w:val="o"/>
      <w:lvlJc w:val="left"/>
      <w:pPr>
        <w:ind w:left="2856" w:hanging="360"/>
      </w:pPr>
      <w:rPr>
        <w:rFonts w:ascii="Courier New" w:hAnsi="Courier New" w:cs="Courier New" w:hint="default"/>
      </w:rPr>
    </w:lvl>
    <w:lvl w:ilvl="2" w:tplc="100C0005" w:tentative="1">
      <w:start w:val="1"/>
      <w:numFmt w:val="bullet"/>
      <w:lvlText w:val=""/>
      <w:lvlJc w:val="left"/>
      <w:pPr>
        <w:ind w:left="3576" w:hanging="360"/>
      </w:pPr>
      <w:rPr>
        <w:rFonts w:ascii="Wingdings" w:hAnsi="Wingdings" w:hint="default"/>
      </w:rPr>
    </w:lvl>
    <w:lvl w:ilvl="3" w:tplc="100C0001" w:tentative="1">
      <w:start w:val="1"/>
      <w:numFmt w:val="bullet"/>
      <w:lvlText w:val=""/>
      <w:lvlJc w:val="left"/>
      <w:pPr>
        <w:ind w:left="4296" w:hanging="360"/>
      </w:pPr>
      <w:rPr>
        <w:rFonts w:ascii="Symbol" w:hAnsi="Symbol" w:hint="default"/>
      </w:rPr>
    </w:lvl>
    <w:lvl w:ilvl="4" w:tplc="100C0003" w:tentative="1">
      <w:start w:val="1"/>
      <w:numFmt w:val="bullet"/>
      <w:lvlText w:val="o"/>
      <w:lvlJc w:val="left"/>
      <w:pPr>
        <w:ind w:left="5016" w:hanging="360"/>
      </w:pPr>
      <w:rPr>
        <w:rFonts w:ascii="Courier New" w:hAnsi="Courier New" w:cs="Courier New" w:hint="default"/>
      </w:rPr>
    </w:lvl>
    <w:lvl w:ilvl="5" w:tplc="100C0005" w:tentative="1">
      <w:start w:val="1"/>
      <w:numFmt w:val="bullet"/>
      <w:lvlText w:val=""/>
      <w:lvlJc w:val="left"/>
      <w:pPr>
        <w:ind w:left="5736" w:hanging="360"/>
      </w:pPr>
      <w:rPr>
        <w:rFonts w:ascii="Wingdings" w:hAnsi="Wingdings" w:hint="default"/>
      </w:rPr>
    </w:lvl>
    <w:lvl w:ilvl="6" w:tplc="100C0001" w:tentative="1">
      <w:start w:val="1"/>
      <w:numFmt w:val="bullet"/>
      <w:lvlText w:val=""/>
      <w:lvlJc w:val="left"/>
      <w:pPr>
        <w:ind w:left="6456" w:hanging="360"/>
      </w:pPr>
      <w:rPr>
        <w:rFonts w:ascii="Symbol" w:hAnsi="Symbol" w:hint="default"/>
      </w:rPr>
    </w:lvl>
    <w:lvl w:ilvl="7" w:tplc="100C0003" w:tentative="1">
      <w:start w:val="1"/>
      <w:numFmt w:val="bullet"/>
      <w:lvlText w:val="o"/>
      <w:lvlJc w:val="left"/>
      <w:pPr>
        <w:ind w:left="7176" w:hanging="360"/>
      </w:pPr>
      <w:rPr>
        <w:rFonts w:ascii="Courier New" w:hAnsi="Courier New" w:cs="Courier New" w:hint="default"/>
      </w:rPr>
    </w:lvl>
    <w:lvl w:ilvl="8" w:tplc="100C0005" w:tentative="1">
      <w:start w:val="1"/>
      <w:numFmt w:val="bullet"/>
      <w:lvlText w:val=""/>
      <w:lvlJc w:val="left"/>
      <w:pPr>
        <w:ind w:left="7896" w:hanging="360"/>
      </w:pPr>
      <w:rPr>
        <w:rFonts w:ascii="Wingdings" w:hAnsi="Wingdings" w:hint="default"/>
      </w:rPr>
    </w:lvl>
  </w:abstractNum>
  <w:abstractNum w:abstractNumId="21">
    <w:nsid w:val="2C16754B"/>
    <w:multiLevelType w:val="hybridMultilevel"/>
    <w:tmpl w:val="08C02CB2"/>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2">
    <w:nsid w:val="379335A3"/>
    <w:multiLevelType w:val="hybridMultilevel"/>
    <w:tmpl w:val="E1643872"/>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3">
    <w:nsid w:val="379D4112"/>
    <w:multiLevelType w:val="hybridMultilevel"/>
    <w:tmpl w:val="1D9667F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38CE63CF"/>
    <w:multiLevelType w:val="hybridMultilevel"/>
    <w:tmpl w:val="7AF2F46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5">
    <w:nsid w:val="39BA5024"/>
    <w:multiLevelType w:val="hybridMultilevel"/>
    <w:tmpl w:val="51B299C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6">
    <w:nsid w:val="439904D7"/>
    <w:multiLevelType w:val="hybridMultilevel"/>
    <w:tmpl w:val="C38EC2BE"/>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7">
    <w:nsid w:val="462715D9"/>
    <w:multiLevelType w:val="hybridMultilevel"/>
    <w:tmpl w:val="947E1D9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8">
    <w:nsid w:val="469F15E7"/>
    <w:multiLevelType w:val="hybridMultilevel"/>
    <w:tmpl w:val="079406A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9">
    <w:nsid w:val="4867685B"/>
    <w:multiLevelType w:val="hybridMultilevel"/>
    <w:tmpl w:val="782E0F2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0">
    <w:nsid w:val="4A086955"/>
    <w:multiLevelType w:val="hybridMultilevel"/>
    <w:tmpl w:val="9F72609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1">
    <w:nsid w:val="4A9A3BF4"/>
    <w:multiLevelType w:val="hybridMultilevel"/>
    <w:tmpl w:val="8E90D080"/>
    <w:lvl w:ilvl="0" w:tplc="26B2D05A">
      <w:start w:val="1"/>
      <w:numFmt w:val="bullet"/>
      <w:lvlText w:val="→"/>
      <w:lvlJc w:val="left"/>
      <w:pPr>
        <w:ind w:left="1478" w:hanging="360"/>
      </w:pPr>
      <w:rPr>
        <w:rFonts w:ascii="Times New Roman" w:hAnsi="Times New Roman" w:cs="Times New Roman" w:hint="default"/>
      </w:rPr>
    </w:lvl>
    <w:lvl w:ilvl="1" w:tplc="100C0003" w:tentative="1">
      <w:start w:val="1"/>
      <w:numFmt w:val="bullet"/>
      <w:lvlText w:val="o"/>
      <w:lvlJc w:val="left"/>
      <w:pPr>
        <w:ind w:left="2198" w:hanging="360"/>
      </w:pPr>
      <w:rPr>
        <w:rFonts w:ascii="Courier New" w:hAnsi="Courier New" w:cs="Courier New" w:hint="default"/>
      </w:rPr>
    </w:lvl>
    <w:lvl w:ilvl="2" w:tplc="100C0005" w:tentative="1">
      <w:start w:val="1"/>
      <w:numFmt w:val="bullet"/>
      <w:lvlText w:val=""/>
      <w:lvlJc w:val="left"/>
      <w:pPr>
        <w:ind w:left="2918" w:hanging="360"/>
      </w:pPr>
      <w:rPr>
        <w:rFonts w:ascii="Wingdings" w:hAnsi="Wingdings" w:hint="default"/>
      </w:rPr>
    </w:lvl>
    <w:lvl w:ilvl="3" w:tplc="100C0001" w:tentative="1">
      <w:start w:val="1"/>
      <w:numFmt w:val="bullet"/>
      <w:lvlText w:val=""/>
      <w:lvlJc w:val="left"/>
      <w:pPr>
        <w:ind w:left="3638" w:hanging="360"/>
      </w:pPr>
      <w:rPr>
        <w:rFonts w:ascii="Symbol" w:hAnsi="Symbol" w:hint="default"/>
      </w:rPr>
    </w:lvl>
    <w:lvl w:ilvl="4" w:tplc="100C0003" w:tentative="1">
      <w:start w:val="1"/>
      <w:numFmt w:val="bullet"/>
      <w:lvlText w:val="o"/>
      <w:lvlJc w:val="left"/>
      <w:pPr>
        <w:ind w:left="4358" w:hanging="360"/>
      </w:pPr>
      <w:rPr>
        <w:rFonts w:ascii="Courier New" w:hAnsi="Courier New" w:cs="Courier New" w:hint="default"/>
      </w:rPr>
    </w:lvl>
    <w:lvl w:ilvl="5" w:tplc="100C0005" w:tentative="1">
      <w:start w:val="1"/>
      <w:numFmt w:val="bullet"/>
      <w:lvlText w:val=""/>
      <w:lvlJc w:val="left"/>
      <w:pPr>
        <w:ind w:left="5078" w:hanging="360"/>
      </w:pPr>
      <w:rPr>
        <w:rFonts w:ascii="Wingdings" w:hAnsi="Wingdings" w:hint="default"/>
      </w:rPr>
    </w:lvl>
    <w:lvl w:ilvl="6" w:tplc="100C0001" w:tentative="1">
      <w:start w:val="1"/>
      <w:numFmt w:val="bullet"/>
      <w:lvlText w:val=""/>
      <w:lvlJc w:val="left"/>
      <w:pPr>
        <w:ind w:left="5798" w:hanging="360"/>
      </w:pPr>
      <w:rPr>
        <w:rFonts w:ascii="Symbol" w:hAnsi="Symbol" w:hint="default"/>
      </w:rPr>
    </w:lvl>
    <w:lvl w:ilvl="7" w:tplc="100C0003" w:tentative="1">
      <w:start w:val="1"/>
      <w:numFmt w:val="bullet"/>
      <w:lvlText w:val="o"/>
      <w:lvlJc w:val="left"/>
      <w:pPr>
        <w:ind w:left="6518" w:hanging="360"/>
      </w:pPr>
      <w:rPr>
        <w:rFonts w:ascii="Courier New" w:hAnsi="Courier New" w:cs="Courier New" w:hint="default"/>
      </w:rPr>
    </w:lvl>
    <w:lvl w:ilvl="8" w:tplc="100C0005" w:tentative="1">
      <w:start w:val="1"/>
      <w:numFmt w:val="bullet"/>
      <w:lvlText w:val=""/>
      <w:lvlJc w:val="left"/>
      <w:pPr>
        <w:ind w:left="7238" w:hanging="360"/>
      </w:pPr>
      <w:rPr>
        <w:rFonts w:ascii="Wingdings" w:hAnsi="Wingdings" w:hint="default"/>
      </w:rPr>
    </w:lvl>
  </w:abstractNum>
  <w:abstractNum w:abstractNumId="32">
    <w:nsid w:val="4AB96FAA"/>
    <w:multiLevelType w:val="hybridMultilevel"/>
    <w:tmpl w:val="286884D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33">
    <w:nsid w:val="4B5E0F3D"/>
    <w:multiLevelType w:val="hybridMultilevel"/>
    <w:tmpl w:val="7486B14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4">
    <w:nsid w:val="4CE772DD"/>
    <w:multiLevelType w:val="hybridMultilevel"/>
    <w:tmpl w:val="9F5ABEBA"/>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5">
    <w:nsid w:val="4E3935B8"/>
    <w:multiLevelType w:val="hybridMultilevel"/>
    <w:tmpl w:val="078CF3F4"/>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36">
    <w:nsid w:val="502D061C"/>
    <w:multiLevelType w:val="hybridMultilevel"/>
    <w:tmpl w:val="FCC4B37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7">
    <w:nsid w:val="523D2319"/>
    <w:multiLevelType w:val="hybridMultilevel"/>
    <w:tmpl w:val="4A8C7598"/>
    <w:lvl w:ilvl="0" w:tplc="26B2D05A">
      <w:start w:val="1"/>
      <w:numFmt w:val="bullet"/>
      <w:lvlText w:val="→"/>
      <w:lvlJc w:val="left"/>
      <w:pPr>
        <w:ind w:left="1480" w:hanging="360"/>
      </w:pPr>
      <w:rPr>
        <w:rFonts w:ascii="Times New Roman" w:hAnsi="Times New Roman" w:cs="Times New Roman" w:hint="default"/>
      </w:rPr>
    </w:lvl>
    <w:lvl w:ilvl="1" w:tplc="100C0003" w:tentative="1">
      <w:start w:val="1"/>
      <w:numFmt w:val="bullet"/>
      <w:lvlText w:val="o"/>
      <w:lvlJc w:val="left"/>
      <w:pPr>
        <w:ind w:left="2200" w:hanging="360"/>
      </w:pPr>
      <w:rPr>
        <w:rFonts w:ascii="Courier New" w:hAnsi="Courier New" w:cs="Courier New" w:hint="default"/>
      </w:rPr>
    </w:lvl>
    <w:lvl w:ilvl="2" w:tplc="100C0005" w:tentative="1">
      <w:start w:val="1"/>
      <w:numFmt w:val="bullet"/>
      <w:lvlText w:val=""/>
      <w:lvlJc w:val="left"/>
      <w:pPr>
        <w:ind w:left="2920" w:hanging="360"/>
      </w:pPr>
      <w:rPr>
        <w:rFonts w:ascii="Wingdings" w:hAnsi="Wingdings" w:hint="default"/>
      </w:rPr>
    </w:lvl>
    <w:lvl w:ilvl="3" w:tplc="100C0001" w:tentative="1">
      <w:start w:val="1"/>
      <w:numFmt w:val="bullet"/>
      <w:lvlText w:val=""/>
      <w:lvlJc w:val="left"/>
      <w:pPr>
        <w:ind w:left="3640" w:hanging="360"/>
      </w:pPr>
      <w:rPr>
        <w:rFonts w:ascii="Symbol" w:hAnsi="Symbol" w:hint="default"/>
      </w:rPr>
    </w:lvl>
    <w:lvl w:ilvl="4" w:tplc="100C0003" w:tentative="1">
      <w:start w:val="1"/>
      <w:numFmt w:val="bullet"/>
      <w:lvlText w:val="o"/>
      <w:lvlJc w:val="left"/>
      <w:pPr>
        <w:ind w:left="4360" w:hanging="360"/>
      </w:pPr>
      <w:rPr>
        <w:rFonts w:ascii="Courier New" w:hAnsi="Courier New" w:cs="Courier New" w:hint="default"/>
      </w:rPr>
    </w:lvl>
    <w:lvl w:ilvl="5" w:tplc="100C0005" w:tentative="1">
      <w:start w:val="1"/>
      <w:numFmt w:val="bullet"/>
      <w:lvlText w:val=""/>
      <w:lvlJc w:val="left"/>
      <w:pPr>
        <w:ind w:left="5080" w:hanging="360"/>
      </w:pPr>
      <w:rPr>
        <w:rFonts w:ascii="Wingdings" w:hAnsi="Wingdings" w:hint="default"/>
      </w:rPr>
    </w:lvl>
    <w:lvl w:ilvl="6" w:tplc="100C0001" w:tentative="1">
      <w:start w:val="1"/>
      <w:numFmt w:val="bullet"/>
      <w:lvlText w:val=""/>
      <w:lvlJc w:val="left"/>
      <w:pPr>
        <w:ind w:left="5800" w:hanging="360"/>
      </w:pPr>
      <w:rPr>
        <w:rFonts w:ascii="Symbol" w:hAnsi="Symbol" w:hint="default"/>
      </w:rPr>
    </w:lvl>
    <w:lvl w:ilvl="7" w:tplc="100C0003" w:tentative="1">
      <w:start w:val="1"/>
      <w:numFmt w:val="bullet"/>
      <w:lvlText w:val="o"/>
      <w:lvlJc w:val="left"/>
      <w:pPr>
        <w:ind w:left="6520" w:hanging="360"/>
      </w:pPr>
      <w:rPr>
        <w:rFonts w:ascii="Courier New" w:hAnsi="Courier New" w:cs="Courier New" w:hint="default"/>
      </w:rPr>
    </w:lvl>
    <w:lvl w:ilvl="8" w:tplc="100C0005" w:tentative="1">
      <w:start w:val="1"/>
      <w:numFmt w:val="bullet"/>
      <w:lvlText w:val=""/>
      <w:lvlJc w:val="left"/>
      <w:pPr>
        <w:ind w:left="7240" w:hanging="360"/>
      </w:pPr>
      <w:rPr>
        <w:rFonts w:ascii="Wingdings" w:hAnsi="Wingdings" w:hint="default"/>
      </w:rPr>
    </w:lvl>
  </w:abstractNum>
  <w:abstractNum w:abstractNumId="38">
    <w:nsid w:val="533D1462"/>
    <w:multiLevelType w:val="hybridMultilevel"/>
    <w:tmpl w:val="6A129A4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9">
    <w:nsid w:val="54383B77"/>
    <w:multiLevelType w:val="hybridMultilevel"/>
    <w:tmpl w:val="25A472D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0">
    <w:nsid w:val="63A32DF7"/>
    <w:multiLevelType w:val="hybridMultilevel"/>
    <w:tmpl w:val="5EC89A2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1">
    <w:nsid w:val="64D16D28"/>
    <w:multiLevelType w:val="hybridMultilevel"/>
    <w:tmpl w:val="BFDAA93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2">
    <w:nsid w:val="766731A0"/>
    <w:multiLevelType w:val="hybridMultilevel"/>
    <w:tmpl w:val="0304FE46"/>
    <w:lvl w:ilvl="0" w:tplc="7198536C">
      <w:start w:val="1"/>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24"/>
  </w:num>
  <w:num w:numId="4">
    <w:abstractNumId w:val="9"/>
  </w:num>
  <w:num w:numId="5">
    <w:abstractNumId w:val="17"/>
  </w:num>
  <w:num w:numId="6">
    <w:abstractNumId w:val="42"/>
  </w:num>
  <w:num w:numId="7">
    <w:abstractNumId w:val="14"/>
  </w:num>
  <w:num w:numId="8">
    <w:abstractNumId w:val="38"/>
  </w:num>
  <w:num w:numId="9">
    <w:abstractNumId w:val="27"/>
  </w:num>
  <w:num w:numId="10">
    <w:abstractNumId w:val="40"/>
  </w:num>
  <w:num w:numId="11">
    <w:abstractNumId w:val="41"/>
  </w:num>
  <w:num w:numId="12">
    <w:abstractNumId w:val="25"/>
  </w:num>
  <w:num w:numId="13">
    <w:abstractNumId w:val="20"/>
  </w:num>
  <w:num w:numId="14">
    <w:abstractNumId w:val="4"/>
  </w:num>
  <w:num w:numId="15">
    <w:abstractNumId w:val="33"/>
  </w:num>
  <w:num w:numId="16">
    <w:abstractNumId w:val="15"/>
  </w:num>
  <w:num w:numId="17">
    <w:abstractNumId w:val="2"/>
  </w:num>
  <w:num w:numId="18">
    <w:abstractNumId w:val="29"/>
  </w:num>
  <w:num w:numId="19">
    <w:abstractNumId w:val="21"/>
  </w:num>
  <w:num w:numId="20">
    <w:abstractNumId w:val="13"/>
  </w:num>
  <w:num w:numId="21">
    <w:abstractNumId w:val="3"/>
  </w:num>
  <w:num w:numId="22">
    <w:abstractNumId w:val="28"/>
  </w:num>
  <w:num w:numId="23">
    <w:abstractNumId w:val="30"/>
  </w:num>
  <w:num w:numId="24">
    <w:abstractNumId w:val="16"/>
  </w:num>
  <w:num w:numId="25">
    <w:abstractNumId w:val="5"/>
  </w:num>
  <w:num w:numId="26">
    <w:abstractNumId w:val="22"/>
  </w:num>
  <w:num w:numId="27">
    <w:abstractNumId w:val="32"/>
  </w:num>
  <w:num w:numId="28">
    <w:abstractNumId w:val="26"/>
  </w:num>
  <w:num w:numId="29">
    <w:abstractNumId w:val="34"/>
  </w:num>
  <w:num w:numId="30">
    <w:abstractNumId w:val="0"/>
  </w:num>
  <w:num w:numId="31">
    <w:abstractNumId w:val="7"/>
  </w:num>
  <w:num w:numId="32">
    <w:abstractNumId w:val="10"/>
  </w:num>
  <w:num w:numId="33">
    <w:abstractNumId w:val="12"/>
  </w:num>
  <w:num w:numId="34">
    <w:abstractNumId w:val="31"/>
  </w:num>
  <w:num w:numId="35">
    <w:abstractNumId w:val="23"/>
  </w:num>
  <w:num w:numId="36">
    <w:abstractNumId w:val="1"/>
  </w:num>
  <w:num w:numId="37">
    <w:abstractNumId w:val="36"/>
  </w:num>
  <w:num w:numId="38">
    <w:abstractNumId w:val="39"/>
  </w:num>
  <w:num w:numId="39">
    <w:abstractNumId w:val="6"/>
  </w:num>
  <w:num w:numId="40">
    <w:abstractNumId w:val="35"/>
  </w:num>
  <w:num w:numId="41">
    <w:abstractNumId w:val="19"/>
  </w:num>
  <w:num w:numId="42">
    <w:abstractNumId w:val="37"/>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149"/>
    <w:rsid w:val="000019CF"/>
    <w:rsid w:val="00050219"/>
    <w:rsid w:val="000638E3"/>
    <w:rsid w:val="000B0A08"/>
    <w:rsid w:val="00123971"/>
    <w:rsid w:val="00126AD4"/>
    <w:rsid w:val="001650F0"/>
    <w:rsid w:val="00196BD5"/>
    <w:rsid w:val="001C0F1A"/>
    <w:rsid w:val="00204875"/>
    <w:rsid w:val="00212201"/>
    <w:rsid w:val="00257FF8"/>
    <w:rsid w:val="00266BAC"/>
    <w:rsid w:val="00267741"/>
    <w:rsid w:val="002914E1"/>
    <w:rsid w:val="002A780C"/>
    <w:rsid w:val="00362834"/>
    <w:rsid w:val="00366091"/>
    <w:rsid w:val="003907A4"/>
    <w:rsid w:val="003C6911"/>
    <w:rsid w:val="00462901"/>
    <w:rsid w:val="004D20C8"/>
    <w:rsid w:val="00523451"/>
    <w:rsid w:val="005456A8"/>
    <w:rsid w:val="00563410"/>
    <w:rsid w:val="00566A5D"/>
    <w:rsid w:val="0056714C"/>
    <w:rsid w:val="00570A8F"/>
    <w:rsid w:val="005A3947"/>
    <w:rsid w:val="005B3F07"/>
    <w:rsid w:val="005B6F31"/>
    <w:rsid w:val="005E6D68"/>
    <w:rsid w:val="005F12BC"/>
    <w:rsid w:val="00681149"/>
    <w:rsid w:val="006B09F4"/>
    <w:rsid w:val="007832F8"/>
    <w:rsid w:val="00787178"/>
    <w:rsid w:val="00796395"/>
    <w:rsid w:val="00796D74"/>
    <w:rsid w:val="007B0FB8"/>
    <w:rsid w:val="007D58B7"/>
    <w:rsid w:val="0080262A"/>
    <w:rsid w:val="008149DF"/>
    <w:rsid w:val="00822618"/>
    <w:rsid w:val="008229CD"/>
    <w:rsid w:val="0082735A"/>
    <w:rsid w:val="008A4651"/>
    <w:rsid w:val="008D05B5"/>
    <w:rsid w:val="009626E7"/>
    <w:rsid w:val="009C01A8"/>
    <w:rsid w:val="009E7099"/>
    <w:rsid w:val="00AA5B2A"/>
    <w:rsid w:val="00AC286D"/>
    <w:rsid w:val="00AD1DEE"/>
    <w:rsid w:val="00B309C0"/>
    <w:rsid w:val="00B90612"/>
    <w:rsid w:val="00B9087C"/>
    <w:rsid w:val="00BE2C27"/>
    <w:rsid w:val="00BE39AA"/>
    <w:rsid w:val="00C005CF"/>
    <w:rsid w:val="00C25C5F"/>
    <w:rsid w:val="00C46160"/>
    <w:rsid w:val="00C47B78"/>
    <w:rsid w:val="00C516C0"/>
    <w:rsid w:val="00C756A2"/>
    <w:rsid w:val="00C857F4"/>
    <w:rsid w:val="00CB2A6C"/>
    <w:rsid w:val="00CC2AE1"/>
    <w:rsid w:val="00D323EC"/>
    <w:rsid w:val="00D41191"/>
    <w:rsid w:val="00DC57A9"/>
    <w:rsid w:val="00DD4963"/>
    <w:rsid w:val="00E05943"/>
    <w:rsid w:val="00E20F5D"/>
    <w:rsid w:val="00E65A27"/>
    <w:rsid w:val="00E727BA"/>
    <w:rsid w:val="00F04CAD"/>
    <w:rsid w:val="00F17F8E"/>
    <w:rsid w:val="00F24683"/>
    <w:rsid w:val="00F30EA2"/>
    <w:rsid w:val="00FC69EA"/>
    <w:rsid w:val="00FE61D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A40E85-0E99-47C2-8D3A-CC390C1F7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1D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81149"/>
    <w:pPr>
      <w:ind w:left="720"/>
      <w:contextualSpacing/>
    </w:pPr>
  </w:style>
  <w:style w:type="character" w:styleId="Textedelespacerserv">
    <w:name w:val="Placeholder Text"/>
    <w:basedOn w:val="Policepardfaut"/>
    <w:uiPriority w:val="99"/>
    <w:semiHidden/>
    <w:rsid w:val="00681149"/>
    <w:rPr>
      <w:color w:val="808080"/>
    </w:rPr>
  </w:style>
  <w:style w:type="paragraph" w:styleId="Textedebulles">
    <w:name w:val="Balloon Text"/>
    <w:basedOn w:val="Normal"/>
    <w:link w:val="TextedebullesCar"/>
    <w:uiPriority w:val="99"/>
    <w:semiHidden/>
    <w:unhideWhenUsed/>
    <w:rsid w:val="0068114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81149"/>
    <w:rPr>
      <w:rFonts w:ascii="Tahoma" w:hAnsi="Tahoma" w:cs="Tahoma"/>
      <w:sz w:val="16"/>
      <w:szCs w:val="16"/>
    </w:rPr>
  </w:style>
  <w:style w:type="paragraph" w:styleId="En-tte">
    <w:name w:val="header"/>
    <w:basedOn w:val="Normal"/>
    <w:link w:val="En-tteCar"/>
    <w:uiPriority w:val="99"/>
    <w:semiHidden/>
    <w:unhideWhenUsed/>
    <w:rsid w:val="0046290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462901"/>
  </w:style>
  <w:style w:type="paragraph" w:styleId="Pieddepage">
    <w:name w:val="footer"/>
    <w:basedOn w:val="Normal"/>
    <w:link w:val="PieddepageCar"/>
    <w:uiPriority w:val="99"/>
    <w:unhideWhenUsed/>
    <w:rsid w:val="0046290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2901"/>
  </w:style>
  <w:style w:type="character" w:customStyle="1" w:styleId="apple-converted-space">
    <w:name w:val="apple-converted-space"/>
    <w:basedOn w:val="Policepardfaut"/>
    <w:rsid w:val="0082735A"/>
  </w:style>
  <w:style w:type="character" w:styleId="Lienhypertexte">
    <w:name w:val="Hyperlink"/>
    <w:basedOn w:val="Policepardfaut"/>
    <w:uiPriority w:val="99"/>
    <w:unhideWhenUsed/>
    <w:rsid w:val="0082735A"/>
    <w:rPr>
      <w:color w:val="0000FF"/>
      <w:u w:val="single"/>
    </w:rPr>
  </w:style>
  <w:style w:type="paragraph" w:styleId="NormalWeb">
    <w:name w:val="Normal (Web)"/>
    <w:basedOn w:val="Normal"/>
    <w:uiPriority w:val="99"/>
    <w:semiHidden/>
    <w:unhideWhenUsed/>
    <w:rsid w:val="0082735A"/>
    <w:pPr>
      <w:spacing w:before="100" w:beforeAutospacing="1" w:after="100" w:afterAutospacing="1" w:line="240" w:lineRule="auto"/>
    </w:pPr>
    <w:rPr>
      <w:rFonts w:ascii="Times New Roman" w:eastAsia="Times New Roman" w:hAnsi="Times New Roman" w:cs="Times New Roman"/>
      <w:sz w:val="24"/>
      <w:szCs w:val="24"/>
      <w:lang w:eastAsia="fr-CH"/>
    </w:rPr>
  </w:style>
  <w:style w:type="table" w:styleId="Grilledutableau">
    <w:name w:val="Table Grid"/>
    <w:basedOn w:val="TableauNormal"/>
    <w:uiPriority w:val="59"/>
    <w:rsid w:val="00063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2998</Words>
  <Characters>16489</Characters>
  <Application>Microsoft Office Word</Application>
  <DocSecurity>0</DocSecurity>
  <Lines>137</Lines>
  <Paragraphs>38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Anton Raemy</cp:lastModifiedBy>
  <cp:revision>2</cp:revision>
  <dcterms:created xsi:type="dcterms:W3CDTF">2014-12-06T21:15:00Z</dcterms:created>
  <dcterms:modified xsi:type="dcterms:W3CDTF">2014-12-06T21:15:00Z</dcterms:modified>
</cp:coreProperties>
</file>