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87C0E" w:rsidRPr="00487C0E" w:rsidRDefault="00487C0E" w:rsidP="00487C0E">
      <w:pPr>
        <w:jc w:val="center"/>
        <w:rPr>
          <w:b/>
        </w:rPr>
      </w:pPr>
      <w:r w:rsidRPr="00487C0E">
        <w:rPr>
          <w:b/>
        </w:rPr>
        <w:t>Chronobiologie</w:t>
      </w:r>
    </w:p>
    <w:p w:rsidR="00487C0E" w:rsidRPr="000C5A3C" w:rsidRDefault="00487C0E" w:rsidP="00487C0E">
      <w:pPr>
        <w:spacing w:after="0"/>
        <w:rPr>
          <w:sz w:val="20"/>
        </w:rPr>
      </w:pPr>
      <w:r w:rsidRPr="000C5A3C">
        <w:rPr>
          <w:b/>
          <w:sz w:val="20"/>
          <w:u w:val="single"/>
        </w:rPr>
        <w:t>Introduction</w:t>
      </w:r>
      <w:r w:rsidRPr="000C5A3C">
        <w:rPr>
          <w:sz w:val="20"/>
        </w:rPr>
        <w:t xml:space="preserve"> : la chronobiologie est le domaine associant les rythmes biologiques (activité motrice, veille-sommeil, prise de nourriture, …) à la régulation des systèmes physiologiques qui les sous-tendent. </w:t>
      </w:r>
      <w:r w:rsidR="00EB0538">
        <w:rPr>
          <w:sz w:val="20"/>
        </w:rPr>
        <w:t xml:space="preserve">Elle étudie les mécanismes d’adaptation de l’homéostasie physiologique aux facteurs environnementaux. </w:t>
      </w:r>
      <w:r w:rsidRPr="000C5A3C">
        <w:rPr>
          <w:sz w:val="20"/>
        </w:rPr>
        <w:t>Du point de vue du SNC, la chronobiologie est centrée sur deux entités:</w:t>
      </w:r>
    </w:p>
    <w:p w:rsidR="00487C0E" w:rsidRPr="000C5A3C" w:rsidRDefault="00487C0E" w:rsidP="00487C0E">
      <w:pPr>
        <w:pStyle w:val="ListParagraph"/>
        <w:numPr>
          <w:ilvl w:val="0"/>
          <w:numId w:val="1"/>
        </w:numPr>
        <w:spacing w:after="0"/>
        <w:rPr>
          <w:sz w:val="20"/>
        </w:rPr>
      </w:pPr>
      <w:r w:rsidRPr="000C5A3C">
        <w:rPr>
          <w:sz w:val="20"/>
        </w:rPr>
        <w:t xml:space="preserve">l’hypothalamus : interface entre le cerveau et </w:t>
      </w:r>
    </w:p>
    <w:p w:rsidR="00487C0E" w:rsidRPr="000C5A3C" w:rsidRDefault="00487C0E" w:rsidP="00487C0E">
      <w:pPr>
        <w:pStyle w:val="ListParagraph"/>
        <w:numPr>
          <w:ilvl w:val="0"/>
          <w:numId w:val="2"/>
        </w:numPr>
        <w:spacing w:after="0"/>
        <w:rPr>
          <w:sz w:val="20"/>
        </w:rPr>
      </w:pPr>
      <w:r w:rsidRPr="000C5A3C">
        <w:rPr>
          <w:sz w:val="20"/>
        </w:rPr>
        <w:t>le contrôle endocrinien</w:t>
      </w:r>
    </w:p>
    <w:p w:rsidR="00487C0E" w:rsidRPr="000C5A3C" w:rsidRDefault="00487C0E" w:rsidP="00487C0E">
      <w:pPr>
        <w:pStyle w:val="ListParagraph"/>
        <w:numPr>
          <w:ilvl w:val="0"/>
          <w:numId w:val="2"/>
        </w:numPr>
        <w:spacing w:after="0"/>
        <w:rPr>
          <w:sz w:val="20"/>
        </w:rPr>
      </w:pPr>
      <w:r w:rsidRPr="000C5A3C">
        <w:rPr>
          <w:sz w:val="20"/>
        </w:rPr>
        <w:t>le SNA (homéostasie physiologique)</w:t>
      </w:r>
    </w:p>
    <w:p w:rsidR="00487C0E" w:rsidRDefault="00487C0E" w:rsidP="00F71BF2">
      <w:pPr>
        <w:pStyle w:val="ListParagraph"/>
        <w:numPr>
          <w:ilvl w:val="0"/>
          <w:numId w:val="1"/>
        </w:numPr>
        <w:rPr>
          <w:sz w:val="20"/>
        </w:rPr>
      </w:pPr>
      <w:r w:rsidRPr="00F71BF2">
        <w:rPr>
          <w:sz w:val="20"/>
        </w:rPr>
        <w:t>les système</w:t>
      </w:r>
      <w:r w:rsidR="00541FC0">
        <w:rPr>
          <w:sz w:val="20"/>
        </w:rPr>
        <w:t>s</w:t>
      </w:r>
      <w:r w:rsidRPr="00F71BF2">
        <w:rPr>
          <w:sz w:val="20"/>
        </w:rPr>
        <w:t xml:space="preserve"> ascendant</w:t>
      </w:r>
      <w:r w:rsidR="00541FC0">
        <w:rPr>
          <w:sz w:val="20"/>
        </w:rPr>
        <w:t>s</w:t>
      </w:r>
      <w:r w:rsidRPr="00F71BF2">
        <w:rPr>
          <w:sz w:val="20"/>
        </w:rPr>
        <w:t xml:space="preserve"> d</w:t>
      </w:r>
      <w:r w:rsidR="00F71BF2" w:rsidRPr="00F71BF2">
        <w:rPr>
          <w:sz w:val="20"/>
        </w:rPr>
        <w:t>iffus :</w:t>
      </w:r>
      <w:r w:rsidR="00541FC0">
        <w:rPr>
          <w:sz w:val="20"/>
        </w:rPr>
        <w:t xml:space="preserve"> on en dénombre 4, DA/NA/5-HT/</w:t>
      </w:r>
      <w:proofErr w:type="spellStart"/>
      <w:r w:rsidR="00541FC0">
        <w:rPr>
          <w:sz w:val="20"/>
        </w:rPr>
        <w:t>ACh</w:t>
      </w:r>
      <w:proofErr w:type="spellEnd"/>
      <w:r w:rsidR="00541FC0">
        <w:rPr>
          <w:sz w:val="20"/>
        </w:rPr>
        <w:t xml:space="preserve">. Les corps de chaque système sont localisés dans des noyaux du tronc cérébral et projettent leur axone sur le cerveau </w:t>
      </w:r>
      <w:proofErr w:type="spellStart"/>
      <w:r w:rsidR="00541FC0">
        <w:rPr>
          <w:sz w:val="20"/>
        </w:rPr>
        <w:t>ant</w:t>
      </w:r>
      <w:proofErr w:type="spellEnd"/>
      <w:r w:rsidR="00541FC0">
        <w:rPr>
          <w:sz w:val="20"/>
        </w:rPr>
        <w:t>, le cervelet et la moelle. On parle aussi de substance réticulaire. Les systèmes ascendants diffus</w:t>
      </w:r>
      <w:r w:rsidR="00F71BF2" w:rsidRPr="00F71BF2">
        <w:rPr>
          <w:sz w:val="20"/>
        </w:rPr>
        <w:t xml:space="preserve"> </w:t>
      </w:r>
      <w:r w:rsidR="00EB0538">
        <w:rPr>
          <w:sz w:val="20"/>
        </w:rPr>
        <w:t>régulent</w:t>
      </w:r>
    </w:p>
    <w:p w:rsidR="00EB0538" w:rsidRDefault="00EB0538" w:rsidP="00EB0538">
      <w:pPr>
        <w:pStyle w:val="ListParagraph"/>
        <w:numPr>
          <w:ilvl w:val="0"/>
          <w:numId w:val="6"/>
        </w:numPr>
        <w:rPr>
          <w:sz w:val="20"/>
        </w:rPr>
      </w:pPr>
      <w:r>
        <w:rPr>
          <w:sz w:val="20"/>
        </w:rPr>
        <w:t>l’activité globale et coordonnée des systèmes fonctionnels (sensoriels et moteur)</w:t>
      </w:r>
    </w:p>
    <w:p w:rsidR="00EB0538" w:rsidRPr="00F71BF2" w:rsidRDefault="00EB0538" w:rsidP="00EB0538">
      <w:pPr>
        <w:pStyle w:val="ListParagraph"/>
        <w:numPr>
          <w:ilvl w:val="0"/>
          <w:numId w:val="6"/>
        </w:numPr>
        <w:rPr>
          <w:sz w:val="20"/>
        </w:rPr>
      </w:pPr>
      <w:r>
        <w:rPr>
          <w:sz w:val="20"/>
        </w:rPr>
        <w:t>les niveaux de vigilance et veille, par régulation du phasage de l’activité au niveau du cortex cérébral &gt; télencéphale.</w:t>
      </w:r>
    </w:p>
    <w:p w:rsidR="00487C0E" w:rsidRPr="000C5A3C" w:rsidRDefault="00487C0E" w:rsidP="00487C0E">
      <w:pPr>
        <w:rPr>
          <w:sz w:val="20"/>
        </w:rPr>
      </w:pPr>
      <w:r w:rsidRPr="000C5A3C">
        <w:rPr>
          <w:b/>
          <w:sz w:val="20"/>
        </w:rPr>
        <w:t>Les rythmes biologiques</w:t>
      </w:r>
      <w:r w:rsidRPr="000C5A3C">
        <w:rPr>
          <w:sz w:val="20"/>
        </w:rPr>
        <w:t> : le rythme circadien se mesure par nos phases physiologiques de sommeil et de prise de nourriture. Ces cycles se traduisent par des modifications de plusieurs fonctions physiologiques comme par exemple l’état de veille/sommeil, la température corporelle et la quantité de mélatonine et de sérotonine extracellulaire. Important de relever que cela a un impact sur la pharmacodynamique et l’effet différent d’un médicament absorbé à différentes phases du rythme circadien</w:t>
      </w:r>
      <w:r w:rsidR="001F22D8" w:rsidRPr="000C5A3C">
        <w:rPr>
          <w:sz w:val="20"/>
        </w:rPr>
        <w:t>.</w:t>
      </w:r>
      <w:r w:rsidRPr="000C5A3C">
        <w:rPr>
          <w:sz w:val="20"/>
        </w:rPr>
        <w:t xml:space="preserve"> L’expérience du décalage horaire est l’exemple le plus </w:t>
      </w:r>
      <w:r w:rsidR="001F22D8" w:rsidRPr="000C5A3C">
        <w:rPr>
          <w:sz w:val="20"/>
        </w:rPr>
        <w:t>répandu</w:t>
      </w:r>
      <w:r w:rsidRPr="000C5A3C">
        <w:rPr>
          <w:sz w:val="20"/>
        </w:rPr>
        <w:t xml:space="preserve"> de l’impact d’un rythme physiologique circadien et du délai d’adaptation en cas de décalage important.</w:t>
      </w:r>
    </w:p>
    <w:p w:rsidR="001F22D8" w:rsidRDefault="001F22D8" w:rsidP="000C5A3C">
      <w:pPr>
        <w:rPr>
          <w:sz w:val="20"/>
        </w:rPr>
      </w:pPr>
      <w:r w:rsidRPr="000C5A3C">
        <w:rPr>
          <w:b/>
          <w:sz w:val="20"/>
        </w:rPr>
        <w:t>Rythme circadien – base génétique</w:t>
      </w:r>
      <w:r w:rsidRPr="000C5A3C">
        <w:rPr>
          <w:sz w:val="20"/>
        </w:rPr>
        <w:t xml:space="preserve"> : </w:t>
      </w:r>
      <w:r w:rsidR="000C5A3C">
        <w:rPr>
          <w:sz w:val="20"/>
        </w:rPr>
        <w:t xml:space="preserve">les propriétés du cycle circadien dépendent de mécanismes au niveau cellulaire. Le </w:t>
      </w:r>
      <w:r w:rsidR="000C5A3C" w:rsidRPr="000C5A3C">
        <w:rPr>
          <w:sz w:val="20"/>
        </w:rPr>
        <w:t>niveau d’activité cellulaire e</w:t>
      </w:r>
      <w:r w:rsidR="000C5A3C">
        <w:rPr>
          <w:sz w:val="20"/>
        </w:rPr>
        <w:t>st régulé par des gènes dont l’</w:t>
      </w:r>
      <w:r w:rsidR="000C5A3C" w:rsidRPr="000C5A3C">
        <w:rPr>
          <w:sz w:val="20"/>
        </w:rPr>
        <w:t xml:space="preserve">expression est </w:t>
      </w:r>
      <w:r w:rsidR="000C5A3C">
        <w:rPr>
          <w:sz w:val="20"/>
        </w:rPr>
        <w:t>modulée</w:t>
      </w:r>
      <w:r w:rsidR="000C5A3C" w:rsidRPr="000C5A3C">
        <w:rPr>
          <w:sz w:val="20"/>
        </w:rPr>
        <w:t xml:space="preserve"> par des régulations activatrices ou inhibitrices.</w:t>
      </w:r>
      <w:r w:rsidR="000C5A3C">
        <w:rPr>
          <w:sz w:val="20"/>
        </w:rPr>
        <w:t xml:space="preserve"> </w:t>
      </w:r>
      <w:r w:rsidR="000C5A3C" w:rsidRPr="000C5A3C">
        <w:rPr>
          <w:sz w:val="20"/>
        </w:rPr>
        <w:t>L’action de ces gènes a été mise en évidence dans des systèmes cellulaires en culture, montrant que les propriétés physiologiques de ces cellules avaient des</w:t>
      </w:r>
      <w:r w:rsidR="000C5A3C">
        <w:rPr>
          <w:sz w:val="20"/>
        </w:rPr>
        <w:t xml:space="preserve"> </w:t>
      </w:r>
      <w:r w:rsidR="000C5A3C" w:rsidRPr="000C5A3C">
        <w:rPr>
          <w:sz w:val="20"/>
        </w:rPr>
        <w:t>valeurs différentes en fonction du moment (jour/nuit) où l’expérience était réalisée.</w:t>
      </w:r>
    </w:p>
    <w:p w:rsidR="000C5A3C" w:rsidRDefault="000C5A3C" w:rsidP="000C5A3C">
      <w:pPr>
        <w:spacing w:after="0"/>
        <w:rPr>
          <w:sz w:val="20"/>
        </w:rPr>
      </w:pPr>
      <w:r w:rsidRPr="000C5A3C">
        <w:rPr>
          <w:sz w:val="20"/>
        </w:rPr>
        <w:t>Le modèle simplifié suivant indique comment cette expression de gène engendre un ryt</w:t>
      </w:r>
      <w:r w:rsidR="002903B4">
        <w:rPr>
          <w:sz w:val="20"/>
        </w:rPr>
        <w:t>hme circadien dans une cellule (voir aussi schéma ci-dessous).</w:t>
      </w:r>
    </w:p>
    <w:p w:rsidR="000C5A3C" w:rsidRDefault="000C5A3C" w:rsidP="000C5A3C">
      <w:pPr>
        <w:pStyle w:val="ListParagraph"/>
        <w:numPr>
          <w:ilvl w:val="0"/>
          <w:numId w:val="1"/>
        </w:numPr>
        <w:spacing w:after="0"/>
        <w:rPr>
          <w:sz w:val="20"/>
        </w:rPr>
      </w:pPr>
      <w:r>
        <w:rPr>
          <w:sz w:val="20"/>
        </w:rPr>
        <w:t xml:space="preserve">L’expression de </w:t>
      </w:r>
      <w:r w:rsidRPr="000C5A3C">
        <w:rPr>
          <w:sz w:val="20"/>
        </w:rPr>
        <w:t>deux gènes (</w:t>
      </w:r>
      <w:proofErr w:type="spellStart"/>
      <w:r w:rsidRPr="000C5A3C">
        <w:rPr>
          <w:sz w:val="20"/>
        </w:rPr>
        <w:t>Cry</w:t>
      </w:r>
      <w:proofErr w:type="spellEnd"/>
      <w:r w:rsidRPr="000C5A3C">
        <w:rPr>
          <w:sz w:val="20"/>
        </w:rPr>
        <w:t xml:space="preserve"> = </w:t>
      </w:r>
      <w:proofErr w:type="spellStart"/>
      <w:r w:rsidRPr="000C5A3C">
        <w:rPr>
          <w:sz w:val="20"/>
        </w:rPr>
        <w:t>cryptochrome</w:t>
      </w:r>
      <w:proofErr w:type="spellEnd"/>
      <w:r w:rsidRPr="000C5A3C">
        <w:rPr>
          <w:sz w:val="20"/>
        </w:rPr>
        <w:t xml:space="preserve"> et Per = </w:t>
      </w:r>
      <w:proofErr w:type="spellStart"/>
      <w:r w:rsidRPr="000C5A3C">
        <w:rPr>
          <w:sz w:val="20"/>
        </w:rPr>
        <w:t>period</w:t>
      </w:r>
      <w:proofErr w:type="spellEnd"/>
      <w:r w:rsidRPr="000C5A3C">
        <w:rPr>
          <w:sz w:val="20"/>
        </w:rPr>
        <w:t xml:space="preserve">) </w:t>
      </w:r>
      <w:r>
        <w:rPr>
          <w:sz w:val="20"/>
        </w:rPr>
        <w:t xml:space="preserve">est </w:t>
      </w:r>
      <w:r w:rsidRPr="000C5A3C">
        <w:rPr>
          <w:sz w:val="20"/>
        </w:rPr>
        <w:t>activé</w:t>
      </w:r>
      <w:r>
        <w:rPr>
          <w:sz w:val="20"/>
        </w:rPr>
        <w:t>e</w:t>
      </w:r>
      <w:r w:rsidRPr="000C5A3C">
        <w:rPr>
          <w:sz w:val="20"/>
        </w:rPr>
        <w:t xml:space="preserve"> </w:t>
      </w:r>
      <w:r>
        <w:rPr>
          <w:sz w:val="20"/>
        </w:rPr>
        <w:t xml:space="preserve">via le complexe de transcription </w:t>
      </w:r>
      <w:r w:rsidRPr="000C5A3C">
        <w:rPr>
          <w:sz w:val="20"/>
        </w:rPr>
        <w:t xml:space="preserve">CLOCK </w:t>
      </w:r>
      <w:r>
        <w:rPr>
          <w:sz w:val="20"/>
        </w:rPr>
        <w:t>+</w:t>
      </w:r>
      <w:r w:rsidRPr="000C5A3C">
        <w:rPr>
          <w:sz w:val="20"/>
        </w:rPr>
        <w:t xml:space="preserve"> BMAL1. </w:t>
      </w:r>
      <w:r>
        <w:rPr>
          <w:sz w:val="20"/>
        </w:rPr>
        <w:t>CLOCK et BMAL1 sont codés par les gènes CLOCK et BMAL1 respectivement.</w:t>
      </w:r>
    </w:p>
    <w:p w:rsidR="000C5A3C" w:rsidRDefault="002903B4" w:rsidP="000C5A3C">
      <w:pPr>
        <w:pStyle w:val="ListParagraph"/>
        <w:numPr>
          <w:ilvl w:val="0"/>
          <w:numId w:val="1"/>
        </w:numPr>
        <w:spacing w:after="0"/>
        <w:rPr>
          <w:sz w:val="20"/>
        </w:rPr>
      </w:pPr>
      <w:r>
        <w:rPr>
          <w:sz w:val="20"/>
        </w:rPr>
        <w:t xml:space="preserve">Les protéines </w:t>
      </w:r>
      <w:proofErr w:type="spellStart"/>
      <w:r>
        <w:rPr>
          <w:sz w:val="20"/>
        </w:rPr>
        <w:t>Cry</w:t>
      </w:r>
      <w:proofErr w:type="spellEnd"/>
      <w:r>
        <w:rPr>
          <w:sz w:val="20"/>
        </w:rPr>
        <w:t xml:space="preserve"> et Per produits à partir de ces gènes </w:t>
      </w:r>
      <w:r w:rsidR="000C5A3C" w:rsidRPr="000C5A3C">
        <w:rPr>
          <w:sz w:val="20"/>
        </w:rPr>
        <w:t xml:space="preserve">forment un complexe protéique qui provoque une boucle rétroactive inhibitrice sur </w:t>
      </w:r>
      <w:r>
        <w:rPr>
          <w:sz w:val="20"/>
        </w:rPr>
        <w:t>le facteur de transcription CLOCK + BMAL1. Ceci</w:t>
      </w:r>
      <w:r w:rsidR="000C5A3C" w:rsidRPr="000C5A3C">
        <w:rPr>
          <w:sz w:val="20"/>
        </w:rPr>
        <w:t xml:space="preserve"> provoquant u</w:t>
      </w:r>
      <w:r w:rsidR="000C5A3C">
        <w:rPr>
          <w:sz w:val="20"/>
        </w:rPr>
        <w:t>n niveau de synthèse oscillant</w:t>
      </w:r>
      <w:r>
        <w:rPr>
          <w:sz w:val="20"/>
        </w:rPr>
        <w:t xml:space="preserve"> pour ces protéines</w:t>
      </w:r>
      <w:r w:rsidR="000C5A3C">
        <w:rPr>
          <w:sz w:val="20"/>
        </w:rPr>
        <w:t>.</w:t>
      </w:r>
    </w:p>
    <w:p w:rsidR="000C5A3C" w:rsidRDefault="000C5A3C" w:rsidP="000C5A3C">
      <w:pPr>
        <w:pStyle w:val="ListParagraph"/>
        <w:numPr>
          <w:ilvl w:val="0"/>
          <w:numId w:val="1"/>
        </w:numPr>
        <w:rPr>
          <w:sz w:val="20"/>
        </w:rPr>
      </w:pPr>
      <w:r w:rsidRPr="000C5A3C">
        <w:rPr>
          <w:sz w:val="20"/>
        </w:rPr>
        <w:t xml:space="preserve">Une seconde boucle rétroactive inhibitrice implique le gène </w:t>
      </w:r>
      <w:proofErr w:type="spellStart"/>
      <w:r w:rsidRPr="000C5A3C">
        <w:rPr>
          <w:sz w:val="20"/>
        </w:rPr>
        <w:t>Rev</w:t>
      </w:r>
      <w:proofErr w:type="spellEnd"/>
      <w:r w:rsidRPr="000C5A3C">
        <w:rPr>
          <w:sz w:val="20"/>
        </w:rPr>
        <w:t xml:space="preserve">-Erba, ce qui fait osciller l’expression des gènes CLOCK et BMAL1. </w:t>
      </w:r>
    </w:p>
    <w:p w:rsidR="000C5A3C" w:rsidRDefault="000C5A3C" w:rsidP="000C5A3C">
      <w:pPr>
        <w:pStyle w:val="ListParagraph"/>
        <w:numPr>
          <w:ilvl w:val="0"/>
          <w:numId w:val="1"/>
        </w:numPr>
        <w:rPr>
          <w:sz w:val="20"/>
        </w:rPr>
      </w:pPr>
      <w:r w:rsidRPr="000C5A3C">
        <w:rPr>
          <w:sz w:val="20"/>
        </w:rPr>
        <w:t>Finalement la phosphorylation du complexe CRY-PER module la durée du cycle autour de 24 heures.</w:t>
      </w:r>
    </w:p>
    <w:p w:rsidR="002903B4" w:rsidRDefault="00541FC0" w:rsidP="00541FC0">
      <w:pPr>
        <w:spacing w:after="0"/>
        <w:rPr>
          <w:sz w:val="20"/>
        </w:rPr>
      </w:pPr>
      <w:r>
        <w:rPr>
          <w:noProof/>
          <w:sz w:val="20"/>
          <w:lang w:eastAsia="fr-CH"/>
        </w:rPr>
        <w:drawing>
          <wp:anchor distT="0" distB="0" distL="114300" distR="114300" simplePos="0" relativeHeight="251661312" behindDoc="0" locked="0" layoutInCell="1" allowOverlap="1">
            <wp:simplePos x="0" y="0"/>
            <wp:positionH relativeFrom="column">
              <wp:posOffset>49530</wp:posOffset>
            </wp:positionH>
            <wp:positionV relativeFrom="paragraph">
              <wp:posOffset>635</wp:posOffset>
            </wp:positionV>
            <wp:extent cx="5761355" cy="953770"/>
            <wp:effectExtent l="1905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5761355" cy="953770"/>
                    </a:xfrm>
                    <a:prstGeom prst="rect">
                      <a:avLst/>
                    </a:prstGeom>
                    <a:noFill/>
                    <a:ln w="9525">
                      <a:noFill/>
                      <a:miter lim="800000"/>
                      <a:headEnd/>
                      <a:tailEnd/>
                    </a:ln>
                  </pic:spPr>
                </pic:pic>
              </a:graphicData>
            </a:graphic>
          </wp:anchor>
        </w:drawing>
      </w:r>
    </w:p>
    <w:p w:rsidR="002903B4" w:rsidRPr="002903B4" w:rsidRDefault="002903B4" w:rsidP="00541FC0">
      <w:pPr>
        <w:spacing w:after="0"/>
        <w:rPr>
          <w:sz w:val="20"/>
        </w:rPr>
      </w:pPr>
      <w:r w:rsidRPr="002903B4">
        <w:rPr>
          <w:b/>
          <w:sz w:val="20"/>
        </w:rPr>
        <w:t xml:space="preserve">Rôle pacemaker du noyau </w:t>
      </w:r>
      <w:proofErr w:type="spellStart"/>
      <w:r w:rsidRPr="002903B4">
        <w:rPr>
          <w:b/>
          <w:sz w:val="20"/>
        </w:rPr>
        <w:t>suprachiasmatique</w:t>
      </w:r>
      <w:proofErr w:type="spellEnd"/>
      <w:r w:rsidRPr="002903B4">
        <w:rPr>
          <w:sz w:val="20"/>
        </w:rPr>
        <w:t> :</w:t>
      </w:r>
      <w:r>
        <w:rPr>
          <w:sz w:val="20"/>
        </w:rPr>
        <w:t xml:space="preserve"> l</w:t>
      </w:r>
      <w:r w:rsidRPr="002903B4">
        <w:rPr>
          <w:sz w:val="20"/>
        </w:rPr>
        <w:t xml:space="preserve">es organes ont des rythmes cellulaires différents. Ceux-ci sont ajustés par un pacemaker central au niveau de l’hypothalamus qui reçoit l’influx visuel, qui passe par le </w:t>
      </w:r>
      <w:r>
        <w:rPr>
          <w:sz w:val="20"/>
        </w:rPr>
        <w:t>c</w:t>
      </w:r>
      <w:r w:rsidRPr="002903B4">
        <w:rPr>
          <w:sz w:val="20"/>
        </w:rPr>
        <w:t xml:space="preserve">hiasma optique pour atteindre le noyau </w:t>
      </w:r>
      <w:proofErr w:type="spellStart"/>
      <w:r w:rsidRPr="002903B4">
        <w:rPr>
          <w:sz w:val="20"/>
        </w:rPr>
        <w:t>suprachiasmatique</w:t>
      </w:r>
      <w:proofErr w:type="spellEnd"/>
      <w:r w:rsidRPr="002903B4">
        <w:rPr>
          <w:sz w:val="20"/>
        </w:rPr>
        <w:t>. L’activité et les connections de ce noyau normalise le rythme cellulaire des autres organes.</w:t>
      </w:r>
      <w:r>
        <w:rPr>
          <w:sz w:val="20"/>
        </w:rPr>
        <w:t xml:space="preserve"> </w:t>
      </w:r>
      <w:r w:rsidRPr="002903B4">
        <w:rPr>
          <w:sz w:val="20"/>
        </w:rPr>
        <w:t>En absence d’une activité de ce pacemaker central, le rythme circadien de repos et de prise</w:t>
      </w:r>
      <w:r>
        <w:rPr>
          <w:sz w:val="20"/>
        </w:rPr>
        <w:t xml:space="preserve"> de nourriture est arythmique.</w:t>
      </w:r>
    </w:p>
    <w:p w:rsidR="00397C70" w:rsidRDefault="00397C70">
      <w:pPr>
        <w:rPr>
          <w:b/>
          <w:sz w:val="20"/>
          <w:u w:val="single"/>
        </w:rPr>
      </w:pPr>
    </w:p>
    <w:p w:rsidR="00487C0E" w:rsidRPr="000C5A3C" w:rsidRDefault="00027878">
      <w:pPr>
        <w:rPr>
          <w:sz w:val="20"/>
        </w:rPr>
      </w:pPr>
      <w:r>
        <w:rPr>
          <w:b/>
          <w:noProof/>
          <w:sz w:val="20"/>
          <w:u w:val="single"/>
          <w:lang w:eastAsia="fr-CH"/>
        </w:rPr>
        <w:lastRenderedPageBreak/>
        <w:drawing>
          <wp:anchor distT="0" distB="0" distL="114300" distR="114300" simplePos="0" relativeHeight="251658240" behindDoc="0" locked="0" layoutInCell="1" allowOverlap="1">
            <wp:simplePos x="0" y="0"/>
            <wp:positionH relativeFrom="column">
              <wp:posOffset>3039745</wp:posOffset>
            </wp:positionH>
            <wp:positionV relativeFrom="paragraph">
              <wp:posOffset>-41275</wp:posOffset>
            </wp:positionV>
            <wp:extent cx="3487420" cy="2719070"/>
            <wp:effectExtent l="19050" t="0" r="0" b="0"/>
            <wp:wrapSquare wrapText="bothSides"/>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srcRect l="3372" t="1711" r="2144"/>
                    <a:stretch>
                      <a:fillRect/>
                    </a:stretch>
                  </pic:blipFill>
                  <pic:spPr bwMode="auto">
                    <a:xfrm>
                      <a:off x="0" y="0"/>
                      <a:ext cx="3487420" cy="2719070"/>
                    </a:xfrm>
                    <a:prstGeom prst="rect">
                      <a:avLst/>
                    </a:prstGeom>
                    <a:noFill/>
                    <a:ln w="9525">
                      <a:noFill/>
                      <a:miter lim="800000"/>
                      <a:headEnd/>
                      <a:tailEnd/>
                    </a:ln>
                  </pic:spPr>
                </pic:pic>
              </a:graphicData>
            </a:graphic>
          </wp:anchor>
        </w:drawing>
      </w:r>
      <w:r w:rsidR="00487C0E" w:rsidRPr="000C5A3C">
        <w:rPr>
          <w:b/>
          <w:sz w:val="20"/>
          <w:u w:val="single"/>
        </w:rPr>
        <w:t>Cycle veille-sommeil</w:t>
      </w:r>
      <w:r w:rsidR="00487C0E" w:rsidRPr="000C5A3C">
        <w:rPr>
          <w:sz w:val="20"/>
        </w:rPr>
        <w:t> :</w:t>
      </w:r>
      <w:r w:rsidRPr="00027878">
        <w:rPr>
          <w:sz w:val="20"/>
        </w:rPr>
        <w:t xml:space="preserve"> </w:t>
      </w:r>
    </w:p>
    <w:p w:rsidR="00027878" w:rsidRDefault="002903B4" w:rsidP="00027878">
      <w:pPr>
        <w:spacing w:after="0"/>
        <w:rPr>
          <w:sz w:val="20"/>
        </w:rPr>
      </w:pPr>
      <w:proofErr w:type="spellStart"/>
      <w:r>
        <w:rPr>
          <w:b/>
          <w:sz w:val="20"/>
        </w:rPr>
        <w:t>Neuroanatomie</w:t>
      </w:r>
      <w:proofErr w:type="spellEnd"/>
      <w:r>
        <w:rPr>
          <w:b/>
          <w:sz w:val="20"/>
        </w:rPr>
        <w:t xml:space="preserve"> de l’h</w:t>
      </w:r>
      <w:r w:rsidR="00487C0E" w:rsidRPr="000C5A3C">
        <w:rPr>
          <w:b/>
          <w:sz w:val="20"/>
        </w:rPr>
        <w:t>ypothalamus</w:t>
      </w:r>
      <w:r w:rsidR="00487C0E" w:rsidRPr="000C5A3C">
        <w:rPr>
          <w:sz w:val="20"/>
        </w:rPr>
        <w:t> :</w:t>
      </w:r>
      <w:r w:rsidR="00617CD3">
        <w:rPr>
          <w:sz w:val="20"/>
        </w:rPr>
        <w:t xml:space="preserve"> l</w:t>
      </w:r>
      <w:r w:rsidR="00617CD3" w:rsidRPr="00617CD3">
        <w:rPr>
          <w:sz w:val="20"/>
        </w:rPr>
        <w:t>’hypothalamus occupe la base du diencé</w:t>
      </w:r>
      <w:r w:rsidR="00617CD3">
        <w:rPr>
          <w:sz w:val="20"/>
        </w:rPr>
        <w:t>phale, de part et d’autre du 3</w:t>
      </w:r>
      <w:r w:rsidR="00617CD3" w:rsidRPr="00617CD3">
        <w:rPr>
          <w:sz w:val="20"/>
          <w:vertAlign w:val="superscript"/>
        </w:rPr>
        <w:t>ème</w:t>
      </w:r>
      <w:r w:rsidR="00617CD3">
        <w:rPr>
          <w:sz w:val="20"/>
        </w:rPr>
        <w:t xml:space="preserve"> </w:t>
      </w:r>
      <w:r w:rsidR="00027878">
        <w:rPr>
          <w:sz w:val="20"/>
        </w:rPr>
        <w:t>ventricule. Délimitations</w:t>
      </w:r>
    </w:p>
    <w:p w:rsidR="00027878" w:rsidRDefault="00027878" w:rsidP="00027878">
      <w:pPr>
        <w:pStyle w:val="ListParagraph"/>
        <w:numPr>
          <w:ilvl w:val="0"/>
          <w:numId w:val="1"/>
        </w:numPr>
        <w:spacing w:after="0"/>
        <w:rPr>
          <w:sz w:val="20"/>
        </w:rPr>
      </w:pPr>
      <w:r w:rsidRPr="00027878">
        <w:rPr>
          <w:sz w:val="20"/>
        </w:rPr>
        <w:t>A</w:t>
      </w:r>
      <w:r w:rsidR="00617CD3" w:rsidRPr="00027878">
        <w:rPr>
          <w:sz w:val="20"/>
        </w:rPr>
        <w:t>ntérieurement</w:t>
      </w:r>
      <w:r>
        <w:rPr>
          <w:sz w:val="20"/>
        </w:rPr>
        <w:t> : lame terminale</w:t>
      </w:r>
    </w:p>
    <w:p w:rsidR="00027878" w:rsidRDefault="00027878" w:rsidP="00617CD3">
      <w:pPr>
        <w:pStyle w:val="ListParagraph"/>
        <w:numPr>
          <w:ilvl w:val="0"/>
          <w:numId w:val="1"/>
        </w:numPr>
        <w:rPr>
          <w:sz w:val="20"/>
        </w:rPr>
      </w:pPr>
      <w:r w:rsidRPr="00027878">
        <w:rPr>
          <w:sz w:val="20"/>
        </w:rPr>
        <w:t>S</w:t>
      </w:r>
      <w:r w:rsidR="00617CD3" w:rsidRPr="00027878">
        <w:rPr>
          <w:sz w:val="20"/>
        </w:rPr>
        <w:t>upérieurement</w:t>
      </w:r>
      <w:r>
        <w:rPr>
          <w:sz w:val="20"/>
        </w:rPr>
        <w:t> : sillon hypothalamique</w:t>
      </w:r>
    </w:p>
    <w:p w:rsidR="00027878" w:rsidRDefault="00027878" w:rsidP="00617CD3">
      <w:pPr>
        <w:pStyle w:val="ListParagraph"/>
        <w:numPr>
          <w:ilvl w:val="0"/>
          <w:numId w:val="1"/>
        </w:numPr>
        <w:rPr>
          <w:sz w:val="20"/>
        </w:rPr>
      </w:pPr>
      <w:r>
        <w:rPr>
          <w:sz w:val="20"/>
        </w:rPr>
        <w:t>Postéro-</w:t>
      </w:r>
      <w:r w:rsidR="00617CD3" w:rsidRPr="00027878">
        <w:rPr>
          <w:sz w:val="20"/>
        </w:rPr>
        <w:t>inférieurement</w:t>
      </w:r>
      <w:r w:rsidRPr="00027878">
        <w:rPr>
          <w:sz w:val="20"/>
        </w:rPr>
        <w:t> :</w:t>
      </w:r>
      <w:r w:rsidR="00617CD3" w:rsidRPr="00027878">
        <w:rPr>
          <w:sz w:val="20"/>
        </w:rPr>
        <w:t xml:space="preserve"> noyau</w:t>
      </w:r>
      <w:r>
        <w:rPr>
          <w:sz w:val="20"/>
        </w:rPr>
        <w:t xml:space="preserve"> mamillaire</w:t>
      </w:r>
    </w:p>
    <w:p w:rsidR="00617CD3" w:rsidRDefault="00027878" w:rsidP="00617CD3">
      <w:pPr>
        <w:pStyle w:val="ListParagraph"/>
        <w:numPr>
          <w:ilvl w:val="0"/>
          <w:numId w:val="1"/>
        </w:numPr>
        <w:rPr>
          <w:sz w:val="20"/>
        </w:rPr>
      </w:pPr>
      <w:r>
        <w:rPr>
          <w:sz w:val="20"/>
        </w:rPr>
        <w:t>I</w:t>
      </w:r>
      <w:r w:rsidR="00617CD3" w:rsidRPr="00027878">
        <w:rPr>
          <w:sz w:val="20"/>
        </w:rPr>
        <w:t>nférieurement</w:t>
      </w:r>
      <w:r>
        <w:rPr>
          <w:sz w:val="20"/>
        </w:rPr>
        <w:t> :</w:t>
      </w:r>
      <w:r w:rsidR="00617CD3" w:rsidRPr="00027878">
        <w:rPr>
          <w:sz w:val="20"/>
        </w:rPr>
        <w:t xml:space="preserve"> ch</w:t>
      </w:r>
      <w:r>
        <w:rPr>
          <w:sz w:val="20"/>
        </w:rPr>
        <w:t>iasma optique et infundibulum (accroché à l’hypophyse, se prolonge par la tige hypophysaire).</w:t>
      </w:r>
    </w:p>
    <w:p w:rsidR="00306B91" w:rsidRDefault="00306B91" w:rsidP="00306B91">
      <w:pPr>
        <w:spacing w:after="0"/>
        <w:rPr>
          <w:sz w:val="20"/>
        </w:rPr>
      </w:pPr>
    </w:p>
    <w:p w:rsidR="00027878" w:rsidRDefault="00027878" w:rsidP="00306B91">
      <w:pPr>
        <w:spacing w:after="0"/>
        <w:rPr>
          <w:sz w:val="20"/>
        </w:rPr>
      </w:pPr>
      <w:r w:rsidRPr="00027878">
        <w:rPr>
          <w:sz w:val="20"/>
        </w:rPr>
        <w:t xml:space="preserve">L’hypothalamus est divisé en </w:t>
      </w:r>
      <w:r w:rsidR="00541FC0">
        <w:rPr>
          <w:sz w:val="20"/>
        </w:rPr>
        <w:t>13</w:t>
      </w:r>
      <w:r w:rsidRPr="00027878">
        <w:rPr>
          <w:sz w:val="20"/>
        </w:rPr>
        <w:t xml:space="preserve"> noyaux</w:t>
      </w:r>
      <w:r w:rsidR="00306B91">
        <w:rPr>
          <w:sz w:val="20"/>
        </w:rPr>
        <w:t>.</w:t>
      </w:r>
    </w:p>
    <w:p w:rsidR="00306B91" w:rsidRPr="00027878" w:rsidRDefault="00306B91" w:rsidP="00306B91">
      <w:pPr>
        <w:spacing w:after="0"/>
        <w:rPr>
          <w:sz w:val="20"/>
        </w:rPr>
      </w:pPr>
    </w:p>
    <w:p w:rsidR="00306B91" w:rsidRDefault="00306B91" w:rsidP="004939AD">
      <w:pPr>
        <w:rPr>
          <w:b/>
          <w:sz w:val="20"/>
        </w:rPr>
      </w:pPr>
    </w:p>
    <w:p w:rsidR="004939AD" w:rsidRDefault="004939AD" w:rsidP="004939AD">
      <w:pPr>
        <w:rPr>
          <w:b/>
          <w:sz w:val="20"/>
        </w:rPr>
      </w:pPr>
      <w:r>
        <w:rPr>
          <w:b/>
          <w:sz w:val="20"/>
        </w:rPr>
        <w:t>L’épiphyse (glande pinéale) et la sécrétion de la mélatonine </w:t>
      </w:r>
      <w:r w:rsidRPr="004939AD">
        <w:rPr>
          <w:sz w:val="20"/>
        </w:rPr>
        <w:t xml:space="preserve">: </w:t>
      </w:r>
      <w:r>
        <w:rPr>
          <w:sz w:val="20"/>
        </w:rPr>
        <w:t>la</w:t>
      </w:r>
      <w:r w:rsidRPr="004939AD">
        <w:rPr>
          <w:sz w:val="20"/>
        </w:rPr>
        <w:t xml:space="preserve"> lumière de la période diurne </w:t>
      </w:r>
      <w:r>
        <w:rPr>
          <w:sz w:val="20"/>
        </w:rPr>
        <w:t>inhibe</w:t>
      </w:r>
      <w:r w:rsidRPr="004939AD">
        <w:rPr>
          <w:sz w:val="20"/>
        </w:rPr>
        <w:t xml:space="preserve"> le noyau </w:t>
      </w:r>
      <w:proofErr w:type="spellStart"/>
      <w:r w:rsidRPr="004939AD">
        <w:rPr>
          <w:sz w:val="20"/>
        </w:rPr>
        <w:t>suprachiasmatique</w:t>
      </w:r>
      <w:proofErr w:type="spellEnd"/>
      <w:r>
        <w:rPr>
          <w:sz w:val="20"/>
        </w:rPr>
        <w:t xml:space="preserve"> via des cellules ganglionnaires de la rétine formant le tract </w:t>
      </w:r>
      <w:proofErr w:type="spellStart"/>
      <w:r>
        <w:rPr>
          <w:sz w:val="20"/>
        </w:rPr>
        <w:t>rétino</w:t>
      </w:r>
      <w:proofErr w:type="spellEnd"/>
      <w:r>
        <w:rPr>
          <w:sz w:val="20"/>
        </w:rPr>
        <w:t xml:space="preserve">-hypothalamique. Une fois qu’il fait nuit, le noyau </w:t>
      </w:r>
      <w:proofErr w:type="spellStart"/>
      <w:r>
        <w:rPr>
          <w:sz w:val="20"/>
        </w:rPr>
        <w:t>suprachiasmatique</w:t>
      </w:r>
      <w:proofErr w:type="spellEnd"/>
      <w:r>
        <w:rPr>
          <w:sz w:val="20"/>
        </w:rPr>
        <w:t xml:space="preserve"> est activé et stimule à son tour</w:t>
      </w:r>
      <w:r w:rsidRPr="004939AD">
        <w:rPr>
          <w:sz w:val="20"/>
        </w:rPr>
        <w:t xml:space="preserve"> le noyau </w:t>
      </w:r>
      <w:proofErr w:type="spellStart"/>
      <w:r w:rsidRPr="004939AD">
        <w:rPr>
          <w:sz w:val="20"/>
        </w:rPr>
        <w:t>paraventriculaire</w:t>
      </w:r>
      <w:proofErr w:type="spellEnd"/>
      <w:r w:rsidRPr="004939AD">
        <w:rPr>
          <w:sz w:val="20"/>
        </w:rPr>
        <w:t xml:space="preserve"> de l’hypothalamus</w:t>
      </w:r>
      <w:r>
        <w:rPr>
          <w:sz w:val="20"/>
        </w:rPr>
        <w:t>. Celui-ci</w:t>
      </w:r>
      <w:r w:rsidRPr="004939AD">
        <w:rPr>
          <w:sz w:val="20"/>
        </w:rPr>
        <w:t xml:space="preserve"> innerve le système sympathique cervical qui, par les fibres noradrénergiques </w:t>
      </w:r>
      <w:proofErr w:type="spellStart"/>
      <w:r>
        <w:rPr>
          <w:sz w:val="20"/>
        </w:rPr>
        <w:t>p</w:t>
      </w:r>
      <w:r w:rsidRPr="004939AD">
        <w:rPr>
          <w:sz w:val="20"/>
        </w:rPr>
        <w:t>ostganglionnaires</w:t>
      </w:r>
      <w:proofErr w:type="spellEnd"/>
      <w:r w:rsidRPr="004939AD">
        <w:rPr>
          <w:sz w:val="20"/>
        </w:rPr>
        <w:t>, active la synthèse de la mélatonine par la glande pinéale. La mélatonine agit sur plusieurs cibles par voie hormonale, y compris au niveau du système nerveux central</w:t>
      </w:r>
      <w:r w:rsidR="00A14B1C">
        <w:rPr>
          <w:sz w:val="20"/>
        </w:rPr>
        <w:t xml:space="preserve">. Elle fait notamment une boucle de rétrocontrôle négative sur </w:t>
      </w:r>
      <w:r w:rsidR="00541FC0">
        <w:rPr>
          <w:sz w:val="20"/>
        </w:rPr>
        <w:t>le noyau</w:t>
      </w:r>
      <w:r w:rsidR="00A14B1C">
        <w:rPr>
          <w:sz w:val="20"/>
        </w:rPr>
        <w:t xml:space="preserve"> </w:t>
      </w:r>
      <w:proofErr w:type="spellStart"/>
      <w:r w:rsidR="00A14B1C">
        <w:rPr>
          <w:sz w:val="20"/>
        </w:rPr>
        <w:t>suprachiasmatique</w:t>
      </w:r>
      <w:proofErr w:type="spellEnd"/>
      <w:r w:rsidR="00A14B1C">
        <w:rPr>
          <w:sz w:val="20"/>
        </w:rPr>
        <w:t>.</w:t>
      </w:r>
    </w:p>
    <w:p w:rsidR="00487C0E" w:rsidRDefault="00A14B1C" w:rsidP="00A14B1C">
      <w:pPr>
        <w:spacing w:after="0"/>
        <w:rPr>
          <w:sz w:val="20"/>
        </w:rPr>
      </w:pPr>
      <w:r>
        <w:rPr>
          <w:b/>
          <w:sz w:val="20"/>
        </w:rPr>
        <w:t>Les circuits hypothalamiques</w:t>
      </w:r>
      <w:r w:rsidRPr="00A14B1C">
        <w:rPr>
          <w:sz w:val="20"/>
        </w:rPr>
        <w:t> :</w:t>
      </w:r>
      <w:r>
        <w:rPr>
          <w:sz w:val="20"/>
        </w:rPr>
        <w:t xml:space="preserve"> l’hypothalamus reçoit de nombreuses afférences</w:t>
      </w:r>
    </w:p>
    <w:p w:rsidR="00A14B1C" w:rsidRPr="00A14B1C" w:rsidRDefault="00A14B1C" w:rsidP="00A14B1C">
      <w:pPr>
        <w:pStyle w:val="ListParagraph"/>
        <w:numPr>
          <w:ilvl w:val="0"/>
          <w:numId w:val="1"/>
        </w:numPr>
        <w:spacing w:after="0"/>
        <w:rPr>
          <w:sz w:val="20"/>
        </w:rPr>
      </w:pPr>
      <w:r>
        <w:rPr>
          <w:sz w:val="20"/>
        </w:rPr>
        <w:t>Vis</w:t>
      </w:r>
      <w:r w:rsidRPr="00A14B1C">
        <w:rPr>
          <w:sz w:val="20"/>
        </w:rPr>
        <w:t xml:space="preserve">uelles (de la rétine, par tract </w:t>
      </w:r>
      <w:proofErr w:type="spellStart"/>
      <w:r w:rsidRPr="00A14B1C">
        <w:rPr>
          <w:sz w:val="20"/>
        </w:rPr>
        <w:t>rétino</w:t>
      </w:r>
      <w:proofErr w:type="spellEnd"/>
      <w:r w:rsidRPr="00A14B1C">
        <w:rPr>
          <w:sz w:val="20"/>
        </w:rPr>
        <w:t>-thalamique)</w:t>
      </w:r>
    </w:p>
    <w:p w:rsidR="00A14B1C" w:rsidRDefault="00A14B1C" w:rsidP="00A14B1C">
      <w:pPr>
        <w:pStyle w:val="ListParagraph"/>
        <w:numPr>
          <w:ilvl w:val="0"/>
          <w:numId w:val="1"/>
        </w:numPr>
        <w:rPr>
          <w:sz w:val="20"/>
        </w:rPr>
      </w:pPr>
      <w:r>
        <w:rPr>
          <w:sz w:val="20"/>
        </w:rPr>
        <w:t>Activité (cortex)</w:t>
      </w:r>
    </w:p>
    <w:p w:rsidR="00A14B1C" w:rsidRDefault="00A14B1C" w:rsidP="00A14B1C">
      <w:pPr>
        <w:pStyle w:val="ListParagraph"/>
        <w:numPr>
          <w:ilvl w:val="0"/>
          <w:numId w:val="1"/>
        </w:numPr>
        <w:rPr>
          <w:sz w:val="20"/>
        </w:rPr>
      </w:pPr>
      <w:r>
        <w:rPr>
          <w:sz w:val="20"/>
        </w:rPr>
        <w:t>Emotions (système limbique)</w:t>
      </w:r>
    </w:p>
    <w:p w:rsidR="00A14B1C" w:rsidRDefault="00A14B1C" w:rsidP="00A14B1C">
      <w:pPr>
        <w:pStyle w:val="ListParagraph"/>
        <w:numPr>
          <w:ilvl w:val="0"/>
          <w:numId w:val="1"/>
        </w:numPr>
        <w:rPr>
          <w:sz w:val="20"/>
        </w:rPr>
      </w:pPr>
      <w:r>
        <w:rPr>
          <w:sz w:val="20"/>
        </w:rPr>
        <w:t xml:space="preserve">Viscérales (homéostasie physiologique, ex leptine </w:t>
      </w:r>
      <w:proofErr w:type="spellStart"/>
      <w:r>
        <w:rPr>
          <w:sz w:val="20"/>
        </w:rPr>
        <w:t>post-prandial</w:t>
      </w:r>
      <w:proofErr w:type="spellEnd"/>
      <w:r>
        <w:rPr>
          <w:sz w:val="20"/>
        </w:rPr>
        <w:t>)</w:t>
      </w:r>
    </w:p>
    <w:p w:rsidR="00A14B1C" w:rsidRDefault="00A14B1C" w:rsidP="00BE43D5">
      <w:pPr>
        <w:spacing w:after="0"/>
        <w:rPr>
          <w:sz w:val="20"/>
        </w:rPr>
      </w:pPr>
      <w:r w:rsidRPr="00A14B1C">
        <w:rPr>
          <w:sz w:val="20"/>
        </w:rPr>
        <w:t xml:space="preserve">Plusieurs noyaux de l’hypothalamus </w:t>
      </w:r>
      <w:r w:rsidR="00306B91">
        <w:rPr>
          <w:sz w:val="20"/>
        </w:rPr>
        <w:t>intègrent c</w:t>
      </w:r>
      <w:r>
        <w:rPr>
          <w:sz w:val="20"/>
        </w:rPr>
        <w:t>es afférences :</w:t>
      </w:r>
      <w:r w:rsidR="00306B91">
        <w:rPr>
          <w:sz w:val="20"/>
        </w:rPr>
        <w:t xml:space="preserve"> p</w:t>
      </w:r>
      <w:r>
        <w:rPr>
          <w:sz w:val="20"/>
        </w:rPr>
        <w:t>uis ils</w:t>
      </w:r>
      <w:r w:rsidRPr="00A14B1C">
        <w:rPr>
          <w:sz w:val="20"/>
        </w:rPr>
        <w:t xml:space="preserve"> et relaient les stimuli vers les noyaux d</w:t>
      </w:r>
      <w:r w:rsidR="00BE43D5">
        <w:rPr>
          <w:sz w:val="20"/>
        </w:rPr>
        <w:t>e projection de l’hypothalamus :</w:t>
      </w:r>
    </w:p>
    <w:p w:rsidR="00A14B1C" w:rsidRDefault="00A14B1C" w:rsidP="00BE43D5">
      <w:pPr>
        <w:pStyle w:val="ListParagraph"/>
        <w:numPr>
          <w:ilvl w:val="0"/>
          <w:numId w:val="1"/>
        </w:numPr>
        <w:spacing w:after="0"/>
        <w:rPr>
          <w:sz w:val="20"/>
        </w:rPr>
      </w:pPr>
      <w:r w:rsidRPr="00A14B1C">
        <w:rPr>
          <w:sz w:val="20"/>
        </w:rPr>
        <w:t xml:space="preserve">L’aire </w:t>
      </w:r>
      <w:proofErr w:type="spellStart"/>
      <w:r w:rsidRPr="00A14B1C">
        <w:rPr>
          <w:sz w:val="20"/>
        </w:rPr>
        <w:t>préoptique</w:t>
      </w:r>
      <w:proofErr w:type="spellEnd"/>
      <w:r w:rsidRPr="00A14B1C">
        <w:rPr>
          <w:sz w:val="20"/>
        </w:rPr>
        <w:t xml:space="preserve"> </w:t>
      </w:r>
      <w:proofErr w:type="spellStart"/>
      <w:r w:rsidRPr="00A14B1C">
        <w:rPr>
          <w:sz w:val="20"/>
        </w:rPr>
        <w:t>ventro</w:t>
      </w:r>
      <w:proofErr w:type="spellEnd"/>
      <w:r w:rsidRPr="00A14B1C">
        <w:rPr>
          <w:sz w:val="20"/>
        </w:rPr>
        <w:t>-latérale est impliquée dans l’</w:t>
      </w:r>
      <w:r>
        <w:rPr>
          <w:sz w:val="20"/>
        </w:rPr>
        <w:t>induction du sommeil (GABA)</w:t>
      </w:r>
    </w:p>
    <w:p w:rsidR="00A14B1C" w:rsidRDefault="00A14B1C" w:rsidP="00A14B1C">
      <w:pPr>
        <w:pStyle w:val="ListParagraph"/>
        <w:numPr>
          <w:ilvl w:val="0"/>
          <w:numId w:val="1"/>
        </w:numPr>
        <w:rPr>
          <w:sz w:val="20"/>
        </w:rPr>
      </w:pPr>
      <w:r>
        <w:rPr>
          <w:sz w:val="20"/>
        </w:rPr>
        <w:t>L</w:t>
      </w:r>
      <w:r w:rsidRPr="00A14B1C">
        <w:rPr>
          <w:sz w:val="20"/>
        </w:rPr>
        <w:t xml:space="preserve">a partie médiale </w:t>
      </w:r>
      <w:r>
        <w:rPr>
          <w:sz w:val="20"/>
        </w:rPr>
        <w:t>pour la thermorégulation</w:t>
      </w:r>
    </w:p>
    <w:p w:rsidR="00BE43D5" w:rsidRDefault="00A14B1C" w:rsidP="00A14B1C">
      <w:pPr>
        <w:pStyle w:val="ListParagraph"/>
        <w:numPr>
          <w:ilvl w:val="0"/>
          <w:numId w:val="1"/>
        </w:numPr>
        <w:rPr>
          <w:sz w:val="20"/>
        </w:rPr>
      </w:pPr>
      <w:r>
        <w:rPr>
          <w:sz w:val="20"/>
        </w:rPr>
        <w:t xml:space="preserve">L’aire hypothalamique latérale </w:t>
      </w:r>
      <w:r w:rsidRPr="00A14B1C">
        <w:rPr>
          <w:sz w:val="20"/>
        </w:rPr>
        <w:t>régule l’éveil et la prise de nourriture (</w:t>
      </w:r>
      <w:r w:rsidR="00BE43D5">
        <w:rPr>
          <w:sz w:val="20"/>
        </w:rPr>
        <w:t xml:space="preserve">augmentés par </w:t>
      </w:r>
      <w:proofErr w:type="spellStart"/>
      <w:r w:rsidRPr="00BE43D5">
        <w:rPr>
          <w:sz w:val="20"/>
          <w:highlight w:val="yellow"/>
        </w:rPr>
        <w:t>orexine</w:t>
      </w:r>
      <w:proofErr w:type="spellEnd"/>
      <w:r w:rsidR="00BE43D5">
        <w:rPr>
          <w:sz w:val="20"/>
        </w:rPr>
        <w:t>, essentielle mais produite que par un petit nombre de cellules ; 10’000-20'000 neurones).</w:t>
      </w:r>
    </w:p>
    <w:p w:rsidR="00A14B1C" w:rsidRPr="00A14B1C" w:rsidRDefault="00A14B1C" w:rsidP="00A14B1C">
      <w:pPr>
        <w:pStyle w:val="ListParagraph"/>
        <w:numPr>
          <w:ilvl w:val="0"/>
          <w:numId w:val="1"/>
        </w:numPr>
        <w:rPr>
          <w:sz w:val="20"/>
        </w:rPr>
      </w:pPr>
      <w:r w:rsidRPr="00A14B1C">
        <w:rPr>
          <w:sz w:val="20"/>
        </w:rPr>
        <w:t xml:space="preserve">Le noyau </w:t>
      </w:r>
      <w:proofErr w:type="spellStart"/>
      <w:r w:rsidRPr="00A14B1C">
        <w:rPr>
          <w:sz w:val="20"/>
        </w:rPr>
        <w:t>paraventriculaire</w:t>
      </w:r>
      <w:proofErr w:type="spellEnd"/>
      <w:r w:rsidRPr="00A14B1C">
        <w:rPr>
          <w:sz w:val="20"/>
        </w:rPr>
        <w:t xml:space="preserve"> est à l’origine de la régulation de la mélatonine (via le système sympathique) et la sécrétion du cortisol (par le CRH activant l’hypophyse).</w:t>
      </w:r>
    </w:p>
    <w:p w:rsidR="00487C0E" w:rsidRDefault="00487C0E">
      <w:pPr>
        <w:rPr>
          <w:sz w:val="20"/>
        </w:rPr>
      </w:pPr>
      <w:r w:rsidRPr="000C5A3C">
        <w:rPr>
          <w:b/>
          <w:sz w:val="20"/>
          <w:u w:val="single"/>
        </w:rPr>
        <w:t>Groupes de neurones de la substance réticulée identifiés par leur neurotransmetteur</w:t>
      </w:r>
      <w:r w:rsidRPr="000C5A3C">
        <w:rPr>
          <w:sz w:val="20"/>
        </w:rPr>
        <w:t> :</w:t>
      </w:r>
      <w:r w:rsidR="00BE43D5">
        <w:rPr>
          <w:sz w:val="20"/>
        </w:rPr>
        <w:t xml:space="preserve"> </w:t>
      </w:r>
      <w:r w:rsidR="00BE43D5" w:rsidRPr="00BE43D5">
        <w:rPr>
          <w:sz w:val="20"/>
        </w:rPr>
        <w:t>la substance réticulée est une structure nerveuse du tronc cérébral </w:t>
      </w:r>
      <w:r w:rsidR="00BE43D5">
        <w:rPr>
          <w:sz w:val="20"/>
        </w:rPr>
        <w:t>(</w:t>
      </w:r>
      <w:r w:rsidR="00A8039C">
        <w:rPr>
          <w:sz w:val="20"/>
        </w:rPr>
        <w:t xml:space="preserve">ou </w:t>
      </w:r>
      <w:r w:rsidR="00BE43D5">
        <w:rPr>
          <w:sz w:val="20"/>
        </w:rPr>
        <w:t xml:space="preserve">base du télencéphale) à l'interface des systèmes autonome, moteur </w:t>
      </w:r>
      <w:r w:rsidR="00BE43D5" w:rsidRPr="00BE43D5">
        <w:rPr>
          <w:sz w:val="20"/>
        </w:rPr>
        <w:t>et sensitif. Elle intervient dans la régulation de grandes fonctions vitales (comme les cycles veille-sommeil), le contrôle d'activités motrices réflexes </w:t>
      </w:r>
      <w:r w:rsidR="00BE43D5">
        <w:rPr>
          <w:sz w:val="20"/>
        </w:rPr>
        <w:t>ou stéréotypées (</w:t>
      </w:r>
      <w:r w:rsidR="00BE43D5" w:rsidRPr="00BE43D5">
        <w:rPr>
          <w:sz w:val="20"/>
        </w:rPr>
        <w:t>comme la marche ou le tonus postural</w:t>
      </w:r>
      <w:r w:rsidR="00BE43D5">
        <w:rPr>
          <w:sz w:val="20"/>
        </w:rPr>
        <w:t>)</w:t>
      </w:r>
      <w:r w:rsidR="00BE43D5" w:rsidRPr="00BE43D5">
        <w:rPr>
          <w:sz w:val="20"/>
        </w:rPr>
        <w:t> et dans des fonctions cognitives </w:t>
      </w:r>
      <w:r w:rsidR="00BE43D5">
        <w:rPr>
          <w:sz w:val="20"/>
        </w:rPr>
        <w:t>(comme</w:t>
      </w:r>
      <w:r w:rsidR="00BE43D5" w:rsidRPr="00BE43D5">
        <w:rPr>
          <w:sz w:val="20"/>
        </w:rPr>
        <w:t xml:space="preserve"> l'attention</w:t>
      </w:r>
      <w:r w:rsidR="00BE43D5">
        <w:rPr>
          <w:sz w:val="20"/>
        </w:rPr>
        <w:t>)</w:t>
      </w:r>
      <w:r w:rsidR="00BE43D5" w:rsidRPr="00BE43D5">
        <w:rPr>
          <w:sz w:val="20"/>
        </w:rPr>
        <w:t>. De par</w:t>
      </w:r>
      <w:r w:rsidR="00397C70">
        <w:rPr>
          <w:sz w:val="20"/>
        </w:rPr>
        <w:t>t</w:t>
      </w:r>
      <w:r w:rsidR="00BE43D5" w:rsidRPr="00BE43D5">
        <w:rPr>
          <w:sz w:val="20"/>
        </w:rPr>
        <w:t xml:space="preserve"> son rôle central dans la régulation de la vigilance, les lésions de la formation réticulée entraînent souvent un coma.</w:t>
      </w:r>
    </w:p>
    <w:p w:rsidR="00BE43D5" w:rsidRPr="000C5A3C" w:rsidRDefault="00BE43D5" w:rsidP="00BE43D5">
      <w:pPr>
        <w:rPr>
          <w:sz w:val="20"/>
        </w:rPr>
      </w:pPr>
      <w:r w:rsidRPr="00BE43D5">
        <w:rPr>
          <w:sz w:val="20"/>
        </w:rPr>
        <w:t xml:space="preserve">La substance réticulée contient des neurones </w:t>
      </w:r>
      <w:r>
        <w:rPr>
          <w:sz w:val="20"/>
        </w:rPr>
        <w:t>avec</w:t>
      </w:r>
      <w:r w:rsidRPr="00BE43D5">
        <w:rPr>
          <w:sz w:val="20"/>
        </w:rPr>
        <w:t xml:space="preserve"> une arborisation dendritique </w:t>
      </w:r>
      <w:r>
        <w:rPr>
          <w:sz w:val="20"/>
        </w:rPr>
        <w:t>recevan</w:t>
      </w:r>
      <w:r w:rsidRPr="00BE43D5">
        <w:rPr>
          <w:sz w:val="20"/>
        </w:rPr>
        <w:t xml:space="preserve">t des afférences descendantes (télencéphale), ascendantes (sensorielles), et locales. Ces neurones </w:t>
      </w:r>
      <w:r>
        <w:rPr>
          <w:sz w:val="20"/>
        </w:rPr>
        <w:t xml:space="preserve">ont </w:t>
      </w:r>
      <w:r w:rsidRPr="00BE43D5">
        <w:rPr>
          <w:sz w:val="20"/>
        </w:rPr>
        <w:t>une projection très étendue qui se distribue dans plusieurs systèmes fonctionnels, assurant leur activation coordonnée</w:t>
      </w:r>
      <w:r>
        <w:rPr>
          <w:sz w:val="20"/>
        </w:rPr>
        <w:t>.</w:t>
      </w:r>
    </w:p>
    <w:p w:rsidR="00397C70" w:rsidRDefault="00397C70">
      <w:pPr>
        <w:rPr>
          <w:b/>
          <w:sz w:val="20"/>
        </w:rPr>
      </w:pPr>
      <w:r>
        <w:rPr>
          <w:b/>
          <w:sz w:val="20"/>
        </w:rPr>
        <w:br w:type="page"/>
      </w:r>
    </w:p>
    <w:p w:rsidR="00487C0E" w:rsidRDefault="00487C0E" w:rsidP="00A8039C">
      <w:pPr>
        <w:spacing w:after="0"/>
        <w:rPr>
          <w:sz w:val="20"/>
        </w:rPr>
      </w:pPr>
      <w:r w:rsidRPr="000C5A3C">
        <w:rPr>
          <w:b/>
          <w:sz w:val="20"/>
        </w:rPr>
        <w:lastRenderedPageBreak/>
        <w:t>Système dopaminergique </w:t>
      </w:r>
      <w:r w:rsidRPr="000C5A3C">
        <w:rPr>
          <w:sz w:val="20"/>
        </w:rPr>
        <w:t>:</w:t>
      </w:r>
      <w:r w:rsidR="00A8039C" w:rsidRPr="00A8039C">
        <w:t xml:space="preserve"> </w:t>
      </w:r>
      <w:r w:rsidR="00A8039C" w:rsidRPr="00A8039C">
        <w:rPr>
          <w:sz w:val="20"/>
        </w:rPr>
        <w:t xml:space="preserve">composé d’un ensemble de plusieurs noyaux distribués entre la région olfactive du télencéphale et le mésencéphale. Parmi </w:t>
      </w:r>
      <w:r w:rsidR="00A8039C">
        <w:rPr>
          <w:sz w:val="20"/>
        </w:rPr>
        <w:t>ces noyaux, les princi</w:t>
      </w:r>
      <w:r w:rsidR="00A8039C" w:rsidRPr="00A8039C">
        <w:rPr>
          <w:sz w:val="20"/>
        </w:rPr>
        <w:t>paux sont:</w:t>
      </w:r>
    </w:p>
    <w:p w:rsidR="00A8039C" w:rsidRDefault="009150D2" w:rsidP="00A8039C">
      <w:pPr>
        <w:pStyle w:val="ListParagraph"/>
        <w:numPr>
          <w:ilvl w:val="0"/>
          <w:numId w:val="1"/>
        </w:numPr>
        <w:spacing w:after="0"/>
        <w:rPr>
          <w:sz w:val="20"/>
        </w:rPr>
      </w:pPr>
      <w:r>
        <w:rPr>
          <w:noProof/>
          <w:sz w:val="20"/>
          <w:lang w:eastAsia="fr-CH"/>
        </w:rPr>
        <w:pict>
          <v:shapetype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_x0000_s1026" type="#_x0000_t87" style="position:absolute;left:0;text-align:left;margin-left:3.4pt;margin-top:7.5pt;width:7.15pt;height:70.15pt;z-index:251659264"/>
        </w:pict>
      </w:r>
      <w:r w:rsidR="00A8039C">
        <w:rPr>
          <w:sz w:val="20"/>
        </w:rPr>
        <w:t>Substance noire (pars compacta) → striatum → système moteur</w:t>
      </w:r>
    </w:p>
    <w:p w:rsidR="00A8039C" w:rsidRPr="00A8039C" w:rsidRDefault="009150D2" w:rsidP="00A8039C">
      <w:pPr>
        <w:pStyle w:val="ListParagraph"/>
        <w:rPr>
          <w:sz w:val="20"/>
        </w:rPr>
      </w:pPr>
      <w:r>
        <w:rPr>
          <w:noProof/>
          <w:sz w:val="20"/>
          <w:lang w:eastAsia="fr-CH"/>
        </w:rPr>
        <w:pict>
          <v:shapetype id="_x0000_t202" coordsize="21600,21600" o:spt="202" path="m,l,21600r21600,l21600,xe">
            <v:stroke joinstyle="miter"/>
            <v:path gradientshapeok="t" o:connecttype="rect"/>
          </v:shapetype>
          <v:shape id="_x0000_s1027" type="#_x0000_t202" style="position:absolute;left:0;text-align:left;margin-left:-59.85pt;margin-top:18.85pt;width:72.35pt;height:19.8pt;z-index:251660288" filled="f" stroked="f">
            <v:textbox>
              <w:txbxContent>
                <w:p w:rsidR="00446D58" w:rsidRPr="00A8039C" w:rsidRDefault="00446D58">
                  <w:pPr>
                    <w:rPr>
                      <w:sz w:val="18"/>
                    </w:rPr>
                  </w:pPr>
                  <w:r w:rsidRPr="00A8039C">
                    <w:rPr>
                      <w:sz w:val="18"/>
                    </w:rPr>
                    <w:t>mésencéphale</w:t>
                  </w:r>
                </w:p>
              </w:txbxContent>
            </v:textbox>
          </v:shape>
        </w:pict>
      </w:r>
      <w:r w:rsidR="00A8039C" w:rsidRPr="00A8039C">
        <w:rPr>
          <w:sz w:val="20"/>
        </w:rPr>
        <w:t xml:space="preserve">Ces neurones dégénèrent sélectivement lors de la maladie de Parkinson et provoquent des troubles moteurs principalement caractérisés par une akinésie et des tremblements. Les symptômes de cette </w:t>
      </w:r>
    </w:p>
    <w:p w:rsidR="00A8039C" w:rsidRDefault="00A8039C" w:rsidP="00A8039C">
      <w:pPr>
        <w:pStyle w:val="ListParagraph"/>
        <w:rPr>
          <w:sz w:val="20"/>
        </w:rPr>
      </w:pPr>
      <w:r w:rsidRPr="00A8039C">
        <w:rPr>
          <w:sz w:val="20"/>
        </w:rPr>
        <w:t>maladie sont abolis si on peut stimuler la transmission dopaminergique, par exemple en favorisant la synthèse de la dopamine avec l’ingestion de son précurseur, la L-DOPA</w:t>
      </w:r>
    </w:p>
    <w:p w:rsidR="00A8039C" w:rsidRPr="00A8039C" w:rsidRDefault="00A8039C" w:rsidP="00A8039C">
      <w:pPr>
        <w:pStyle w:val="ListParagraph"/>
        <w:numPr>
          <w:ilvl w:val="0"/>
          <w:numId w:val="1"/>
        </w:numPr>
        <w:rPr>
          <w:sz w:val="20"/>
        </w:rPr>
      </w:pPr>
      <w:r w:rsidRPr="00A8039C">
        <w:rPr>
          <w:sz w:val="20"/>
        </w:rPr>
        <w:t xml:space="preserve">Aire </w:t>
      </w:r>
      <w:proofErr w:type="spellStart"/>
      <w:r w:rsidRPr="00A8039C">
        <w:rPr>
          <w:sz w:val="20"/>
        </w:rPr>
        <w:t>tegmentale</w:t>
      </w:r>
      <w:proofErr w:type="spellEnd"/>
      <w:r w:rsidRPr="00A8039C">
        <w:rPr>
          <w:sz w:val="20"/>
        </w:rPr>
        <w:t xml:space="preserve"> ventrale → base du télencéphale + cortex cérébral → système limbique (émotion, affectivité, agressivité, addiction, …)</w:t>
      </w:r>
      <w:r>
        <w:rPr>
          <w:sz w:val="20"/>
        </w:rPr>
        <w:t xml:space="preserve">. Aussi impliquée </w:t>
      </w:r>
      <w:r w:rsidRPr="00A8039C">
        <w:rPr>
          <w:sz w:val="20"/>
        </w:rPr>
        <w:t xml:space="preserve">dans des pathologies psychiatriques </w:t>
      </w:r>
      <w:r>
        <w:rPr>
          <w:sz w:val="20"/>
        </w:rPr>
        <w:t>(</w:t>
      </w:r>
      <w:r w:rsidRPr="00A8039C">
        <w:rPr>
          <w:sz w:val="20"/>
        </w:rPr>
        <w:t>dépression, anxiété, schizophrénie, toxicomanie)</w:t>
      </w:r>
    </w:p>
    <w:p w:rsidR="00A8039C" w:rsidRPr="00A8039C" w:rsidRDefault="00A8039C" w:rsidP="00A8039C">
      <w:pPr>
        <w:pStyle w:val="ListParagraph"/>
        <w:numPr>
          <w:ilvl w:val="0"/>
          <w:numId w:val="1"/>
        </w:numPr>
        <w:rPr>
          <w:sz w:val="20"/>
        </w:rPr>
      </w:pPr>
      <w:r>
        <w:rPr>
          <w:sz w:val="20"/>
        </w:rPr>
        <w:t>Noyau arqué </w:t>
      </w:r>
      <w:r w:rsidR="003B4FBE">
        <w:rPr>
          <w:sz w:val="20"/>
        </w:rPr>
        <w:t xml:space="preserve">(noyau </w:t>
      </w:r>
      <w:proofErr w:type="spellStart"/>
      <w:r w:rsidR="00397C70">
        <w:rPr>
          <w:sz w:val="20"/>
        </w:rPr>
        <w:t>hypo</w:t>
      </w:r>
      <w:r w:rsidR="003B4FBE">
        <w:rPr>
          <w:sz w:val="20"/>
        </w:rPr>
        <w:t>thal</w:t>
      </w:r>
      <w:proofErr w:type="spellEnd"/>
      <w:r w:rsidR="003B4FBE">
        <w:rPr>
          <w:sz w:val="20"/>
        </w:rPr>
        <w:t xml:space="preserve">) </w:t>
      </w:r>
      <w:r>
        <w:rPr>
          <w:sz w:val="20"/>
        </w:rPr>
        <w:t>→ infundibulum → inhibe la sécrétion de prolactine par l’hypophyse</w:t>
      </w:r>
    </w:p>
    <w:p w:rsidR="003B4FBE" w:rsidRPr="003B4FBE" w:rsidRDefault="00487C0E" w:rsidP="003B4FBE">
      <w:pPr>
        <w:rPr>
          <w:sz w:val="20"/>
        </w:rPr>
      </w:pPr>
      <w:r w:rsidRPr="000C5A3C">
        <w:rPr>
          <w:b/>
          <w:sz w:val="20"/>
        </w:rPr>
        <w:t>Système noradrénergique</w:t>
      </w:r>
      <w:r w:rsidRPr="000C5A3C">
        <w:rPr>
          <w:sz w:val="20"/>
        </w:rPr>
        <w:t> :</w:t>
      </w:r>
      <w:r w:rsidR="003B4FBE">
        <w:rPr>
          <w:sz w:val="20"/>
        </w:rPr>
        <w:t xml:space="preserve"> pour rappel, tyrosine → dopamine → NA → A. </w:t>
      </w:r>
      <w:r w:rsidR="003B4FBE" w:rsidRPr="003B4FBE">
        <w:rPr>
          <w:sz w:val="20"/>
        </w:rPr>
        <w:t>Ceci est réalisé dans des neurones</w:t>
      </w:r>
      <w:r w:rsidR="003B4FBE">
        <w:rPr>
          <w:sz w:val="20"/>
        </w:rPr>
        <w:t xml:space="preserve"> </w:t>
      </w:r>
      <w:r w:rsidR="003B4FBE" w:rsidRPr="003B4FBE">
        <w:rPr>
          <w:sz w:val="20"/>
        </w:rPr>
        <w:t xml:space="preserve">différents, en fonction de la transcription d’un nombre </w:t>
      </w:r>
      <w:r w:rsidR="003B4FBE">
        <w:rPr>
          <w:sz w:val="20"/>
        </w:rPr>
        <w:t xml:space="preserve">des </w:t>
      </w:r>
      <w:r w:rsidR="003B4FBE" w:rsidRPr="003B4FBE">
        <w:rPr>
          <w:sz w:val="20"/>
        </w:rPr>
        <w:t>enzymes spécifiques de conversion</w:t>
      </w:r>
      <w:r w:rsidR="003B4FBE">
        <w:rPr>
          <w:sz w:val="20"/>
        </w:rPr>
        <w:t>. L</w:t>
      </w:r>
      <w:r w:rsidR="003B4FBE" w:rsidRPr="003B4FBE">
        <w:rPr>
          <w:sz w:val="20"/>
        </w:rPr>
        <w:t>es neurones noradrénergiques occupent la substance réticulée</w:t>
      </w:r>
      <w:r w:rsidR="003B4FBE">
        <w:rPr>
          <w:sz w:val="20"/>
        </w:rPr>
        <w:t xml:space="preserve"> </w:t>
      </w:r>
      <w:r w:rsidR="003B4FBE" w:rsidRPr="003B4FBE">
        <w:rPr>
          <w:sz w:val="20"/>
        </w:rPr>
        <w:t>de la partie caudale du tronc cérébral (</w:t>
      </w:r>
      <w:proofErr w:type="spellStart"/>
      <w:r w:rsidR="003B4FBE">
        <w:rPr>
          <w:sz w:val="20"/>
        </w:rPr>
        <w:t>i.e</w:t>
      </w:r>
      <w:proofErr w:type="spellEnd"/>
      <w:r w:rsidR="003B4FBE">
        <w:rPr>
          <w:sz w:val="20"/>
        </w:rPr>
        <w:t xml:space="preserve"> dans le métencéphale, </w:t>
      </w:r>
      <w:r w:rsidR="00011882">
        <w:rPr>
          <w:sz w:val="20"/>
        </w:rPr>
        <w:t>contrairement aux</w:t>
      </w:r>
      <w:r w:rsidR="003B4FBE">
        <w:rPr>
          <w:sz w:val="20"/>
        </w:rPr>
        <w:t xml:space="preserve"> neurones dopaminergiques</w:t>
      </w:r>
      <w:r w:rsidR="00011882">
        <w:rPr>
          <w:sz w:val="20"/>
        </w:rPr>
        <w:t xml:space="preserve"> situés entre le mésencéphale et diencéphale</w:t>
      </w:r>
      <w:r w:rsidR="003B4FBE" w:rsidRPr="003B4FBE">
        <w:rPr>
          <w:sz w:val="20"/>
        </w:rPr>
        <w:t>)</w:t>
      </w:r>
      <w:r w:rsidR="00011882">
        <w:rPr>
          <w:sz w:val="20"/>
        </w:rPr>
        <w:t>.</w:t>
      </w:r>
    </w:p>
    <w:p w:rsidR="003B4FBE" w:rsidRPr="003B4FBE" w:rsidRDefault="003B4FBE" w:rsidP="003B4FBE">
      <w:pPr>
        <w:rPr>
          <w:sz w:val="20"/>
        </w:rPr>
      </w:pPr>
      <w:r w:rsidRPr="003B4FBE">
        <w:rPr>
          <w:sz w:val="20"/>
        </w:rPr>
        <w:t xml:space="preserve">Le locus </w:t>
      </w:r>
      <w:proofErr w:type="spellStart"/>
      <w:r w:rsidRPr="00011882">
        <w:rPr>
          <w:sz w:val="20"/>
          <w:highlight w:val="yellow"/>
        </w:rPr>
        <w:t>coeruleus</w:t>
      </w:r>
      <w:proofErr w:type="spellEnd"/>
      <w:r w:rsidR="00397C70">
        <w:rPr>
          <w:sz w:val="20"/>
        </w:rPr>
        <w:t xml:space="preserve"> est </w:t>
      </w:r>
      <w:r w:rsidR="00011882" w:rsidRPr="003B4FBE">
        <w:rPr>
          <w:sz w:val="20"/>
        </w:rPr>
        <w:t xml:space="preserve">le </w:t>
      </w:r>
      <w:r w:rsidR="00397C70">
        <w:rPr>
          <w:sz w:val="20"/>
        </w:rPr>
        <w:t xml:space="preserve">noyau </w:t>
      </w:r>
      <w:r w:rsidR="00011882" w:rsidRPr="003B4FBE">
        <w:rPr>
          <w:sz w:val="20"/>
        </w:rPr>
        <w:t xml:space="preserve">principal </w:t>
      </w:r>
      <w:r w:rsidRPr="003B4FBE">
        <w:rPr>
          <w:sz w:val="20"/>
        </w:rPr>
        <w:t>de ce système</w:t>
      </w:r>
      <w:r w:rsidR="00011882">
        <w:rPr>
          <w:sz w:val="20"/>
        </w:rPr>
        <w:t xml:space="preserve">, localisé dans le </w:t>
      </w:r>
      <w:proofErr w:type="spellStart"/>
      <w:r w:rsidR="00011882">
        <w:rPr>
          <w:sz w:val="20"/>
        </w:rPr>
        <w:t>tegmentum</w:t>
      </w:r>
      <w:proofErr w:type="spellEnd"/>
      <w:r w:rsidR="00011882">
        <w:rPr>
          <w:sz w:val="20"/>
        </w:rPr>
        <w:t xml:space="preserve"> pontique. I</w:t>
      </w:r>
      <w:r w:rsidRPr="003B4FBE">
        <w:rPr>
          <w:sz w:val="20"/>
        </w:rPr>
        <w:t>l projette dans TOUTES les divisions du cerveau, avec</w:t>
      </w:r>
      <w:r w:rsidR="00011882">
        <w:rPr>
          <w:sz w:val="20"/>
        </w:rPr>
        <w:t xml:space="preserve"> </w:t>
      </w:r>
      <w:r w:rsidRPr="003B4FBE">
        <w:rPr>
          <w:sz w:val="20"/>
        </w:rPr>
        <w:t>un nombre total de neurones très petits (&lt; de 100’000 pour le cerveau humain!</w:t>
      </w:r>
      <w:r w:rsidR="00011882">
        <w:rPr>
          <w:sz w:val="20"/>
        </w:rPr>
        <w:t xml:space="preserve"> La rétine en contraste envoie environ un million de neurones vers le thalamus</w:t>
      </w:r>
      <w:r w:rsidRPr="003B4FBE">
        <w:rPr>
          <w:sz w:val="20"/>
        </w:rPr>
        <w:t>).</w:t>
      </w:r>
      <w:r w:rsidR="00011882">
        <w:rPr>
          <w:sz w:val="20"/>
        </w:rPr>
        <w:t xml:space="preserve"> </w:t>
      </w:r>
      <w:r w:rsidRPr="003B4FBE">
        <w:rPr>
          <w:sz w:val="20"/>
        </w:rPr>
        <w:t xml:space="preserve">Les projections noradrénergiques sont souvent associées </w:t>
      </w:r>
      <w:r w:rsidR="00011882">
        <w:rPr>
          <w:sz w:val="20"/>
        </w:rPr>
        <w:t>à</w:t>
      </w:r>
      <w:r w:rsidRPr="003B4FBE">
        <w:rPr>
          <w:sz w:val="20"/>
        </w:rPr>
        <w:t xml:space="preserve"> </w:t>
      </w:r>
      <w:r w:rsidR="00011882">
        <w:rPr>
          <w:sz w:val="20"/>
        </w:rPr>
        <w:t xml:space="preserve">la vigilance : elles augmentent l’activité nerveuse en réponse à un input sensoriel par leur </w:t>
      </w:r>
      <w:r w:rsidRPr="003B4FBE">
        <w:rPr>
          <w:sz w:val="20"/>
        </w:rPr>
        <w:t>effet de « filtre amplificateur » pour un input sensoriel donné.</w:t>
      </w:r>
    </w:p>
    <w:p w:rsidR="00487C0E" w:rsidRPr="000C5A3C" w:rsidRDefault="00487C0E" w:rsidP="00432AB3">
      <w:pPr>
        <w:rPr>
          <w:sz w:val="20"/>
        </w:rPr>
      </w:pPr>
      <w:r w:rsidRPr="000C5A3C">
        <w:rPr>
          <w:b/>
          <w:sz w:val="20"/>
        </w:rPr>
        <w:t xml:space="preserve">Système </w:t>
      </w:r>
      <w:proofErr w:type="spellStart"/>
      <w:r w:rsidRPr="000C5A3C">
        <w:rPr>
          <w:b/>
          <w:sz w:val="20"/>
        </w:rPr>
        <w:t>sérotoninergique</w:t>
      </w:r>
      <w:proofErr w:type="spellEnd"/>
      <w:r w:rsidRPr="000C5A3C">
        <w:rPr>
          <w:sz w:val="20"/>
        </w:rPr>
        <w:t> :</w:t>
      </w:r>
      <w:r w:rsidR="00432AB3">
        <w:rPr>
          <w:sz w:val="20"/>
        </w:rPr>
        <w:t xml:space="preserve"> l</w:t>
      </w:r>
      <w:r w:rsidR="00432AB3" w:rsidRPr="00432AB3">
        <w:rPr>
          <w:sz w:val="20"/>
        </w:rPr>
        <w:t xml:space="preserve">e système </w:t>
      </w:r>
      <w:proofErr w:type="spellStart"/>
      <w:r w:rsidR="00432AB3" w:rsidRPr="00432AB3">
        <w:rPr>
          <w:sz w:val="20"/>
        </w:rPr>
        <w:t>sérotoninergique</w:t>
      </w:r>
      <w:proofErr w:type="spellEnd"/>
      <w:r w:rsidR="00432AB3" w:rsidRPr="00432AB3">
        <w:rPr>
          <w:sz w:val="20"/>
        </w:rPr>
        <w:t xml:space="preserve"> est distribué dans un ensemble de noyaux dans tout le tronc cérébral, la plupart le long de la ligne médiane, d’où le nom noyaux du raphé</w:t>
      </w:r>
      <w:r w:rsidR="00432AB3">
        <w:rPr>
          <w:sz w:val="20"/>
        </w:rPr>
        <w:t xml:space="preserve"> (rappel : raphé = ligne réunissant les fibres constituant le tissu de 2 structures anatomiques </w:t>
      </w:r>
      <w:proofErr w:type="spellStart"/>
      <w:r w:rsidR="00432AB3">
        <w:rPr>
          <w:sz w:val="20"/>
        </w:rPr>
        <w:t>symmétriques</w:t>
      </w:r>
      <w:proofErr w:type="spellEnd"/>
      <w:r w:rsidR="00432AB3">
        <w:rPr>
          <w:sz w:val="20"/>
        </w:rPr>
        <w:t>)</w:t>
      </w:r>
      <w:r w:rsidR="00432AB3" w:rsidRPr="00432AB3">
        <w:rPr>
          <w:sz w:val="20"/>
        </w:rPr>
        <w:t>. Il y a un groupe antérieur (</w:t>
      </w:r>
      <w:r w:rsidR="00432AB3">
        <w:rPr>
          <w:sz w:val="20"/>
        </w:rPr>
        <w:t>noyaux du</w:t>
      </w:r>
      <w:r w:rsidR="00432AB3" w:rsidRPr="00432AB3">
        <w:rPr>
          <w:sz w:val="20"/>
        </w:rPr>
        <w:t xml:space="preserve"> raphé dorsal et médian) avec une projection essentiellement dans la moitié antérieure du cerveau, alors que le groupe postérieur de neurones </w:t>
      </w:r>
      <w:proofErr w:type="spellStart"/>
      <w:r w:rsidR="00432AB3" w:rsidRPr="00432AB3">
        <w:rPr>
          <w:sz w:val="20"/>
        </w:rPr>
        <w:t>sérotoninergiques</w:t>
      </w:r>
      <w:proofErr w:type="spellEnd"/>
      <w:r w:rsidR="00432AB3" w:rsidRPr="00432AB3">
        <w:rPr>
          <w:sz w:val="20"/>
        </w:rPr>
        <w:t xml:space="preserve"> projette dans le tronc cérébral et la moelle épinière.</w:t>
      </w:r>
      <w:r w:rsidR="00432AB3">
        <w:rPr>
          <w:sz w:val="20"/>
        </w:rPr>
        <w:t xml:space="preserve"> </w:t>
      </w:r>
      <w:r w:rsidR="00432AB3" w:rsidRPr="00432AB3">
        <w:rPr>
          <w:sz w:val="20"/>
        </w:rPr>
        <w:t>Parmi les neurones du groupe postérieur, remarquer la distribution parallèle de projection</w:t>
      </w:r>
      <w:r w:rsidR="00432AB3">
        <w:rPr>
          <w:sz w:val="20"/>
        </w:rPr>
        <w:t>s</w:t>
      </w:r>
      <w:r w:rsidR="00432AB3" w:rsidRPr="00432AB3">
        <w:rPr>
          <w:sz w:val="20"/>
        </w:rPr>
        <w:t xml:space="preserve"> vers la moelle épinière. Chaque noyau projette sur une région distincte de la moelle épinière et donc module une fonction différente (post</w:t>
      </w:r>
      <w:r w:rsidR="00432AB3">
        <w:rPr>
          <w:sz w:val="20"/>
        </w:rPr>
        <w:t xml:space="preserve"> = </w:t>
      </w:r>
      <w:proofErr w:type="spellStart"/>
      <w:r w:rsidR="00432AB3" w:rsidRPr="00432AB3">
        <w:rPr>
          <w:sz w:val="20"/>
        </w:rPr>
        <w:t>somatosensoriel</w:t>
      </w:r>
      <w:proofErr w:type="spellEnd"/>
      <w:r w:rsidR="00432AB3" w:rsidRPr="00432AB3">
        <w:rPr>
          <w:sz w:val="20"/>
        </w:rPr>
        <w:t xml:space="preserve">, </w:t>
      </w:r>
      <w:proofErr w:type="spellStart"/>
      <w:r w:rsidR="00432AB3" w:rsidRPr="00432AB3">
        <w:rPr>
          <w:sz w:val="20"/>
        </w:rPr>
        <w:t>ant</w:t>
      </w:r>
      <w:proofErr w:type="spellEnd"/>
      <w:r w:rsidR="00432AB3">
        <w:rPr>
          <w:sz w:val="20"/>
        </w:rPr>
        <w:t xml:space="preserve"> = </w:t>
      </w:r>
      <w:r w:rsidR="00432AB3" w:rsidRPr="00432AB3">
        <w:rPr>
          <w:sz w:val="20"/>
        </w:rPr>
        <w:t xml:space="preserve">moteur, intermédiaire </w:t>
      </w:r>
      <w:r w:rsidR="00432AB3">
        <w:rPr>
          <w:sz w:val="20"/>
        </w:rPr>
        <w:t>= SNA</w:t>
      </w:r>
      <w:r w:rsidR="00432AB3" w:rsidRPr="00432AB3">
        <w:rPr>
          <w:sz w:val="20"/>
        </w:rPr>
        <w:t>).</w:t>
      </w:r>
    </w:p>
    <w:p w:rsidR="00432AB3" w:rsidRDefault="00487C0E" w:rsidP="00432AB3">
      <w:pPr>
        <w:rPr>
          <w:sz w:val="20"/>
        </w:rPr>
      </w:pPr>
      <w:r w:rsidRPr="009A3EAD">
        <w:rPr>
          <w:b/>
          <w:sz w:val="20"/>
        </w:rPr>
        <w:t>Système cholinergique</w:t>
      </w:r>
      <w:r w:rsidRPr="009A3EAD">
        <w:rPr>
          <w:sz w:val="20"/>
        </w:rPr>
        <w:t> </w:t>
      </w:r>
      <w:r w:rsidRPr="000C5A3C">
        <w:t>:</w:t>
      </w:r>
      <w:r w:rsidR="00432AB3">
        <w:t xml:space="preserve"> </w:t>
      </w:r>
      <w:r w:rsidR="00432AB3" w:rsidRPr="00432AB3">
        <w:rPr>
          <w:sz w:val="20"/>
        </w:rPr>
        <w:t>il existe deux grandes famil</w:t>
      </w:r>
      <w:r w:rsidR="00432AB3">
        <w:rPr>
          <w:sz w:val="20"/>
        </w:rPr>
        <w:t>les de neurones cholinergiques</w:t>
      </w:r>
    </w:p>
    <w:p w:rsidR="00432AB3" w:rsidRPr="00432AB3" w:rsidRDefault="00432AB3" w:rsidP="00432AB3">
      <w:pPr>
        <w:rPr>
          <w:sz w:val="20"/>
        </w:rPr>
      </w:pPr>
      <w:r>
        <w:rPr>
          <w:sz w:val="20"/>
        </w:rPr>
        <w:t>1. C</w:t>
      </w:r>
      <w:r w:rsidRPr="00432AB3">
        <w:rPr>
          <w:sz w:val="20"/>
        </w:rPr>
        <w:t>eux qui sont à l’origine de l’innervation des muscles striés (motoneurones) et les neurones pré</w:t>
      </w:r>
      <w:r w:rsidR="00FE4881">
        <w:rPr>
          <w:sz w:val="20"/>
        </w:rPr>
        <w:t>-</w:t>
      </w:r>
      <w:r w:rsidRPr="00432AB3">
        <w:rPr>
          <w:sz w:val="20"/>
        </w:rPr>
        <w:t>ganglionnaires des systèmes</w:t>
      </w:r>
      <w:r>
        <w:rPr>
          <w:sz w:val="20"/>
        </w:rPr>
        <w:t xml:space="preserve"> </w:t>
      </w:r>
      <w:r w:rsidRPr="00432AB3">
        <w:rPr>
          <w:sz w:val="20"/>
        </w:rPr>
        <w:t>nerveux végétatifs sympathiques et parasympathiques. Ces</w:t>
      </w:r>
      <w:r w:rsidR="009A3EAD">
        <w:rPr>
          <w:sz w:val="20"/>
        </w:rPr>
        <w:t xml:space="preserve"> neurones se caractérisent par </w:t>
      </w:r>
      <w:r w:rsidRPr="00432AB3">
        <w:rPr>
          <w:sz w:val="20"/>
        </w:rPr>
        <w:t>un trait</w:t>
      </w:r>
      <w:r>
        <w:rPr>
          <w:sz w:val="20"/>
        </w:rPr>
        <w:t xml:space="preserve"> </w:t>
      </w:r>
      <w:r w:rsidRPr="00432AB3">
        <w:rPr>
          <w:sz w:val="20"/>
        </w:rPr>
        <w:t xml:space="preserve">commun: </w:t>
      </w:r>
      <w:r w:rsidR="009A3EAD">
        <w:rPr>
          <w:sz w:val="20"/>
        </w:rPr>
        <w:t xml:space="preserve">leur axone </w:t>
      </w:r>
      <w:r w:rsidRPr="00432AB3">
        <w:rPr>
          <w:sz w:val="20"/>
        </w:rPr>
        <w:t>quitte le SNC pour se prolonger dans le SNP et SNA (c’est-à</w:t>
      </w:r>
      <w:r>
        <w:rPr>
          <w:sz w:val="20"/>
        </w:rPr>
        <w:t>-</w:t>
      </w:r>
      <w:r w:rsidRPr="00432AB3">
        <w:rPr>
          <w:sz w:val="20"/>
        </w:rPr>
        <w:t>dire</w:t>
      </w:r>
      <w:r>
        <w:rPr>
          <w:sz w:val="20"/>
        </w:rPr>
        <w:t xml:space="preserve"> </w:t>
      </w:r>
      <w:r w:rsidRPr="00432AB3">
        <w:rPr>
          <w:sz w:val="20"/>
        </w:rPr>
        <w:t>hors du cerveau).</w:t>
      </w:r>
    </w:p>
    <w:p w:rsidR="00432AB3" w:rsidRDefault="00432AB3" w:rsidP="009022B8">
      <w:pPr>
        <w:spacing w:after="0"/>
        <w:rPr>
          <w:sz w:val="20"/>
        </w:rPr>
      </w:pPr>
      <w:r>
        <w:rPr>
          <w:sz w:val="20"/>
        </w:rPr>
        <w:t>2. Il</w:t>
      </w:r>
      <w:r w:rsidRPr="00432AB3">
        <w:rPr>
          <w:sz w:val="20"/>
        </w:rPr>
        <w:t xml:space="preserve"> existe une seconde famille de neurones cholinergiques, dont l’axone ne quitte jamais</w:t>
      </w:r>
      <w:r>
        <w:rPr>
          <w:sz w:val="20"/>
        </w:rPr>
        <w:t xml:space="preserve"> </w:t>
      </w:r>
      <w:r w:rsidRPr="00432AB3">
        <w:rPr>
          <w:sz w:val="20"/>
        </w:rPr>
        <w:t>le système nerveux central, ce sont les « neurones cholinergiques centraux »</w:t>
      </w:r>
      <w:r>
        <w:rPr>
          <w:sz w:val="20"/>
        </w:rPr>
        <w:t xml:space="preserve">. </w:t>
      </w:r>
      <w:r w:rsidRPr="00432AB3">
        <w:rPr>
          <w:sz w:val="20"/>
        </w:rPr>
        <w:t>Il</w:t>
      </w:r>
      <w:r>
        <w:rPr>
          <w:sz w:val="20"/>
        </w:rPr>
        <w:t>s sont groupés en deux régions:</w:t>
      </w:r>
    </w:p>
    <w:p w:rsidR="009022B8" w:rsidRDefault="00F71BF2" w:rsidP="00432AB3">
      <w:pPr>
        <w:pStyle w:val="ListParagraph"/>
        <w:numPr>
          <w:ilvl w:val="0"/>
          <w:numId w:val="4"/>
        </w:numPr>
        <w:rPr>
          <w:sz w:val="20"/>
        </w:rPr>
      </w:pPr>
      <w:r>
        <w:rPr>
          <w:sz w:val="20"/>
        </w:rPr>
        <w:t>Premier groupe</w:t>
      </w:r>
      <w:r w:rsidR="009022B8">
        <w:rPr>
          <w:sz w:val="20"/>
        </w:rPr>
        <w:t> :</w:t>
      </w:r>
    </w:p>
    <w:p w:rsidR="009022B8" w:rsidRDefault="00432AB3" w:rsidP="009022B8">
      <w:pPr>
        <w:pStyle w:val="ListParagraph"/>
        <w:numPr>
          <w:ilvl w:val="0"/>
          <w:numId w:val="5"/>
        </w:numPr>
        <w:rPr>
          <w:sz w:val="20"/>
        </w:rPr>
      </w:pPr>
      <w:r>
        <w:rPr>
          <w:sz w:val="20"/>
        </w:rPr>
        <w:t xml:space="preserve">septum médial et </w:t>
      </w:r>
      <w:r w:rsidRPr="00432AB3">
        <w:rPr>
          <w:sz w:val="20"/>
        </w:rPr>
        <w:t>bande diagonale</w:t>
      </w:r>
      <w:r w:rsidR="009022B8">
        <w:rPr>
          <w:sz w:val="20"/>
        </w:rPr>
        <w:t> :</w:t>
      </w:r>
      <w:r w:rsidRPr="00432AB3">
        <w:rPr>
          <w:sz w:val="20"/>
        </w:rPr>
        <w:t xml:space="preserve"> </w:t>
      </w:r>
      <w:r w:rsidR="009022B8">
        <w:rPr>
          <w:sz w:val="20"/>
        </w:rPr>
        <w:t>projettent sur l’hippocampe</w:t>
      </w:r>
      <w:r w:rsidR="009A3EAD">
        <w:rPr>
          <w:sz w:val="20"/>
        </w:rPr>
        <w:t xml:space="preserve"> (raison pour laquelle on prescrit des </w:t>
      </w:r>
      <w:proofErr w:type="spellStart"/>
      <w:r w:rsidR="009A3EAD">
        <w:rPr>
          <w:sz w:val="20"/>
        </w:rPr>
        <w:t>IAChE</w:t>
      </w:r>
      <w:proofErr w:type="spellEnd"/>
      <w:r w:rsidR="009A3EAD">
        <w:rPr>
          <w:sz w:val="20"/>
        </w:rPr>
        <w:t>/agonistes cholinergiques pour les personnes qui perdent la mémoire)</w:t>
      </w:r>
    </w:p>
    <w:p w:rsidR="00FE4881" w:rsidRDefault="00432AB3" w:rsidP="00F71BF2">
      <w:pPr>
        <w:pStyle w:val="ListParagraph"/>
        <w:numPr>
          <w:ilvl w:val="0"/>
          <w:numId w:val="5"/>
        </w:numPr>
        <w:spacing w:after="0"/>
        <w:rPr>
          <w:sz w:val="20"/>
        </w:rPr>
      </w:pPr>
      <w:r w:rsidRPr="00FE4881">
        <w:rPr>
          <w:sz w:val="20"/>
        </w:rPr>
        <w:t xml:space="preserve">noyau de </w:t>
      </w:r>
      <w:proofErr w:type="spellStart"/>
      <w:r w:rsidRPr="00FE4881">
        <w:rPr>
          <w:sz w:val="20"/>
        </w:rPr>
        <w:t>Meynert</w:t>
      </w:r>
      <w:proofErr w:type="spellEnd"/>
      <w:r w:rsidR="009022B8" w:rsidRPr="00FE4881">
        <w:rPr>
          <w:sz w:val="20"/>
        </w:rPr>
        <w:t> :</w:t>
      </w:r>
      <w:r w:rsidRPr="00FE4881">
        <w:rPr>
          <w:sz w:val="20"/>
        </w:rPr>
        <w:t xml:space="preserve"> </w:t>
      </w:r>
      <w:r w:rsidR="009022B8" w:rsidRPr="00FE4881">
        <w:rPr>
          <w:sz w:val="20"/>
        </w:rPr>
        <w:t xml:space="preserve">projette sur le cortex cérébral </w:t>
      </w:r>
    </w:p>
    <w:p w:rsidR="00F71BF2" w:rsidRDefault="00432AB3" w:rsidP="00F71BF2">
      <w:pPr>
        <w:spacing w:after="0"/>
        <w:rPr>
          <w:sz w:val="20"/>
        </w:rPr>
      </w:pPr>
      <w:r w:rsidRPr="00FE4881">
        <w:rPr>
          <w:sz w:val="20"/>
        </w:rPr>
        <w:t>Ces deux projections ont des populations mixtes de neurones</w:t>
      </w:r>
      <w:r w:rsidR="009022B8" w:rsidRPr="00FE4881">
        <w:rPr>
          <w:sz w:val="20"/>
        </w:rPr>
        <w:t xml:space="preserve"> cholinergiques et gaba-</w:t>
      </w:r>
      <w:proofErr w:type="spellStart"/>
      <w:r w:rsidR="009022B8" w:rsidRPr="00FE4881">
        <w:rPr>
          <w:sz w:val="20"/>
        </w:rPr>
        <w:t>ergiques</w:t>
      </w:r>
      <w:proofErr w:type="spellEnd"/>
      <w:r w:rsidRPr="00FE4881">
        <w:rPr>
          <w:sz w:val="20"/>
        </w:rPr>
        <w:t xml:space="preserve">. L’activité de ces projections </w:t>
      </w:r>
      <w:r w:rsidR="009022B8" w:rsidRPr="00FE4881">
        <w:rPr>
          <w:sz w:val="20"/>
        </w:rPr>
        <w:t>est</w:t>
      </w:r>
      <w:r w:rsidRPr="00FE4881">
        <w:rPr>
          <w:sz w:val="20"/>
        </w:rPr>
        <w:t xml:space="preserve"> impliqué</w:t>
      </w:r>
      <w:r w:rsidR="009022B8" w:rsidRPr="00FE4881">
        <w:rPr>
          <w:sz w:val="20"/>
        </w:rPr>
        <w:t>e</w:t>
      </w:r>
      <w:r w:rsidRPr="00FE4881">
        <w:rPr>
          <w:sz w:val="20"/>
        </w:rPr>
        <w:t xml:space="preserve"> dans la </w:t>
      </w:r>
      <w:r w:rsidR="009022B8" w:rsidRPr="00FE4881">
        <w:rPr>
          <w:sz w:val="20"/>
        </w:rPr>
        <w:t>synchronisation/</w:t>
      </w:r>
      <w:r w:rsidRPr="00FE4881">
        <w:rPr>
          <w:sz w:val="20"/>
        </w:rPr>
        <w:t>désynchronisation du cortex cérébral</w:t>
      </w:r>
      <w:r w:rsidR="00FE4881" w:rsidRPr="00FE4881">
        <w:rPr>
          <w:sz w:val="20"/>
        </w:rPr>
        <w:t xml:space="preserve"> régulant l’état de vigilance et les phases de veille/sommeil.</w:t>
      </w:r>
    </w:p>
    <w:p w:rsidR="00F71BF2" w:rsidRPr="00F71BF2" w:rsidRDefault="00F71BF2" w:rsidP="00F71BF2">
      <w:pPr>
        <w:spacing w:after="0"/>
        <w:rPr>
          <w:sz w:val="20"/>
        </w:rPr>
      </w:pPr>
    </w:p>
    <w:p w:rsidR="00F71BF2" w:rsidRDefault="00F71BF2">
      <w:pPr>
        <w:rPr>
          <w:sz w:val="20"/>
        </w:rPr>
      </w:pPr>
      <w:r>
        <w:rPr>
          <w:sz w:val="20"/>
        </w:rPr>
        <w:br w:type="page"/>
      </w:r>
    </w:p>
    <w:p w:rsidR="00487C0E" w:rsidRDefault="00F71BF2" w:rsidP="00432AB3">
      <w:pPr>
        <w:pStyle w:val="ListParagraph"/>
        <w:numPr>
          <w:ilvl w:val="0"/>
          <w:numId w:val="4"/>
        </w:numPr>
        <w:rPr>
          <w:sz w:val="20"/>
        </w:rPr>
      </w:pPr>
      <w:r w:rsidRPr="00F71BF2">
        <w:rPr>
          <w:sz w:val="20"/>
        </w:rPr>
        <w:lastRenderedPageBreak/>
        <w:t>Deuxième</w:t>
      </w:r>
      <w:r w:rsidR="00432AB3" w:rsidRPr="00F71BF2">
        <w:rPr>
          <w:sz w:val="20"/>
        </w:rPr>
        <w:t xml:space="preserve"> groupe</w:t>
      </w:r>
      <w:r w:rsidRPr="00F71BF2">
        <w:rPr>
          <w:sz w:val="20"/>
        </w:rPr>
        <w:t> :</w:t>
      </w:r>
      <w:r w:rsidR="00432AB3" w:rsidRPr="00F71BF2">
        <w:rPr>
          <w:sz w:val="20"/>
        </w:rPr>
        <w:t xml:space="preserve"> se trouve dans le </w:t>
      </w:r>
      <w:proofErr w:type="spellStart"/>
      <w:r w:rsidR="00432AB3" w:rsidRPr="00F71BF2">
        <w:rPr>
          <w:sz w:val="20"/>
        </w:rPr>
        <w:t>tegmentum</w:t>
      </w:r>
      <w:proofErr w:type="spellEnd"/>
      <w:r w:rsidR="00432AB3" w:rsidRPr="00F71BF2">
        <w:rPr>
          <w:sz w:val="20"/>
        </w:rPr>
        <w:t xml:space="preserve"> pontique et a une projection importante vers le thalamus. Ces neurones sont très actifs pendant la phase de sommeil paradoxal (REM-</w:t>
      </w:r>
      <w:proofErr w:type="spellStart"/>
      <w:r w:rsidR="00432AB3" w:rsidRPr="00F71BF2">
        <w:rPr>
          <w:sz w:val="20"/>
        </w:rPr>
        <w:t>sleep</w:t>
      </w:r>
      <w:proofErr w:type="spellEnd"/>
      <w:r w:rsidR="00432AB3" w:rsidRPr="00F71BF2">
        <w:rPr>
          <w:sz w:val="20"/>
        </w:rPr>
        <w:t>).</w:t>
      </w:r>
      <w:r w:rsidRPr="00F71BF2">
        <w:rPr>
          <w:sz w:val="20"/>
        </w:rPr>
        <w:t xml:space="preserve"> </w:t>
      </w:r>
      <w:r w:rsidR="00432AB3" w:rsidRPr="00F71BF2">
        <w:rPr>
          <w:sz w:val="20"/>
        </w:rPr>
        <w:t xml:space="preserve">Ces </w:t>
      </w:r>
      <w:r>
        <w:rPr>
          <w:sz w:val="20"/>
        </w:rPr>
        <w:t>n</w:t>
      </w:r>
      <w:r w:rsidR="00432AB3" w:rsidRPr="00F71BF2">
        <w:rPr>
          <w:sz w:val="20"/>
        </w:rPr>
        <w:t xml:space="preserve">eurones sont inhibés pendant la veille par les neurones </w:t>
      </w:r>
      <w:proofErr w:type="spellStart"/>
      <w:r w:rsidR="00432AB3" w:rsidRPr="00F71BF2">
        <w:rPr>
          <w:sz w:val="20"/>
        </w:rPr>
        <w:t>catécholaminergiques</w:t>
      </w:r>
      <w:proofErr w:type="spellEnd"/>
      <w:r w:rsidR="00432AB3" w:rsidRPr="00F71BF2">
        <w:rPr>
          <w:sz w:val="20"/>
        </w:rPr>
        <w:t xml:space="preserve"> et</w:t>
      </w:r>
      <w:r>
        <w:rPr>
          <w:sz w:val="20"/>
        </w:rPr>
        <w:t xml:space="preserve"> </w:t>
      </w:r>
      <w:proofErr w:type="spellStart"/>
      <w:r w:rsidR="00432AB3" w:rsidRPr="00F71BF2">
        <w:rPr>
          <w:sz w:val="20"/>
        </w:rPr>
        <w:t>sérotoninergiques</w:t>
      </w:r>
      <w:proofErr w:type="spellEnd"/>
      <w:r w:rsidR="00432AB3" w:rsidRPr="00F71BF2">
        <w:rPr>
          <w:sz w:val="20"/>
        </w:rPr>
        <w:t xml:space="preserve"> qui eux sont très actifs pendant les phases de veille</w:t>
      </w:r>
      <w:r>
        <w:rPr>
          <w:sz w:val="20"/>
        </w:rPr>
        <w:t xml:space="preserve"> (amines biogènes)</w:t>
      </w:r>
      <w:r w:rsidR="00432AB3" w:rsidRPr="00F71BF2">
        <w:rPr>
          <w:sz w:val="20"/>
        </w:rPr>
        <w:t>.</w:t>
      </w:r>
    </w:p>
    <w:p w:rsidR="003F79CC" w:rsidRDefault="00F71BF2" w:rsidP="003F79CC">
      <w:pPr>
        <w:spacing w:after="0"/>
        <w:rPr>
          <w:sz w:val="20"/>
        </w:rPr>
      </w:pPr>
      <w:r w:rsidRPr="00F71BF2">
        <w:rPr>
          <w:b/>
          <w:sz w:val="20"/>
          <w:u w:val="single"/>
        </w:rPr>
        <w:t>Fluctuations physiologiques circadiennes</w:t>
      </w:r>
      <w:r w:rsidR="00446D58">
        <w:rPr>
          <w:b/>
          <w:sz w:val="20"/>
          <w:u w:val="single"/>
        </w:rPr>
        <w:t xml:space="preserve"> – changements associés à un trouble affectif</w:t>
      </w:r>
      <w:r>
        <w:rPr>
          <w:sz w:val="20"/>
        </w:rPr>
        <w:t> :</w:t>
      </w:r>
      <w:r w:rsidR="00446D58">
        <w:rPr>
          <w:sz w:val="20"/>
        </w:rPr>
        <w:t xml:space="preserve"> </w:t>
      </w:r>
    </w:p>
    <w:p w:rsidR="003F79CC" w:rsidRDefault="003F79CC" w:rsidP="003F79CC">
      <w:pPr>
        <w:spacing w:after="0"/>
        <w:rPr>
          <w:sz w:val="20"/>
        </w:rPr>
      </w:pPr>
    </w:p>
    <w:p w:rsidR="00F71BF2" w:rsidRDefault="003F79CC" w:rsidP="003F79CC">
      <w:pPr>
        <w:spacing w:after="0"/>
        <w:rPr>
          <w:sz w:val="20"/>
        </w:rPr>
      </w:pPr>
      <w:r w:rsidRPr="003F79CC">
        <w:rPr>
          <w:b/>
          <w:sz w:val="20"/>
        </w:rPr>
        <w:t xml:space="preserve">Le </w:t>
      </w:r>
      <w:r w:rsidR="00446D58" w:rsidRPr="003F79CC">
        <w:rPr>
          <w:b/>
          <w:sz w:val="20"/>
        </w:rPr>
        <w:t>cycle veille-sommeil</w:t>
      </w:r>
      <w:r>
        <w:rPr>
          <w:sz w:val="20"/>
        </w:rPr>
        <w:t> :</w:t>
      </w:r>
      <w:r w:rsidR="00446D58">
        <w:rPr>
          <w:sz w:val="20"/>
        </w:rPr>
        <w:t xml:space="preserve"> dépend de l’horloge circadienne</w:t>
      </w:r>
      <w:r>
        <w:rPr>
          <w:sz w:val="20"/>
        </w:rPr>
        <w:t xml:space="preserve"> qui peut être perturbée à différents niveaux :</w:t>
      </w:r>
    </w:p>
    <w:p w:rsidR="003F79CC" w:rsidRDefault="003F79CC" w:rsidP="003F79CC">
      <w:pPr>
        <w:pStyle w:val="ListParagraph"/>
        <w:numPr>
          <w:ilvl w:val="0"/>
          <w:numId w:val="4"/>
        </w:numPr>
        <w:spacing w:after="0"/>
        <w:rPr>
          <w:sz w:val="20"/>
        </w:rPr>
      </w:pPr>
      <w:proofErr w:type="spellStart"/>
      <w:r>
        <w:rPr>
          <w:sz w:val="20"/>
        </w:rPr>
        <w:t>Épigénétique</w:t>
      </w:r>
      <w:proofErr w:type="spellEnd"/>
      <w:r>
        <w:rPr>
          <w:sz w:val="20"/>
        </w:rPr>
        <w:t> : jet-</w:t>
      </w:r>
      <w:proofErr w:type="spellStart"/>
      <w:r>
        <w:rPr>
          <w:sz w:val="20"/>
        </w:rPr>
        <w:t>lag</w:t>
      </w:r>
      <w:proofErr w:type="spellEnd"/>
      <w:r>
        <w:rPr>
          <w:sz w:val="20"/>
        </w:rPr>
        <w:t>, travail de nuit/irrégulier</w:t>
      </w:r>
    </w:p>
    <w:p w:rsidR="003F79CC" w:rsidRDefault="003F79CC" w:rsidP="003F79CC">
      <w:pPr>
        <w:pStyle w:val="ListParagraph"/>
        <w:numPr>
          <w:ilvl w:val="0"/>
          <w:numId w:val="4"/>
        </w:numPr>
        <w:rPr>
          <w:sz w:val="20"/>
        </w:rPr>
      </w:pPr>
      <w:r>
        <w:rPr>
          <w:sz w:val="20"/>
        </w:rPr>
        <w:t>Génétique : atteintes des gènes assurant l’alternance des phases, des neurotransmetteurs du sommeil…</w:t>
      </w:r>
    </w:p>
    <w:p w:rsidR="003F79CC" w:rsidRDefault="003F79CC" w:rsidP="003F79CC">
      <w:pPr>
        <w:rPr>
          <w:sz w:val="20"/>
        </w:rPr>
      </w:pPr>
      <w:r>
        <w:rPr>
          <w:sz w:val="20"/>
        </w:rPr>
        <w:t>Il y a souvent une forte association entre les troubles du sommeil et la dépression ; on essaie d’agir sur les troubles du sommeil pour renforcer les traitements contre la dépression. Les troubles du sommeil peuvent aussi être associés à des problèmes hormonaux et développementaux, notamment chez les jeunes.</w:t>
      </w:r>
    </w:p>
    <w:p w:rsidR="003F79CC" w:rsidRDefault="003F79CC" w:rsidP="00F877C9">
      <w:pPr>
        <w:spacing w:after="0"/>
        <w:rPr>
          <w:sz w:val="20"/>
        </w:rPr>
      </w:pPr>
      <w:r w:rsidRPr="003F79CC">
        <w:rPr>
          <w:b/>
          <w:sz w:val="20"/>
        </w:rPr>
        <w:t>Effets de la dépression sur le cycle circadien</w:t>
      </w:r>
      <w:r>
        <w:rPr>
          <w:sz w:val="20"/>
        </w:rPr>
        <w:t> : outre les troubles de sommeil, on verra</w:t>
      </w:r>
    </w:p>
    <w:p w:rsidR="003F79CC" w:rsidRDefault="003F79CC" w:rsidP="00F877C9">
      <w:pPr>
        <w:pStyle w:val="ListParagraph"/>
        <w:numPr>
          <w:ilvl w:val="0"/>
          <w:numId w:val="4"/>
        </w:numPr>
        <w:spacing w:after="0"/>
        <w:rPr>
          <w:sz w:val="20"/>
        </w:rPr>
      </w:pPr>
      <w:r>
        <w:rPr>
          <w:sz w:val="20"/>
        </w:rPr>
        <w:t xml:space="preserve">Des taux de cortisol plus élevés </w:t>
      </w:r>
      <w:r w:rsidR="00F877C9">
        <w:rPr>
          <w:sz w:val="20"/>
        </w:rPr>
        <w:t>de jour comme de nuit</w:t>
      </w:r>
    </w:p>
    <w:p w:rsidR="00F877C9" w:rsidRDefault="00F877C9" w:rsidP="00F877C9">
      <w:pPr>
        <w:pStyle w:val="ListParagraph"/>
        <w:numPr>
          <w:ilvl w:val="0"/>
          <w:numId w:val="4"/>
        </w:numPr>
        <w:rPr>
          <w:sz w:val="20"/>
        </w:rPr>
      </w:pPr>
      <w:r>
        <w:rPr>
          <w:sz w:val="20"/>
        </w:rPr>
        <w:t>Des taux de mélatonine plus bas pendant la nuit</w:t>
      </w:r>
    </w:p>
    <w:p w:rsidR="00F877C9" w:rsidRPr="00F877C9" w:rsidRDefault="00F877C9" w:rsidP="00F877C9">
      <w:pPr>
        <w:pStyle w:val="ListParagraph"/>
        <w:numPr>
          <w:ilvl w:val="0"/>
          <w:numId w:val="4"/>
        </w:numPr>
        <w:rPr>
          <w:sz w:val="20"/>
        </w:rPr>
      </w:pPr>
      <w:r>
        <w:rPr>
          <w:sz w:val="20"/>
        </w:rPr>
        <w:t>Une température corporelle plus basse en journée et plus haute pendant la nuit (que le sujet sain)</w:t>
      </w:r>
    </w:p>
    <w:sectPr w:rsidR="00F877C9" w:rsidRPr="00F877C9" w:rsidSect="00541FC0">
      <w:footerReference w:type="default" r:id="rId9"/>
      <w:pgSz w:w="11906" w:h="16838"/>
      <w:pgMar w:top="993" w:right="1417" w:bottom="993" w:left="1417" w:header="708" w:footer="397"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00DF4" w:rsidRDefault="00100DF4" w:rsidP="000C5A3C">
      <w:pPr>
        <w:spacing w:after="0" w:line="240" w:lineRule="auto"/>
      </w:pPr>
      <w:r>
        <w:separator/>
      </w:r>
    </w:p>
  </w:endnote>
  <w:endnote w:type="continuationSeparator" w:id="0">
    <w:p w:rsidR="00100DF4" w:rsidRDefault="00100DF4" w:rsidP="000C5A3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sz w:val="18"/>
      </w:rPr>
      <w:id w:val="2455487"/>
      <w:docPartObj>
        <w:docPartGallery w:val="Page Numbers (Bottom of Page)"/>
        <w:docPartUnique/>
      </w:docPartObj>
    </w:sdtPr>
    <w:sdtContent>
      <w:p w:rsidR="00446D58" w:rsidRPr="000C5A3C" w:rsidRDefault="009150D2">
        <w:pPr>
          <w:pStyle w:val="Footer"/>
          <w:jc w:val="right"/>
          <w:rPr>
            <w:sz w:val="18"/>
          </w:rPr>
        </w:pPr>
        <w:r w:rsidRPr="000C5A3C">
          <w:rPr>
            <w:sz w:val="18"/>
          </w:rPr>
          <w:fldChar w:fldCharType="begin"/>
        </w:r>
        <w:r w:rsidR="00446D58" w:rsidRPr="000C5A3C">
          <w:rPr>
            <w:sz w:val="18"/>
          </w:rPr>
          <w:instrText xml:space="preserve"> PAGE   \* MERGEFORMAT </w:instrText>
        </w:r>
        <w:r w:rsidRPr="000C5A3C">
          <w:rPr>
            <w:sz w:val="18"/>
          </w:rPr>
          <w:fldChar w:fldCharType="separate"/>
        </w:r>
        <w:r w:rsidR="009A3EAD">
          <w:rPr>
            <w:noProof/>
            <w:sz w:val="18"/>
          </w:rPr>
          <w:t>3</w:t>
        </w:r>
        <w:r w:rsidRPr="000C5A3C">
          <w:rPr>
            <w:sz w:val="18"/>
          </w:rPr>
          <w:fldChar w:fldCharType="end"/>
        </w:r>
      </w:p>
    </w:sdtContent>
  </w:sdt>
  <w:p w:rsidR="00446D58" w:rsidRPr="000C5A3C" w:rsidRDefault="00446D58">
    <w:pPr>
      <w:pStyle w:val="Footer"/>
      <w:rPr>
        <w:sz w:val="18"/>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00DF4" w:rsidRDefault="00100DF4" w:rsidP="000C5A3C">
      <w:pPr>
        <w:spacing w:after="0" w:line="240" w:lineRule="auto"/>
      </w:pPr>
      <w:r>
        <w:separator/>
      </w:r>
    </w:p>
  </w:footnote>
  <w:footnote w:type="continuationSeparator" w:id="0">
    <w:p w:rsidR="00100DF4" w:rsidRDefault="00100DF4" w:rsidP="000C5A3C">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B100E30"/>
    <w:multiLevelType w:val="hybridMultilevel"/>
    <w:tmpl w:val="106C54E2"/>
    <w:lvl w:ilvl="0" w:tplc="7804CB0C">
      <w:numFmt w:val="bullet"/>
      <w:lvlText w:val="-"/>
      <w:lvlJc w:val="left"/>
      <w:pPr>
        <w:ind w:left="720" w:hanging="360"/>
      </w:pPr>
      <w:rPr>
        <w:rFonts w:ascii="Calibri" w:eastAsiaTheme="minorHAnsi" w:hAnsi="Calibri" w:cstheme="minorBid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
    <w:nsid w:val="146D5C74"/>
    <w:multiLevelType w:val="hybridMultilevel"/>
    <w:tmpl w:val="11041476"/>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2">
    <w:nsid w:val="311C2BE5"/>
    <w:multiLevelType w:val="hybridMultilevel"/>
    <w:tmpl w:val="58064CB8"/>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3">
    <w:nsid w:val="406D67F6"/>
    <w:multiLevelType w:val="hybridMultilevel"/>
    <w:tmpl w:val="4FCA6CE0"/>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4">
    <w:nsid w:val="4CF34B93"/>
    <w:multiLevelType w:val="hybridMultilevel"/>
    <w:tmpl w:val="F19A5764"/>
    <w:lvl w:ilvl="0" w:tplc="7804CB0C">
      <w:numFmt w:val="bullet"/>
      <w:lvlText w:val="-"/>
      <w:lvlJc w:val="left"/>
      <w:pPr>
        <w:ind w:left="720" w:hanging="360"/>
      </w:pPr>
      <w:rPr>
        <w:rFonts w:ascii="Calibri" w:eastAsiaTheme="minorHAnsi" w:hAnsi="Calibri" w:cstheme="minorBid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5">
    <w:nsid w:val="7FFB0682"/>
    <w:multiLevelType w:val="hybridMultilevel"/>
    <w:tmpl w:val="A7560EBE"/>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num w:numId="1">
    <w:abstractNumId w:val="0"/>
  </w:num>
  <w:num w:numId="2">
    <w:abstractNumId w:val="5"/>
  </w:num>
  <w:num w:numId="3">
    <w:abstractNumId w:val="1"/>
  </w:num>
  <w:num w:numId="4">
    <w:abstractNumId w:val="4"/>
  </w:num>
  <w:num w:numId="5">
    <w:abstractNumId w:val="3"/>
  </w:num>
  <w:num w:numId="6">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rsids>
    <w:rsidRoot w:val="00487C0E"/>
    <w:rsid w:val="00011882"/>
    <w:rsid w:val="00027878"/>
    <w:rsid w:val="000C5A3C"/>
    <w:rsid w:val="000F1673"/>
    <w:rsid w:val="00100DF4"/>
    <w:rsid w:val="001F22D8"/>
    <w:rsid w:val="002903B4"/>
    <w:rsid w:val="00306B91"/>
    <w:rsid w:val="00397C70"/>
    <w:rsid w:val="003B4FBE"/>
    <w:rsid w:val="003F79CC"/>
    <w:rsid w:val="00432AB3"/>
    <w:rsid w:val="00446D58"/>
    <w:rsid w:val="00487C0E"/>
    <w:rsid w:val="004939AD"/>
    <w:rsid w:val="00541FC0"/>
    <w:rsid w:val="00617CD3"/>
    <w:rsid w:val="009022B8"/>
    <w:rsid w:val="009150D2"/>
    <w:rsid w:val="009A3EAD"/>
    <w:rsid w:val="00A14B1C"/>
    <w:rsid w:val="00A8039C"/>
    <w:rsid w:val="00BE43D5"/>
    <w:rsid w:val="00CA0AAF"/>
    <w:rsid w:val="00EB0538"/>
    <w:rsid w:val="00F71BF2"/>
    <w:rsid w:val="00F877C9"/>
    <w:rsid w:val="00FE4881"/>
  </w:rsids>
  <m:mathPr>
    <m:mathFont m:val="Cambria Math"/>
    <m:brkBin m:val="before"/>
    <m:brkBinSub m:val="--"/>
    <m:smallFrac m:val="off"/>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3074">
      <o:colormenu v:ext="edit" fillcolor="none" strokecolor="non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CH"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A0AAF"/>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87C0E"/>
    <w:pPr>
      <w:ind w:left="720"/>
      <w:contextualSpacing/>
    </w:pPr>
  </w:style>
  <w:style w:type="paragraph" w:styleId="Header">
    <w:name w:val="header"/>
    <w:basedOn w:val="Normal"/>
    <w:link w:val="HeaderChar"/>
    <w:uiPriority w:val="99"/>
    <w:semiHidden/>
    <w:unhideWhenUsed/>
    <w:rsid w:val="000C5A3C"/>
    <w:pPr>
      <w:tabs>
        <w:tab w:val="center" w:pos="4536"/>
        <w:tab w:val="right" w:pos="9072"/>
      </w:tabs>
      <w:spacing w:after="0" w:line="240" w:lineRule="auto"/>
    </w:pPr>
  </w:style>
  <w:style w:type="character" w:customStyle="1" w:styleId="HeaderChar">
    <w:name w:val="Header Char"/>
    <w:basedOn w:val="DefaultParagraphFont"/>
    <w:link w:val="Header"/>
    <w:uiPriority w:val="99"/>
    <w:semiHidden/>
    <w:rsid w:val="000C5A3C"/>
  </w:style>
  <w:style w:type="paragraph" w:styleId="Footer">
    <w:name w:val="footer"/>
    <w:basedOn w:val="Normal"/>
    <w:link w:val="FooterChar"/>
    <w:uiPriority w:val="99"/>
    <w:unhideWhenUsed/>
    <w:rsid w:val="000C5A3C"/>
    <w:pPr>
      <w:tabs>
        <w:tab w:val="center" w:pos="4536"/>
        <w:tab w:val="right" w:pos="9072"/>
      </w:tabs>
      <w:spacing w:after="0" w:line="240" w:lineRule="auto"/>
    </w:pPr>
  </w:style>
  <w:style w:type="character" w:customStyle="1" w:styleId="FooterChar">
    <w:name w:val="Footer Char"/>
    <w:basedOn w:val="DefaultParagraphFont"/>
    <w:link w:val="Footer"/>
    <w:uiPriority w:val="99"/>
    <w:rsid w:val="000C5A3C"/>
  </w:style>
  <w:style w:type="paragraph" w:styleId="BalloonText">
    <w:name w:val="Balloon Text"/>
    <w:basedOn w:val="Normal"/>
    <w:link w:val="BalloonTextChar"/>
    <w:uiPriority w:val="99"/>
    <w:semiHidden/>
    <w:unhideWhenUsed/>
    <w:rsid w:val="00617CD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17CD3"/>
    <w:rPr>
      <w:rFonts w:ascii="Tahoma" w:hAnsi="Tahoma" w:cs="Tahoma"/>
      <w:sz w:val="16"/>
      <w:szCs w:val="16"/>
    </w:rPr>
  </w:style>
  <w:style w:type="character" w:customStyle="1" w:styleId="apple-converted-space">
    <w:name w:val="apple-converted-space"/>
    <w:basedOn w:val="DefaultParagraphFont"/>
    <w:rsid w:val="00BE43D5"/>
  </w:style>
  <w:style w:type="character" w:styleId="Hyperlink">
    <w:name w:val="Hyperlink"/>
    <w:basedOn w:val="DefaultParagraphFont"/>
    <w:uiPriority w:val="99"/>
    <w:semiHidden/>
    <w:unhideWhenUsed/>
    <w:rsid w:val="00BE43D5"/>
    <w:rPr>
      <w:color w:val="0000FF"/>
      <w:u w:val="single"/>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1776</Words>
  <Characters>9772</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11525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Ashley</dc:creator>
  <cp:keywords/>
  <dc:description/>
  <cp:lastModifiedBy>Ashley</cp:lastModifiedBy>
  <cp:revision>11</cp:revision>
  <dcterms:created xsi:type="dcterms:W3CDTF">2014-02-26T09:38:00Z</dcterms:created>
  <dcterms:modified xsi:type="dcterms:W3CDTF">2014-09-11T11:18:00Z</dcterms:modified>
</cp:coreProperties>
</file>