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44DF9" w14:textId="77777777" w:rsidR="003E7673" w:rsidRPr="003E7673" w:rsidRDefault="003E7673" w:rsidP="003E7673">
      <w:pPr>
        <w:rPr>
          <w:b/>
          <w:bCs/>
        </w:rPr>
      </w:pPr>
      <w:r w:rsidRPr="003E7673">
        <w:rPr>
          <w:b/>
          <w:bCs/>
        </w:rPr>
        <w:t>1.4 Strengthen Collaboration with National Agencies</w:t>
      </w:r>
    </w:p>
    <w:p w14:paraId="75E03B58" w14:textId="77777777" w:rsidR="003E7673" w:rsidRPr="003E7673" w:rsidRDefault="003E7673" w:rsidP="003E7673">
      <w:pPr>
        <w:rPr>
          <w:b/>
          <w:bCs/>
        </w:rPr>
      </w:pPr>
      <w:r w:rsidRPr="003E7673">
        <w:rPr>
          <w:b/>
          <w:bCs/>
        </w:rPr>
        <w:t>To ensure the successful implementation of the Bangsamoro Broadband Plan (BBP), fostering strong partnerships with relevant national agencies is vital. These collaborations will enhance policy alignment, resource sharing, and coordinated efforts toward achieving shared goals in broadband development.</w:t>
      </w:r>
    </w:p>
    <w:p w14:paraId="3651A2C5" w14:textId="77777777" w:rsidR="003E7673" w:rsidRPr="003E7673" w:rsidRDefault="003E7673" w:rsidP="003E7673">
      <w:pPr>
        <w:rPr>
          <w:b/>
          <w:bCs/>
        </w:rPr>
      </w:pPr>
      <w:r w:rsidRPr="003E7673">
        <w:rPr>
          <w:b/>
          <w:bCs/>
        </w:rPr>
        <w:t>1.4.1 Establish a Dedicated Coordination Mechanism</w:t>
      </w:r>
    </w:p>
    <w:p w14:paraId="74DE2685" w14:textId="77777777" w:rsidR="003E7673" w:rsidRPr="003E7673" w:rsidRDefault="003E7673" w:rsidP="003E7673">
      <w:pPr>
        <w:numPr>
          <w:ilvl w:val="0"/>
          <w:numId w:val="10"/>
        </w:numPr>
        <w:rPr>
          <w:b/>
          <w:bCs/>
        </w:rPr>
      </w:pPr>
      <w:r w:rsidRPr="003E7673">
        <w:rPr>
          <w:b/>
          <w:bCs/>
        </w:rPr>
        <w:t>Form a Bangsamoro-National Broadband Coordination Committee (BNBCC) that includes representatives from BARMM ministries and national agencies such as the DICT, NTC, and others.</w:t>
      </w:r>
    </w:p>
    <w:p w14:paraId="0978BD0C" w14:textId="77777777" w:rsidR="003E7673" w:rsidRPr="003E7673" w:rsidRDefault="003E7673" w:rsidP="003E7673">
      <w:pPr>
        <w:numPr>
          <w:ilvl w:val="0"/>
          <w:numId w:val="10"/>
        </w:numPr>
        <w:rPr>
          <w:b/>
          <w:bCs/>
        </w:rPr>
      </w:pPr>
      <w:r w:rsidRPr="003E7673">
        <w:rPr>
          <w:b/>
          <w:bCs/>
        </w:rPr>
        <w:t>Set regular meetings to discuss progress, align strategies, and resolve issues.</w:t>
      </w:r>
    </w:p>
    <w:p w14:paraId="77F92B3B" w14:textId="77777777" w:rsidR="003E7673" w:rsidRPr="003E7673" w:rsidRDefault="003E7673" w:rsidP="003E7673">
      <w:pPr>
        <w:numPr>
          <w:ilvl w:val="0"/>
          <w:numId w:val="10"/>
        </w:numPr>
        <w:rPr>
          <w:b/>
          <w:bCs/>
        </w:rPr>
      </w:pPr>
      <w:r w:rsidRPr="003E7673">
        <w:rPr>
          <w:b/>
          <w:bCs/>
        </w:rPr>
        <w:t>Develop a unified roadmap for broadband development, emphasizing complementary roles and responsibilities.</w:t>
      </w:r>
    </w:p>
    <w:p w14:paraId="2CFC6747" w14:textId="77777777" w:rsidR="003E7673" w:rsidRPr="003E7673" w:rsidRDefault="003E7673" w:rsidP="003E7673">
      <w:pPr>
        <w:rPr>
          <w:b/>
          <w:bCs/>
        </w:rPr>
      </w:pPr>
      <w:r w:rsidRPr="003E7673">
        <w:rPr>
          <w:b/>
          <w:bCs/>
        </w:rPr>
        <w:t>1.4.2 Facilitate Knowledge and Resource Sharing</w:t>
      </w:r>
    </w:p>
    <w:p w14:paraId="6A12D78C" w14:textId="77777777" w:rsidR="003E7673" w:rsidRPr="003E7673" w:rsidRDefault="003E7673" w:rsidP="003E7673">
      <w:pPr>
        <w:numPr>
          <w:ilvl w:val="0"/>
          <w:numId w:val="11"/>
        </w:numPr>
        <w:rPr>
          <w:b/>
          <w:bCs/>
        </w:rPr>
      </w:pPr>
      <w:r w:rsidRPr="003E7673">
        <w:rPr>
          <w:b/>
          <w:bCs/>
        </w:rPr>
        <w:t>Leverage expertise and resources from national agencies to strengthen BARMM’s technical and regulatory capacities.</w:t>
      </w:r>
    </w:p>
    <w:p w14:paraId="6FE3FE02" w14:textId="77777777" w:rsidR="003E7673" w:rsidRPr="003E7673" w:rsidRDefault="003E7673" w:rsidP="003E7673">
      <w:pPr>
        <w:numPr>
          <w:ilvl w:val="0"/>
          <w:numId w:val="11"/>
        </w:numPr>
        <w:rPr>
          <w:b/>
          <w:bCs/>
        </w:rPr>
      </w:pPr>
      <w:r w:rsidRPr="003E7673">
        <w:rPr>
          <w:b/>
          <w:bCs/>
        </w:rPr>
        <w:t>Conduct joint workshops, training programs, and capacity-building initiatives focused on broadband planning, implementation, and monitoring.</w:t>
      </w:r>
    </w:p>
    <w:p w14:paraId="18947F00" w14:textId="77777777" w:rsidR="003E7673" w:rsidRPr="003E7673" w:rsidRDefault="003E7673" w:rsidP="003E7673">
      <w:pPr>
        <w:numPr>
          <w:ilvl w:val="0"/>
          <w:numId w:val="11"/>
        </w:numPr>
        <w:rPr>
          <w:b/>
          <w:bCs/>
        </w:rPr>
      </w:pPr>
      <w:r w:rsidRPr="003E7673">
        <w:rPr>
          <w:b/>
          <w:bCs/>
        </w:rPr>
        <w:t>Secure access to national databases and tools to better assess connectivity gaps and infrastructure needs in BARMM.</w:t>
      </w:r>
    </w:p>
    <w:p w14:paraId="13D8E89D" w14:textId="77777777" w:rsidR="003E7673" w:rsidRPr="003E7673" w:rsidRDefault="003E7673" w:rsidP="003E7673">
      <w:pPr>
        <w:rPr>
          <w:b/>
          <w:bCs/>
        </w:rPr>
      </w:pPr>
      <w:r w:rsidRPr="003E7673">
        <w:rPr>
          <w:b/>
          <w:bCs/>
        </w:rPr>
        <w:t>1.4.3 Advocate for Inclusive Policy Support</w:t>
      </w:r>
    </w:p>
    <w:p w14:paraId="036078B3" w14:textId="77777777" w:rsidR="003E7673" w:rsidRPr="003E7673" w:rsidRDefault="003E7673" w:rsidP="003E7673">
      <w:pPr>
        <w:numPr>
          <w:ilvl w:val="0"/>
          <w:numId w:val="12"/>
        </w:numPr>
        <w:rPr>
          <w:b/>
          <w:bCs/>
        </w:rPr>
      </w:pPr>
      <w:r w:rsidRPr="003E7673">
        <w:rPr>
          <w:b/>
          <w:bCs/>
        </w:rPr>
        <w:t>Collaborate with national agencies to ensure BARMM-specific challenges are considered in national broadband policies and funding allocations.</w:t>
      </w:r>
    </w:p>
    <w:p w14:paraId="27031E35" w14:textId="77777777" w:rsidR="003E7673" w:rsidRPr="003E7673" w:rsidRDefault="003E7673" w:rsidP="003E7673">
      <w:pPr>
        <w:numPr>
          <w:ilvl w:val="0"/>
          <w:numId w:val="12"/>
        </w:numPr>
        <w:rPr>
          <w:b/>
          <w:bCs/>
        </w:rPr>
      </w:pPr>
      <w:r w:rsidRPr="003E7673">
        <w:rPr>
          <w:b/>
          <w:bCs/>
        </w:rPr>
        <w:t>Advocate for increased budgetary support and integration of BARMM projects into national ICT and broadband development initiatives.</w:t>
      </w:r>
    </w:p>
    <w:p w14:paraId="3DAA8D0E" w14:textId="77777777" w:rsidR="003E7673" w:rsidRPr="003E7673" w:rsidRDefault="003E7673" w:rsidP="003E7673">
      <w:pPr>
        <w:numPr>
          <w:ilvl w:val="0"/>
          <w:numId w:val="12"/>
        </w:numPr>
        <w:rPr>
          <w:b/>
          <w:bCs/>
        </w:rPr>
      </w:pPr>
      <w:r w:rsidRPr="003E7673">
        <w:rPr>
          <w:b/>
          <w:bCs/>
        </w:rPr>
        <w:t>Participate in national policy consultations to represent the unique needs and priorities of BARMM.</w:t>
      </w:r>
    </w:p>
    <w:p w14:paraId="52F21598" w14:textId="77777777" w:rsidR="003E7673" w:rsidRPr="003E7673" w:rsidRDefault="003E7673" w:rsidP="003E7673">
      <w:pPr>
        <w:rPr>
          <w:b/>
          <w:bCs/>
        </w:rPr>
      </w:pPr>
      <w:r w:rsidRPr="003E7673">
        <w:rPr>
          <w:b/>
          <w:bCs/>
        </w:rPr>
        <w:t>1.4.4 Jointly Implement Flagship Broadband Projects</w:t>
      </w:r>
    </w:p>
    <w:p w14:paraId="2C335B4F" w14:textId="77777777" w:rsidR="003E7673" w:rsidRPr="003E7673" w:rsidRDefault="003E7673" w:rsidP="003E7673">
      <w:pPr>
        <w:numPr>
          <w:ilvl w:val="0"/>
          <w:numId w:val="13"/>
        </w:numPr>
        <w:rPr>
          <w:b/>
          <w:bCs/>
        </w:rPr>
      </w:pPr>
      <w:r w:rsidRPr="003E7673">
        <w:rPr>
          <w:b/>
          <w:bCs/>
        </w:rPr>
        <w:t>Partner with national agencies in the implementation of large-scale projects, such as the expansion of the National Fiber Backbone or the Free Wi-Fi for All program, within BARMM.</w:t>
      </w:r>
    </w:p>
    <w:p w14:paraId="4942BF8A" w14:textId="77777777" w:rsidR="003E7673" w:rsidRPr="003E7673" w:rsidRDefault="003E7673" w:rsidP="003E7673">
      <w:pPr>
        <w:numPr>
          <w:ilvl w:val="0"/>
          <w:numId w:val="13"/>
        </w:numPr>
        <w:rPr>
          <w:b/>
          <w:bCs/>
        </w:rPr>
      </w:pPr>
      <w:r w:rsidRPr="003E7673">
        <w:rPr>
          <w:b/>
          <w:bCs/>
        </w:rPr>
        <w:t>Identify pilot areas in BARMM for innovative broadband solutions in partnership with national programs.</w:t>
      </w:r>
    </w:p>
    <w:p w14:paraId="20BAE2CF" w14:textId="77777777" w:rsidR="003E7673" w:rsidRPr="003E7673" w:rsidRDefault="003E7673" w:rsidP="003E7673">
      <w:pPr>
        <w:numPr>
          <w:ilvl w:val="0"/>
          <w:numId w:val="13"/>
        </w:numPr>
        <w:rPr>
          <w:b/>
          <w:bCs/>
        </w:rPr>
      </w:pPr>
      <w:r w:rsidRPr="003E7673">
        <w:rPr>
          <w:b/>
          <w:bCs/>
        </w:rPr>
        <w:t>Establish clear roles, shared accountability, and a monitoring framework for these joint initiatives.</w:t>
      </w:r>
    </w:p>
    <w:p w14:paraId="3C9BD23A" w14:textId="77777777" w:rsidR="003E7673" w:rsidRPr="003E7673" w:rsidRDefault="003E7673" w:rsidP="003E7673">
      <w:pPr>
        <w:rPr>
          <w:b/>
          <w:bCs/>
        </w:rPr>
      </w:pPr>
      <w:r w:rsidRPr="003E7673">
        <w:rPr>
          <w:b/>
          <w:bCs/>
        </w:rPr>
        <w:t>1.4.5 Strengthen Advocacy and Communication Channels</w:t>
      </w:r>
    </w:p>
    <w:p w14:paraId="40DCC94C" w14:textId="77777777" w:rsidR="003E7673" w:rsidRPr="003E7673" w:rsidRDefault="003E7673" w:rsidP="003E7673">
      <w:pPr>
        <w:numPr>
          <w:ilvl w:val="0"/>
          <w:numId w:val="14"/>
        </w:numPr>
        <w:rPr>
          <w:b/>
          <w:bCs/>
        </w:rPr>
      </w:pPr>
      <w:r w:rsidRPr="003E7673">
        <w:rPr>
          <w:b/>
          <w:bCs/>
        </w:rPr>
        <w:lastRenderedPageBreak/>
        <w:t>Create formal communication channels between BARMM ministries and national agencies to ensure transparency and efficiency.</w:t>
      </w:r>
    </w:p>
    <w:p w14:paraId="7123345C" w14:textId="77777777" w:rsidR="003E7673" w:rsidRPr="003E7673" w:rsidRDefault="003E7673" w:rsidP="003E7673">
      <w:pPr>
        <w:numPr>
          <w:ilvl w:val="0"/>
          <w:numId w:val="14"/>
        </w:numPr>
        <w:rPr>
          <w:b/>
          <w:bCs/>
        </w:rPr>
      </w:pPr>
      <w:r w:rsidRPr="003E7673">
        <w:rPr>
          <w:b/>
          <w:bCs/>
        </w:rPr>
        <w:t>Develop advocacy campaigns highlighting the socio-economic benefits of investing in BARMM’s broadband expansion.</w:t>
      </w:r>
    </w:p>
    <w:p w14:paraId="6E9C9FC3" w14:textId="77777777" w:rsidR="003E7673" w:rsidRPr="003E7673" w:rsidRDefault="003E7673" w:rsidP="003E7673">
      <w:pPr>
        <w:numPr>
          <w:ilvl w:val="0"/>
          <w:numId w:val="14"/>
        </w:numPr>
        <w:rPr>
          <w:b/>
          <w:bCs/>
        </w:rPr>
      </w:pPr>
      <w:r w:rsidRPr="003E7673">
        <w:rPr>
          <w:b/>
          <w:bCs/>
        </w:rPr>
        <w:t>Use these platforms to build national awareness of BARMM's unique needs and opportunities in broadband development.</w:t>
      </w:r>
    </w:p>
    <w:p w14:paraId="5AFED891" w14:textId="77777777" w:rsidR="00856C11" w:rsidRPr="003E7673" w:rsidRDefault="00856C11" w:rsidP="003E7673"/>
    <w:sectPr w:rsidR="00856C11" w:rsidRPr="003E7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D2A"/>
    <w:multiLevelType w:val="multilevel"/>
    <w:tmpl w:val="67A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22E91"/>
    <w:multiLevelType w:val="multilevel"/>
    <w:tmpl w:val="5FCE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B0B28"/>
    <w:multiLevelType w:val="multilevel"/>
    <w:tmpl w:val="843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54ABB"/>
    <w:multiLevelType w:val="multilevel"/>
    <w:tmpl w:val="670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767B9"/>
    <w:multiLevelType w:val="multilevel"/>
    <w:tmpl w:val="C61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6087"/>
    <w:multiLevelType w:val="multilevel"/>
    <w:tmpl w:val="BDBC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843FF"/>
    <w:multiLevelType w:val="multilevel"/>
    <w:tmpl w:val="AB1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3D"/>
    <w:multiLevelType w:val="multilevel"/>
    <w:tmpl w:val="9D9A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978A7"/>
    <w:multiLevelType w:val="multilevel"/>
    <w:tmpl w:val="CCCE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8C1E8B"/>
    <w:multiLevelType w:val="multilevel"/>
    <w:tmpl w:val="057C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61F09"/>
    <w:multiLevelType w:val="multilevel"/>
    <w:tmpl w:val="A72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439F1"/>
    <w:multiLevelType w:val="multilevel"/>
    <w:tmpl w:val="29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F7213"/>
    <w:multiLevelType w:val="multilevel"/>
    <w:tmpl w:val="1D54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A0E91"/>
    <w:multiLevelType w:val="multilevel"/>
    <w:tmpl w:val="2C30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142708">
    <w:abstractNumId w:val="3"/>
  </w:num>
  <w:num w:numId="2" w16cid:durableId="901409977">
    <w:abstractNumId w:val="6"/>
  </w:num>
  <w:num w:numId="3" w16cid:durableId="1030106448">
    <w:abstractNumId w:val="11"/>
  </w:num>
  <w:num w:numId="4" w16cid:durableId="278535290">
    <w:abstractNumId w:val="1"/>
  </w:num>
  <w:num w:numId="5" w16cid:durableId="1172574269">
    <w:abstractNumId w:val="5"/>
  </w:num>
  <w:num w:numId="6" w16cid:durableId="1402753984">
    <w:abstractNumId w:val="2"/>
  </w:num>
  <w:num w:numId="7" w16cid:durableId="44138276">
    <w:abstractNumId w:val="7"/>
  </w:num>
  <w:num w:numId="8" w16cid:durableId="629019997">
    <w:abstractNumId w:val="10"/>
  </w:num>
  <w:num w:numId="9" w16cid:durableId="468787919">
    <w:abstractNumId w:val="8"/>
  </w:num>
  <w:num w:numId="10" w16cid:durableId="374739237">
    <w:abstractNumId w:val="4"/>
  </w:num>
  <w:num w:numId="11" w16cid:durableId="1246065196">
    <w:abstractNumId w:val="13"/>
  </w:num>
  <w:num w:numId="12" w16cid:durableId="857474304">
    <w:abstractNumId w:val="9"/>
  </w:num>
  <w:num w:numId="13" w16cid:durableId="73867831">
    <w:abstractNumId w:val="0"/>
  </w:num>
  <w:num w:numId="14" w16cid:durableId="3693007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73"/>
    <w:rsid w:val="000152DF"/>
    <w:rsid w:val="003E7673"/>
    <w:rsid w:val="00856C11"/>
    <w:rsid w:val="00B41953"/>
    <w:rsid w:val="00D25E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DDED"/>
  <w15:chartTrackingRefBased/>
  <w15:docId w15:val="{BA07F9FF-0F43-4D6B-A436-06356956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021">
      <w:bodyDiv w:val="1"/>
      <w:marLeft w:val="0"/>
      <w:marRight w:val="0"/>
      <w:marTop w:val="0"/>
      <w:marBottom w:val="0"/>
      <w:divBdr>
        <w:top w:val="none" w:sz="0" w:space="0" w:color="auto"/>
        <w:left w:val="none" w:sz="0" w:space="0" w:color="auto"/>
        <w:bottom w:val="none" w:sz="0" w:space="0" w:color="auto"/>
        <w:right w:val="none" w:sz="0" w:space="0" w:color="auto"/>
      </w:divBdr>
    </w:div>
    <w:div w:id="608663021">
      <w:bodyDiv w:val="1"/>
      <w:marLeft w:val="0"/>
      <w:marRight w:val="0"/>
      <w:marTop w:val="0"/>
      <w:marBottom w:val="0"/>
      <w:divBdr>
        <w:top w:val="none" w:sz="0" w:space="0" w:color="auto"/>
        <w:left w:val="none" w:sz="0" w:space="0" w:color="auto"/>
        <w:bottom w:val="none" w:sz="0" w:space="0" w:color="auto"/>
        <w:right w:val="none" w:sz="0" w:space="0" w:color="auto"/>
      </w:divBdr>
    </w:div>
    <w:div w:id="1492134125">
      <w:bodyDiv w:val="1"/>
      <w:marLeft w:val="0"/>
      <w:marRight w:val="0"/>
      <w:marTop w:val="0"/>
      <w:marBottom w:val="0"/>
      <w:divBdr>
        <w:top w:val="none" w:sz="0" w:space="0" w:color="auto"/>
        <w:left w:val="none" w:sz="0" w:space="0" w:color="auto"/>
        <w:bottom w:val="none" w:sz="0" w:space="0" w:color="auto"/>
        <w:right w:val="none" w:sz="0" w:space="0" w:color="auto"/>
      </w:divBdr>
    </w:div>
    <w:div w:id="18498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zalazilasema867@gmail.com</dc:creator>
  <cp:keywords/>
  <dc:description/>
  <cp:lastModifiedBy>zalazilasema867@gmail.com</cp:lastModifiedBy>
  <cp:revision>1</cp:revision>
  <dcterms:created xsi:type="dcterms:W3CDTF">2024-12-10T06:08:00Z</dcterms:created>
  <dcterms:modified xsi:type="dcterms:W3CDTF">2024-12-10T06:14:00Z</dcterms:modified>
</cp:coreProperties>
</file>