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00"/>
      </w:pPr>
      <w:r>
        <w:rPr>
          <w:rFonts w:ascii="Arial" w:hAnsi="Arial"/>
          <w:b/>
          <w:color w:val="2F6B4F"/>
          <w:sz w:val="24"/>
        </w:rPr>
        <w:t>AUDIT REVIEW</w:t>
      </w:r>
    </w:p>
    <w:p>
      <w:pPr>
        <w:pStyle w:val="Subtitle"/>
      </w:pPr>
      <w:r>
        <w:t>Audit Report</w:t>
      </w:r>
    </w:p>
    <w:p>
      <w:pPr>
        <w:pStyle w:val="Title"/>
      </w:pPr>
      <w:r>
        <w:t>Ravenna Ready Meals Plant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4082"/>
            <w:vAlign w:val="center"/>
            <w:tcMar>
              <w:top w:w="80" w:type="dxa"/>
              <w:start w:w="105" w:type="dxa"/>
              <w:bottom w:w="80" w:type="dxa"/>
              <w:end w:w="105" w:type="dxa"/>
            </w:tcMar>
            <w:shd w:fill="26342C"/>
          </w:tcPr>
          <w:p>
            <w:pPr>
              <w:spacing w:before="0" w:after="0"/>
              <w:jc w:val="center"/>
            </w:pPr>
            <w:r/>
            <w:r>
              <w:rPr>
                <w:rFonts w:ascii="Arial" w:hAnsi="Arial"/>
                <w:b/>
                <w:color w:val="FFFFFF"/>
                <w:sz w:val="16"/>
              </w:rPr>
              <w:t>Audit period</w:t>
            </w:r>
          </w:p>
        </w:tc>
        <w:tc>
          <w:tcPr>
            <w:tcW w:type="dxa" w:w="2835"/>
            <w:vAlign w:val="center"/>
            <w:tcMar>
              <w:top w:w="80" w:type="dxa"/>
              <w:start w:w="105" w:type="dxa"/>
              <w:bottom w:w="80" w:type="dxa"/>
              <w:end w:w="105" w:type="dxa"/>
            </w:tcMar>
            <w:shd w:fill="26342C"/>
          </w:tcPr>
          <w:p>
            <w:pPr>
              <w:spacing w:before="0" w:after="0"/>
              <w:jc w:val="center"/>
            </w:pPr>
            <w:r/>
            <w:r>
              <w:rPr>
                <w:rFonts w:ascii="Arial" w:hAnsi="Arial"/>
                <w:b/>
                <w:color w:val="FFFFFF"/>
                <w:sz w:val="16"/>
              </w:rPr>
              <w:t>Fiscal year</w:t>
            </w:r>
          </w:p>
        </w:tc>
        <w:tc>
          <w:tcPr>
            <w:tcW w:type="dxa" w:w="2494"/>
            <w:vAlign w:val="center"/>
            <w:tcMar>
              <w:top w:w="80" w:type="dxa"/>
              <w:start w:w="105" w:type="dxa"/>
              <w:bottom w:w="80" w:type="dxa"/>
              <w:end w:w="105" w:type="dxa"/>
            </w:tcMar>
            <w:shd w:fill="26342C"/>
          </w:tcPr>
          <w:p>
            <w:pPr>
              <w:spacing w:before="0" w:after="0"/>
              <w:jc w:val="center"/>
            </w:pPr>
            <w:r/>
            <w:r>
              <w:rPr>
                <w:rFonts w:ascii="Arial" w:hAnsi="Arial"/>
                <w:b/>
                <w:color w:val="FFFFFF"/>
                <w:sz w:val="16"/>
              </w:rPr>
              <w:t>Report status</w:t>
            </w:r>
          </w:p>
        </w:tc>
      </w:tr>
      <w:tr>
        <w:tc>
          <w:tcPr>
            <w:tcW w:type="dxa" w:w="4082"/>
            <w:vAlign w:val="center"/>
            <w:tcMar>
              <w:top w:w="80" w:type="dxa"/>
              <w:start w:w="105" w:type="dxa"/>
              <w:bottom w:w="80" w:type="dxa"/>
              <w:end w:w="105" w:type="dxa"/>
            </w:tcMar>
          </w:tcPr>
          <w:p>
            <w:pPr>
              <w:spacing w:before="0" w:after="0"/>
              <w:jc w:val="left"/>
            </w:pPr>
            <w:r/>
            <w:r>
              <w:rPr>
                <w:rFonts w:ascii="Arial" w:hAnsi="Arial"/>
                <w:b w:val="0"/>
                <w:color w:val="000000"/>
                <w:sz w:val="16"/>
              </w:rPr>
              <w:t>13 April 2026 - 17 April 2026</w:t>
            </w:r>
          </w:p>
        </w:tc>
        <w:tc>
          <w:tcPr>
            <w:tcW w:type="dxa" w:w="2835"/>
            <w:vAlign w:val="center"/>
            <w:tcMar>
              <w:top w:w="80" w:type="dxa"/>
              <w:start w:w="105" w:type="dxa"/>
              <w:bottom w:w="80" w:type="dxa"/>
              <w:end w:w="105" w:type="dxa"/>
            </w:tcMar>
          </w:tcPr>
          <w:p>
            <w:pPr>
              <w:spacing w:before="0" w:after="0"/>
              <w:jc w:val="center"/>
            </w:pPr>
            <w:r/>
            <w:r>
              <w:rPr>
                <w:rFonts w:ascii="Arial" w:hAnsi="Arial"/>
                <w:b w:val="0"/>
                <w:color w:val="000000"/>
                <w:sz w:val="16"/>
              </w:rPr>
              <w:t>2025-2026</w:t>
            </w:r>
          </w:p>
        </w:tc>
        <w:tc>
          <w:tcPr>
            <w:tcW w:type="dxa" w:w="2494"/>
            <w:vAlign w:val="center"/>
            <w:tcMar>
              <w:top w:w="80" w:type="dxa"/>
              <w:start w:w="105" w:type="dxa"/>
              <w:bottom w:w="80" w:type="dxa"/>
              <w:end w:w="105" w:type="dxa"/>
            </w:tcMar>
          </w:tcPr>
          <w:p>
            <w:pPr>
              <w:spacing w:before="0" w:after="0"/>
              <w:jc w:val="center"/>
            </w:pPr>
            <w:r/>
            <w:r>
              <w:rPr>
                <w:rFonts w:ascii="Arial" w:hAnsi="Arial"/>
                <w:b w:val="0"/>
                <w:color w:val="000000"/>
                <w:sz w:val="16"/>
              </w:rPr>
              <w:t>Final</w:t>
            </w:r>
          </w:p>
        </w:tc>
      </w:tr>
    </w:tbl>
    <w:p>
      <w:pPr>
        <w:pStyle w:val="Heading2"/>
      </w:pPr>
      <w:r>
        <w:t>Overall audit score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6"/>
        <w:gridCol w:w="2466"/>
        <w:gridCol w:w="2466"/>
        <w:gridCol w:w="2466"/>
      </w:tblGrid>
      <w:tr>
        <w:trPr>
          <w:tblHeader w:val="true"/>
        </w:trPr>
        <w:tc>
          <w:tcPr>
            <w:tcW w:type="dxa" w:w="2268"/>
            <w:vAlign w:val="center"/>
            <w:tcMar>
              <w:top w:w="80" w:type="dxa"/>
              <w:start w:w="105" w:type="dxa"/>
              <w:bottom w:w="80" w:type="dxa"/>
              <w:end w:w="105" w:type="dxa"/>
            </w:tcMar>
            <w:shd w:fill="26342C"/>
          </w:tcPr>
          <w:p>
            <w:pPr>
              <w:spacing w:before="0" w:after="0"/>
              <w:jc w:val="center"/>
            </w:pPr>
            <w:r/>
            <w:r>
              <w:rPr>
                <w:rFonts w:ascii="Arial" w:hAnsi="Arial"/>
                <w:b/>
                <w:color w:val="FFFFFF"/>
                <w:sz w:val="16"/>
              </w:rPr>
              <w:t>Audit score</w:t>
            </w:r>
          </w:p>
        </w:tc>
        <w:tc>
          <w:tcPr>
            <w:tcW w:type="dxa" w:w="2551"/>
            <w:vAlign w:val="center"/>
            <w:tcMar>
              <w:top w:w="80" w:type="dxa"/>
              <w:start w:w="105" w:type="dxa"/>
              <w:bottom w:w="80" w:type="dxa"/>
              <w:end w:w="105" w:type="dxa"/>
            </w:tcMar>
            <w:shd w:fill="26342C"/>
          </w:tcPr>
          <w:p>
            <w:pPr>
              <w:spacing w:before="0" w:after="0"/>
              <w:jc w:val="center"/>
            </w:pPr>
            <w:r/>
            <w:r>
              <w:rPr>
                <w:rFonts w:ascii="Arial" w:hAnsi="Arial"/>
                <w:b/>
                <w:color w:val="FFFFFF"/>
                <w:sz w:val="16"/>
              </w:rPr>
              <w:t>Overall rating</w:t>
            </w:r>
          </w:p>
        </w:tc>
        <w:tc>
          <w:tcPr>
            <w:tcW w:type="dxa" w:w="226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Areas reviewed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6"/>
              </w:rPr>
              <w:t>Findings raised</w:t>
            </w:r>
          </w:p>
        </w:tc>
      </w:tr>
      <w:tr>
        <w:tc>
          <w:tcPr>
            <w:tcW w:type="dxa" w:w="2268"/>
            <w:vAlign w:val="center"/>
            <w:tcMar>
              <w:top w:w="80" w:type="dxa"/>
              <w:start w:w="105" w:type="dxa"/>
              <w:bottom w:w="80" w:type="dxa"/>
              <w:end w:w="105" w:type="dxa"/>
            </w:tcMar>
          </w:tcPr>
          <w:p>
            <w:pPr>
              <w:spacing w:before="0" w:after="0"/>
              <w:jc w:val="left"/>
            </w:pPr>
            <w:r/>
            <w:r>
              <w:rPr>
                <w:rFonts w:ascii="Arial" w:hAnsi="Arial"/>
                <w:b w:val="0"/>
                <w:color w:val="000000"/>
                <w:sz w:val="16"/>
              </w:rPr>
              <w:t>80 / 100</w:t>
            </w:r>
          </w:p>
        </w:tc>
        <w:tc>
          <w:tcPr>
            <w:tcW w:type="dxa" w:w="2551"/>
            <w:vAlign w:val="center"/>
            <w:tcMar>
              <w:top w:w="80" w:type="dxa"/>
              <w:start w:w="105" w:type="dxa"/>
              <w:bottom w:w="80" w:type="dxa"/>
              <w:end w:w="105" w:type="dxa"/>
            </w:tcMar>
          </w:tcPr>
          <w:p>
            <w:pPr>
              <w:spacing w:before="0" w:after="0"/>
              <w:jc w:val="center"/>
            </w:pPr>
            <w:r/>
            <w:r>
              <w:rPr>
                <w:rFonts w:ascii="Arial" w:hAnsi="Arial"/>
                <w:b w:val="0"/>
                <w:color w:val="000000"/>
                <w:sz w:val="16"/>
              </w:rPr>
              <w:t>Major Gaps</w:t>
            </w:r>
          </w:p>
        </w:tc>
        <w:tc>
          <w:tcPr>
            <w:tcW w:type="dxa" w:w="2268"/>
            <w:vAlign w:val="center"/>
            <w:tcMar>
              <w:top w:w="80" w:type="dxa"/>
              <w:start w:w="105" w:type="dxa"/>
              <w:bottom w:w="80" w:type="dxa"/>
              <w:end w:w="105" w:type="dxa"/>
            </w:tcMar>
          </w:tcPr>
          <w:p>
            <w:pPr>
              <w:spacing w:before="0" w:after="0"/>
              <w:jc w:val="center"/>
            </w:pPr>
            <w:r/>
            <w:r>
              <w:rPr>
                <w:rFonts w:ascii="Arial" w:hAnsi="Arial"/>
                <w:b w:val="0"/>
                <w:color w:val="000000"/>
                <w:sz w:val="16"/>
              </w:rPr>
              <w:t>24</w:t>
            </w:r>
          </w:p>
        </w:tc>
        <w:tc>
          <w:tcPr>
            <w:tcW w:type="dxa" w:w="2324"/>
            <w:vAlign w:val="center"/>
            <w:tcMar>
              <w:top w:w="80" w:type="dxa"/>
              <w:start w:w="105" w:type="dxa"/>
              <w:bottom w:w="80" w:type="dxa"/>
              <w:end w:w="105" w:type="dxa"/>
            </w:tcMar>
          </w:tcPr>
          <w:p>
            <w:pPr>
              <w:spacing w:before="0" w:after="0"/>
              <w:jc w:val="center"/>
            </w:pPr>
            <w:r/>
            <w:r>
              <w:rPr>
                <w:rFonts w:ascii="Arial" w:hAnsi="Arial"/>
                <w:b w:val="0"/>
                <w:color w:val="000000"/>
                <w:sz w:val="16"/>
              </w:rPr>
              <w:t>6</w:t>
            </w:r>
          </w:p>
        </w:tc>
      </w:tr>
    </w:tbl>
    <w:p>
      <w:pPr>
        <w:pStyle w:val="Heading2"/>
      </w:pPr>
      <w:r>
        <w:t>Audit team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2835"/>
            <w:vAlign w:val="center"/>
            <w:tcMar>
              <w:top w:w="80" w:type="dxa"/>
              <w:start w:w="105" w:type="dxa"/>
              <w:bottom w:w="80" w:type="dxa"/>
              <w:end w:w="105" w:type="dxa"/>
            </w:tcMar>
            <w:shd w:fill="26342C"/>
          </w:tcPr>
          <w:p>
            <w:pPr>
              <w:spacing w:before="0" w:after="0"/>
              <w:jc w:val="center"/>
            </w:pPr>
            <w:r/>
            <w:r>
              <w:rPr>
                <w:rFonts w:ascii="Arial" w:hAnsi="Arial"/>
                <w:b/>
                <w:color w:val="FFFFFF"/>
                <w:sz w:val="16"/>
              </w:rPr>
              <w:t>Role</w:t>
            </w:r>
          </w:p>
        </w:tc>
        <w:tc>
          <w:tcPr>
            <w:tcW w:type="dxa" w:w="6576"/>
            <w:vAlign w:val="center"/>
            <w:tcMar>
              <w:top w:w="80" w:type="dxa"/>
              <w:start w:w="105" w:type="dxa"/>
              <w:bottom w:w="80" w:type="dxa"/>
              <w:end w:w="105" w:type="dxa"/>
            </w:tcMar>
            <w:shd w:fill="26342C"/>
          </w:tcPr>
          <w:p>
            <w:pPr>
              <w:spacing w:before="0" w:after="0"/>
              <w:jc w:val="center"/>
            </w:pPr>
            <w:r/>
            <w:r>
              <w:rPr>
                <w:rFonts w:ascii="Arial" w:hAnsi="Arial"/>
                <w:b/>
                <w:color w:val="FFFFFF"/>
                <w:sz w:val="16"/>
              </w:rPr>
              <w:t>Name</w:t>
            </w:r>
          </w:p>
        </w:tc>
      </w:tr>
      <w:tr>
        <w:tc>
          <w:tcPr>
            <w:tcW w:type="dxa" w:w="2835"/>
            <w:vAlign w:val="center"/>
            <w:tcMar>
              <w:top w:w="80" w:type="dxa"/>
              <w:start w:w="105" w:type="dxa"/>
              <w:bottom w:w="80" w:type="dxa"/>
              <w:end w:w="105" w:type="dxa"/>
            </w:tcMar>
          </w:tcPr>
          <w:p>
            <w:pPr>
              <w:spacing w:before="0" w:after="0"/>
              <w:jc w:val="left"/>
            </w:pPr>
            <w:r/>
            <w:r>
              <w:rPr>
                <w:rFonts w:ascii="Arial" w:hAnsi="Arial"/>
                <w:b w:val="0"/>
                <w:color w:val="000000"/>
                <w:sz w:val="16"/>
              </w:rPr>
              <w:t>Lead Auditor</w:t>
            </w:r>
          </w:p>
        </w:tc>
        <w:tc>
          <w:tcPr>
            <w:tcW w:type="dxa" w:w="6576"/>
            <w:vAlign w:val="center"/>
            <w:tcMar>
              <w:top w:w="80" w:type="dxa"/>
              <w:start w:w="105" w:type="dxa"/>
              <w:bottom w:w="80" w:type="dxa"/>
              <w:end w:w="105" w:type="dxa"/>
            </w:tcMar>
          </w:tcPr>
          <w:p>
            <w:pPr>
              <w:spacing w:before="0" w:after="0"/>
              <w:jc w:val="center"/>
            </w:pPr>
            <w:r/>
            <w:r>
              <w:rPr>
                <w:rFonts w:ascii="Arial" w:hAnsi="Arial"/>
                <w:b w:val="0"/>
                <w:color w:val="000000"/>
                <w:sz w:val="16"/>
              </w:rPr>
              <w:t>Laura Conti</w:t>
            </w:r>
          </w:p>
        </w:tc>
      </w:tr>
      <w:tr>
        <w:tc>
          <w:tcPr>
            <w:tcW w:type="dxa" w:w="2835"/>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Auditor</w:t>
            </w:r>
          </w:p>
        </w:tc>
        <w:tc>
          <w:tcPr>
            <w:tcW w:type="dxa" w:w="6576"/>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Daniel Meyer</w:t>
            </w:r>
          </w:p>
        </w:tc>
      </w:tr>
      <w:tr>
        <w:tc>
          <w:tcPr>
            <w:tcW w:type="dxa" w:w="2835"/>
            <w:vAlign w:val="center"/>
            <w:tcMar>
              <w:top w:w="80" w:type="dxa"/>
              <w:start w:w="105" w:type="dxa"/>
              <w:bottom w:w="80" w:type="dxa"/>
              <w:end w:w="105" w:type="dxa"/>
            </w:tcMar>
          </w:tcPr>
          <w:p>
            <w:pPr>
              <w:spacing w:before="0" w:after="0"/>
              <w:jc w:val="left"/>
            </w:pPr>
            <w:r/>
            <w:r>
              <w:rPr>
                <w:rFonts w:ascii="Arial" w:hAnsi="Arial"/>
                <w:b w:val="0"/>
                <w:color w:val="000000"/>
                <w:sz w:val="16"/>
              </w:rPr>
              <w:t>Auditor</w:t>
            </w:r>
          </w:p>
        </w:tc>
        <w:tc>
          <w:tcPr>
            <w:tcW w:type="dxa" w:w="6576"/>
            <w:vAlign w:val="center"/>
            <w:tcMar>
              <w:top w:w="80" w:type="dxa"/>
              <w:start w:w="105" w:type="dxa"/>
              <w:bottom w:w="80" w:type="dxa"/>
              <w:end w:w="105" w:type="dxa"/>
            </w:tcMar>
          </w:tcPr>
          <w:p>
            <w:pPr>
              <w:spacing w:before="0" w:after="0"/>
              <w:jc w:val="center"/>
            </w:pPr>
            <w:r/>
            <w:r>
              <w:rPr>
                <w:rFonts w:ascii="Arial" w:hAnsi="Arial"/>
                <w:b w:val="0"/>
                <w:color w:val="000000"/>
                <w:sz w:val="16"/>
              </w:rPr>
              <w:t>Sofia Marin</w:t>
            </w:r>
          </w:p>
        </w:tc>
      </w:tr>
    </w:tbl>
    <w:p>
      <w:pPr>
        <w:pStyle w:val="Heading2"/>
      </w:pPr>
      <w:r>
        <w:t>Purpose of this document</w:t>
      </w:r>
    </w:p>
    <w:p>
      <w:r>
        <w:t>This report presents the audit outcome, area-level ratings, observed conditions, supporting evidence, cause assessments and agreed remediation actions for the audited entity.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6"/>
      </w:tblGrid>
      <w:tr>
        <w:trPr>
          <w:tblHeader w:val="true"/>
        </w:trPr>
        <w:tc>
          <w:tcPr>
            <w:tcW w:type="dxa" w:w="9411"/>
            <w:vAlign w:val="center"/>
            <w:tcMar>
              <w:top w:w="80" w:type="dxa"/>
              <w:start w:w="105" w:type="dxa"/>
              <w:bottom w:w="80" w:type="dxa"/>
              <w:end w:w="105" w:type="dxa"/>
            </w:tcMar>
            <w:shd w:fill="2F6B4F"/>
          </w:tcPr>
          <w:p>
            <w:pPr>
              <w:spacing w:before="0" w:after="0"/>
              <w:jc w:val="center"/>
            </w:pPr>
            <w:r/>
            <w:r>
              <w:rPr>
                <w:rFonts w:ascii="Arial" w:hAnsi="Arial"/>
                <w:b/>
                <w:color w:val="FFFFFF"/>
                <w:sz w:val="16"/>
              </w:rPr>
              <w:t>DEMONSTRATION DATA NOTICE</w:t>
            </w:r>
          </w:p>
        </w:tc>
      </w:tr>
      <w:tr>
        <w:tc>
          <w:tcPr>
            <w:tcW w:type="dxa" w:w="9411"/>
            <w:vAlign w:val="center"/>
            <w:tcMar>
              <w:top w:w="80" w:type="dxa"/>
              <w:start w:w="105" w:type="dxa"/>
              <w:bottom w:w="80" w:type="dxa"/>
              <w:end w:w="105" w:type="dxa"/>
            </w:tcMar>
          </w:tcPr>
          <w:p>
            <w:pPr>
              <w:spacing w:before="0" w:after="0"/>
              <w:jc w:val="left"/>
            </w:pPr>
            <w:r/>
            <w:r>
              <w:rPr>
                <w:rFonts w:ascii="Arial" w:hAnsi="Arial"/>
                <w:b w:val="0"/>
                <w:color w:val="000000"/>
                <w:sz w:val="16"/>
              </w:rPr>
              <w:t>All organizations, sites, people, evidence and events in this document are fictional and were created for demonstration purposes.</w:t>
            </w:r>
          </w:p>
        </w:tc>
      </w:tr>
    </w:tbl>
    <w:p>
      <w:r>
        <w:br w:type="page"/>
      </w:r>
    </w:p>
    <w:p>
      <w:pPr>
        <w:pStyle w:val="Heading1"/>
      </w:pPr>
      <w:r>
        <w:t>Audit at a glance</w:t>
      </w:r>
    </w:p>
    <w:p>
      <w:r>
        <w:t>The Ravenna facility produces chilled ready meals and sauces for retail and food-service customers. Since the previous audit, the plant completed a high-care zoning project and introduced automated recipe controls on six lines. The current audit identified a material gap in allergen changeover validation and several execution weaknesses in sanitation release and rework identification.</w:t>
      </w:r>
    </w:p>
    <w:p>
      <w:r>
        <w:t>The site has a functioning food safety system and an engaged management team. Immediate containment was effective, but allergen validation must be completed before the affected product families can return to the standard changeover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3"/>
        <w:gridCol w:w="1973"/>
        <w:gridCol w:w="1973"/>
        <w:gridCol w:w="1973"/>
        <w:gridCol w:w="1973"/>
      </w:tblGrid>
      <w:tr>
        <w:trPr>
          <w:tblHeader w:val="true"/>
        </w:trPr>
        <w:tc>
          <w:tcPr>
            <w:tcW w:type="dxa" w:w="209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Areas reviewed</w:t>
            </w:r>
          </w:p>
        </w:tc>
        <w:tc>
          <w:tcPr>
            <w:tcW w:type="dxa" w:w="1871"/>
            <w:vAlign w:val="center"/>
            <w:tcMar>
              <w:top w:w="80" w:type="dxa"/>
              <w:start w:w="105" w:type="dxa"/>
              <w:bottom w:w="80" w:type="dxa"/>
              <w:end w:w="105" w:type="dxa"/>
            </w:tcMar>
            <w:shd w:fill="26342C"/>
          </w:tcPr>
          <w:p>
            <w:pPr>
              <w:spacing w:before="0" w:after="0"/>
              <w:jc w:val="center"/>
            </w:pPr>
            <w:r/>
            <w:r>
              <w:rPr>
                <w:rFonts w:ascii="Arial" w:hAnsi="Arial"/>
                <w:b/>
                <w:color w:val="FFFFFF"/>
                <w:sz w:val="16"/>
              </w:rPr>
              <w:t>Satisfactory</w:t>
            </w:r>
          </w:p>
        </w:tc>
        <w:tc>
          <w:tcPr>
            <w:tcW w:type="dxa" w:w="1814"/>
            <w:vAlign w:val="center"/>
            <w:tcMar>
              <w:top w:w="80" w:type="dxa"/>
              <w:start w:w="105" w:type="dxa"/>
              <w:bottom w:w="80" w:type="dxa"/>
              <w:end w:w="105" w:type="dxa"/>
            </w:tcMar>
            <w:shd w:fill="26342C"/>
          </w:tcPr>
          <w:p>
            <w:pPr>
              <w:spacing w:before="0" w:after="0"/>
              <w:jc w:val="center"/>
            </w:pPr>
            <w:r/>
            <w:r>
              <w:rPr>
                <w:rFonts w:ascii="Arial" w:hAnsi="Arial"/>
                <w:b/>
                <w:color w:val="FFFFFF"/>
                <w:sz w:val="16"/>
              </w:rPr>
              <w:t>Minor Gaps</w:t>
            </w:r>
          </w:p>
        </w:tc>
        <w:tc>
          <w:tcPr>
            <w:tcW w:type="dxa" w:w="1814"/>
            <w:vAlign w:val="center"/>
            <w:tcMar>
              <w:top w:w="80" w:type="dxa"/>
              <w:start w:w="105" w:type="dxa"/>
              <w:bottom w:w="80" w:type="dxa"/>
              <w:end w:w="105" w:type="dxa"/>
            </w:tcMar>
            <w:shd w:fill="26342C"/>
          </w:tcPr>
          <w:p>
            <w:pPr>
              <w:spacing w:before="0" w:after="0"/>
              <w:jc w:val="center"/>
            </w:pPr>
            <w:r/>
            <w:r>
              <w:rPr>
                <w:rFonts w:ascii="Arial" w:hAnsi="Arial"/>
                <w:b/>
                <w:color w:val="FFFFFF"/>
                <w:sz w:val="16"/>
              </w:rPr>
              <w:t>Major Gaps</w:t>
            </w:r>
          </w:p>
        </w:tc>
        <w:tc>
          <w:tcPr>
            <w:tcW w:type="dxa" w:w="1814"/>
            <w:vAlign w:val="center"/>
            <w:tcMar>
              <w:top w:w="80" w:type="dxa"/>
              <w:start w:w="105" w:type="dxa"/>
              <w:bottom w:w="80" w:type="dxa"/>
              <w:end w:w="105" w:type="dxa"/>
            </w:tcMar>
            <w:shd w:fill="26342C"/>
          </w:tcPr>
          <w:p>
            <w:pPr>
              <w:spacing w:before="0" w:after="0"/>
              <w:jc w:val="center"/>
            </w:pPr>
            <w:r/>
            <w:r>
              <w:rPr>
                <w:rFonts w:ascii="Arial" w:hAnsi="Arial"/>
                <w:b/>
                <w:color w:val="FFFFFF"/>
                <w:sz w:val="16"/>
              </w:rPr>
              <w:t>Unsatisfactory</w:t>
            </w:r>
          </w:p>
        </w:tc>
      </w:tr>
      <w:tr>
        <w:tc>
          <w:tcPr>
            <w:tcW w:type="dxa" w:w="2098"/>
            <w:vAlign w:val="center"/>
            <w:tcMar>
              <w:top w:w="80" w:type="dxa"/>
              <w:start w:w="105" w:type="dxa"/>
              <w:bottom w:w="80" w:type="dxa"/>
              <w:end w:w="105" w:type="dxa"/>
            </w:tcMar>
          </w:tcPr>
          <w:p>
            <w:pPr>
              <w:spacing w:before="0" w:after="0"/>
              <w:jc w:val="left"/>
            </w:pPr>
            <w:r/>
            <w:r>
              <w:rPr>
                <w:rFonts w:ascii="Arial" w:hAnsi="Arial"/>
                <w:b w:val="0"/>
                <w:color w:val="000000"/>
                <w:sz w:val="16"/>
              </w:rPr>
              <w:t>24</w:t>
            </w:r>
          </w:p>
        </w:tc>
        <w:tc>
          <w:tcPr>
            <w:tcW w:type="dxa" w:w="1871"/>
            <w:vAlign w:val="center"/>
            <w:tcMar>
              <w:top w:w="80" w:type="dxa"/>
              <w:start w:w="105" w:type="dxa"/>
              <w:bottom w:w="80" w:type="dxa"/>
              <w:end w:w="105" w:type="dxa"/>
            </w:tcMar>
          </w:tcPr>
          <w:p>
            <w:pPr>
              <w:spacing w:before="0" w:after="0"/>
              <w:jc w:val="center"/>
            </w:pPr>
            <w:r/>
            <w:r>
              <w:rPr>
                <w:rFonts w:ascii="Arial" w:hAnsi="Arial"/>
                <w:b w:val="0"/>
                <w:color w:val="000000"/>
                <w:sz w:val="16"/>
              </w:rPr>
              <w:t>18</w:t>
            </w:r>
          </w:p>
        </w:tc>
        <w:tc>
          <w:tcPr>
            <w:tcW w:type="dxa" w:w="1814"/>
            <w:vAlign w:val="center"/>
            <w:tcMar>
              <w:top w:w="80" w:type="dxa"/>
              <w:start w:w="105" w:type="dxa"/>
              <w:bottom w:w="80" w:type="dxa"/>
              <w:end w:w="105" w:type="dxa"/>
            </w:tcMar>
          </w:tcPr>
          <w:p>
            <w:pPr>
              <w:spacing w:before="0" w:after="0"/>
              <w:jc w:val="center"/>
            </w:pPr>
            <w:r/>
            <w:r>
              <w:rPr>
                <w:rFonts w:ascii="Arial" w:hAnsi="Arial"/>
                <w:b w:val="0"/>
                <w:color w:val="000000"/>
                <w:sz w:val="16"/>
              </w:rPr>
              <w:t>4</w:t>
            </w:r>
          </w:p>
        </w:tc>
        <w:tc>
          <w:tcPr>
            <w:tcW w:type="dxa" w:w="1814"/>
            <w:vAlign w:val="center"/>
            <w:tcMar>
              <w:top w:w="80" w:type="dxa"/>
              <w:start w:w="105" w:type="dxa"/>
              <w:bottom w:w="80" w:type="dxa"/>
              <w:end w:w="105" w:type="dxa"/>
            </w:tcMar>
          </w:tcPr>
          <w:p>
            <w:pPr>
              <w:spacing w:before="0" w:after="0"/>
              <w:jc w:val="center"/>
            </w:pPr>
            <w:r/>
            <w:r>
              <w:rPr>
                <w:rFonts w:ascii="Arial" w:hAnsi="Arial"/>
                <w:b w:val="0"/>
                <w:color w:val="000000"/>
                <w:sz w:val="16"/>
              </w:rPr>
              <w:t>2</w:t>
            </w:r>
          </w:p>
        </w:tc>
        <w:tc>
          <w:tcPr>
            <w:tcW w:type="dxa" w:w="1814"/>
            <w:vAlign w:val="center"/>
            <w:tcMar>
              <w:top w:w="80" w:type="dxa"/>
              <w:start w:w="105" w:type="dxa"/>
              <w:bottom w:w="80" w:type="dxa"/>
              <w:end w:w="105" w:type="dxa"/>
            </w:tcMar>
          </w:tcPr>
          <w:p>
            <w:pPr>
              <w:spacing w:before="0" w:after="0"/>
              <w:jc w:val="center"/>
            </w:pPr>
            <w:r/>
            <w:r>
              <w:rPr>
                <w:rFonts w:ascii="Arial" w:hAnsi="Arial"/>
                <w:b w:val="0"/>
                <w:color w:val="000000"/>
                <w:sz w:val="16"/>
              </w:rPr>
              <w:t>0</w:t>
            </w:r>
          </w:p>
        </w:tc>
      </w:tr>
    </w:tbl>
    <w:p>
      <w:pPr>
        <w:pStyle w:val="Heading2"/>
      </w:pPr>
      <w:r>
        <w:t>Priority observations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2438"/>
            <w:vAlign w:val="center"/>
            <w:tcMar>
              <w:top w:w="80" w:type="dxa"/>
              <w:start w:w="105" w:type="dxa"/>
              <w:bottom w:w="80" w:type="dxa"/>
              <w:end w:w="105" w:type="dxa"/>
            </w:tcMar>
            <w:shd w:fill="26342C"/>
          </w:tcPr>
          <w:p>
            <w:pPr>
              <w:spacing w:before="0" w:after="0"/>
              <w:jc w:val="center"/>
            </w:pPr>
            <w:r/>
            <w:r>
              <w:rPr>
                <w:rFonts w:ascii="Arial" w:hAnsi="Arial"/>
                <w:b/>
                <w:color w:val="FFFFFF"/>
                <w:sz w:val="15"/>
              </w:rPr>
              <w:t>Area</w:t>
            </w:r>
          </w:p>
        </w:tc>
        <w:tc>
          <w:tcPr>
            <w:tcW w:type="dxa" w:w="4082"/>
            <w:vAlign w:val="center"/>
            <w:tcMar>
              <w:top w:w="80" w:type="dxa"/>
              <w:start w:w="105" w:type="dxa"/>
              <w:bottom w:w="80" w:type="dxa"/>
              <w:end w:w="105" w:type="dxa"/>
            </w:tcMar>
            <w:shd w:fill="26342C"/>
          </w:tcPr>
          <w:p>
            <w:pPr>
              <w:spacing w:before="0" w:after="0"/>
              <w:jc w:val="center"/>
            </w:pPr>
            <w:r/>
            <w:r>
              <w:rPr>
                <w:rFonts w:ascii="Arial" w:hAnsi="Arial"/>
                <w:b/>
                <w:color w:val="FFFFFF"/>
                <w:sz w:val="15"/>
              </w:rPr>
              <w:t>Observation</w:t>
            </w:r>
          </w:p>
        </w:tc>
        <w:tc>
          <w:tcPr>
            <w:tcW w:type="dxa" w:w="2891"/>
            <w:vAlign w:val="center"/>
            <w:tcMar>
              <w:top w:w="80" w:type="dxa"/>
              <w:start w:w="105" w:type="dxa"/>
              <w:bottom w:w="80" w:type="dxa"/>
              <w:end w:w="105" w:type="dxa"/>
            </w:tcMar>
            <w:shd w:fill="26342C"/>
          </w:tcPr>
          <w:p>
            <w:pPr>
              <w:spacing w:before="0" w:after="0"/>
              <w:jc w:val="center"/>
            </w:pPr>
            <w:r/>
            <w:r>
              <w:rPr>
                <w:rFonts w:ascii="Arial" w:hAnsi="Arial"/>
                <w:b/>
                <w:color w:val="FFFFFF"/>
                <w:sz w:val="15"/>
              </w:rPr>
              <w:t>Required focus</w:t>
            </w:r>
          </w:p>
        </w:tc>
      </w:tr>
      <w:tr>
        <w:tc>
          <w:tcPr>
            <w:tcW w:type="dxa" w:w="2438"/>
            <w:vAlign w:val="center"/>
            <w:tcMar>
              <w:top w:w="80" w:type="dxa"/>
              <w:start w:w="105" w:type="dxa"/>
              <w:bottom w:w="80" w:type="dxa"/>
              <w:end w:w="105" w:type="dxa"/>
            </w:tcMar>
          </w:tcPr>
          <w:p>
            <w:pPr>
              <w:spacing w:before="0" w:after="0"/>
              <w:jc w:val="left"/>
            </w:pPr>
            <w:r/>
            <w:r>
              <w:rPr>
                <w:rFonts w:ascii="Arial" w:hAnsi="Arial"/>
                <w:b w:val="0"/>
                <w:color w:val="000000"/>
                <w:sz w:val="15"/>
              </w:rPr>
              <w:t>Hazard Control and Process Validation</w:t>
            </w:r>
          </w:p>
        </w:tc>
        <w:tc>
          <w:tcPr>
            <w:tcW w:type="dxa" w:w="4082"/>
            <w:vAlign w:val="center"/>
            <w:tcMar>
              <w:top w:w="80" w:type="dxa"/>
              <w:start w:w="105" w:type="dxa"/>
              <w:bottom w:w="80" w:type="dxa"/>
              <w:end w:w="105" w:type="dxa"/>
            </w:tcMar>
          </w:tcPr>
          <w:p>
            <w:pPr>
              <w:spacing w:before="0" w:after="0"/>
              <w:jc w:val="left"/>
            </w:pPr>
            <w:r/>
            <w:r>
              <w:rPr>
                <w:rFonts w:ascii="Arial" w:hAnsi="Arial"/>
                <w:b w:val="0"/>
                <w:color w:val="000000"/>
                <w:sz w:val="15"/>
              </w:rPr>
              <w:t>The validated changeover sequence did not cover the recently introduced sesame pesto recipe. Production relied on the dairy-only changeover parameters even though sesame protein has different removal characteristics.</w:t>
            </w:r>
          </w:p>
        </w:tc>
        <w:tc>
          <w:tcPr>
            <w:tcW w:type="dxa" w:w="2891"/>
            <w:vAlign w:val="center"/>
            <w:tcMar>
              <w:top w:w="80" w:type="dxa"/>
              <w:start w:w="105" w:type="dxa"/>
              <w:bottom w:w="80" w:type="dxa"/>
              <w:end w:w="105" w:type="dxa"/>
            </w:tcMar>
          </w:tcPr>
          <w:p>
            <w:pPr>
              <w:spacing w:before="0" w:after="0"/>
              <w:jc w:val="left"/>
            </w:pPr>
            <w:r/>
            <w:r>
              <w:rPr>
                <w:rFonts w:ascii="Arial" w:hAnsi="Arial"/>
                <w:b w:val="0"/>
                <w:color w:val="000000"/>
                <w:sz w:val="15"/>
              </w:rPr>
              <w:t>Add a mandatory allergen-validation gate to new product introduction</w:t>
            </w:r>
          </w:p>
        </w:tc>
      </w:tr>
      <w:tr>
        <w:tc>
          <w:tcPr>
            <w:tcW w:type="dxa" w:w="2438"/>
            <w:vAlign w:val="center"/>
            <w:tcMar>
              <w:top w:w="80" w:type="dxa"/>
              <w:start w:w="105" w:type="dxa"/>
              <w:bottom w:w="80" w:type="dxa"/>
              <w:end w:w="105" w:type="dxa"/>
            </w:tcMar>
            <w:shd w:fill="F4F6F5"/>
          </w:tcPr>
          <w:p>
            <w:pPr>
              <w:spacing w:before="0" w:after="0"/>
              <w:jc w:val="left"/>
            </w:pPr>
            <w:r/>
            <w:r>
              <w:rPr>
                <w:rFonts w:ascii="Arial" w:hAnsi="Arial"/>
                <w:b w:val="0"/>
                <w:color w:val="000000"/>
                <w:sz w:val="15"/>
              </w:rPr>
              <w:t>Line Clearance and Sanitation Verification</w:t>
            </w:r>
          </w:p>
        </w:tc>
        <w:tc>
          <w:tcPr>
            <w:tcW w:type="dxa" w:w="4082"/>
            <w:vAlign w:val="center"/>
            <w:tcMar>
              <w:top w:w="80" w:type="dxa"/>
              <w:start w:w="105" w:type="dxa"/>
              <w:bottom w:w="80" w:type="dxa"/>
              <w:end w:w="105" w:type="dxa"/>
            </w:tcMar>
            <w:shd w:fill="F4F6F5"/>
          </w:tcPr>
          <w:p>
            <w:pPr>
              <w:spacing w:before="0" w:after="0"/>
              <w:jc w:val="left"/>
            </w:pPr>
            <w:r/>
            <w:r>
              <w:rPr>
                <w:rFonts w:ascii="Arial" w:hAnsi="Arial"/>
                <w:b w:val="0"/>
                <w:color w:val="000000"/>
                <w:sz w:val="15"/>
              </w:rPr>
              <w:t>Pre-operational release was recorded before two enclosed conveyor sections had been opened and inspected. Residual tomato paste was found beneath a removable belt guide on Line 4.</w:t>
            </w:r>
          </w:p>
        </w:tc>
        <w:tc>
          <w:tcPr>
            <w:tcW w:type="dxa" w:w="2891"/>
            <w:vAlign w:val="center"/>
            <w:tcMar>
              <w:top w:w="80" w:type="dxa"/>
              <w:start w:w="105" w:type="dxa"/>
              <w:bottom w:w="80" w:type="dxa"/>
              <w:end w:w="105" w:type="dxa"/>
            </w:tcMar>
            <w:shd w:fill="F4F6F5"/>
          </w:tcPr>
          <w:p>
            <w:pPr>
              <w:spacing w:before="0" w:after="0"/>
              <w:jc w:val="left"/>
            </w:pPr>
            <w:r/>
            <w:r>
              <w:rPr>
                <w:rFonts w:ascii="Arial" w:hAnsi="Arial"/>
                <w:b w:val="0"/>
                <w:color w:val="000000"/>
                <w:sz w:val="15"/>
              </w:rPr>
              <w:t>Introduce Quality and Sanitation approval in hygienic engineering handover</w:t>
            </w:r>
          </w:p>
        </w:tc>
      </w:tr>
    </w:tbl>
    <w:p>
      <w:pPr>
        <w:pStyle w:val="Heading2"/>
      </w:pPr>
      <w:r>
        <w:t>Report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1134"/>
            <w:vAlign w:val="center"/>
            <w:tcMar>
              <w:top w:w="80" w:type="dxa"/>
              <w:start w:w="105" w:type="dxa"/>
              <w:bottom w:w="80" w:type="dxa"/>
              <w:end w:w="105" w:type="dxa"/>
            </w:tcMar>
            <w:shd w:fill="26342C"/>
          </w:tcPr>
          <w:p>
            <w:pPr>
              <w:spacing w:before="0" w:after="0"/>
              <w:jc w:val="center"/>
            </w:pPr>
            <w:r/>
            <w:r>
              <w:rPr>
                <w:rFonts w:ascii="Arial" w:hAnsi="Arial"/>
                <w:b/>
                <w:color w:val="FFFFFF"/>
                <w:sz w:val="16"/>
              </w:rPr>
              <w:t>Part</w:t>
            </w:r>
          </w:p>
        </w:tc>
        <w:tc>
          <w:tcPr>
            <w:tcW w:type="dxa" w:w="8277"/>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Content</w:t>
            </w:r>
          </w:p>
        </w:tc>
      </w:tr>
      <w:tr>
        <w:tc>
          <w:tcPr>
            <w:tcW w:type="dxa" w:w="1134"/>
            <w:vAlign w:val="center"/>
            <w:tcMar>
              <w:top w:w="80" w:type="dxa"/>
              <w:start w:w="105" w:type="dxa"/>
              <w:bottom w:w="80" w:type="dxa"/>
              <w:end w:w="105" w:type="dxa"/>
            </w:tcMar>
          </w:tcPr>
          <w:p>
            <w:pPr>
              <w:spacing w:before="0" w:after="0"/>
              <w:jc w:val="left"/>
            </w:pPr>
            <w:r/>
            <w:r>
              <w:rPr>
                <w:rFonts w:ascii="Arial" w:hAnsi="Arial"/>
                <w:b w:val="0"/>
                <w:color w:val="000000"/>
                <w:sz w:val="16"/>
              </w:rPr>
              <w:t>1</w:t>
            </w:r>
          </w:p>
        </w:tc>
        <w:tc>
          <w:tcPr>
            <w:tcW w:type="dxa" w:w="8277"/>
            <w:vAlign w:val="center"/>
            <w:tcMar>
              <w:top w:w="80" w:type="dxa"/>
              <w:start w:w="105" w:type="dxa"/>
              <w:bottom w:w="80" w:type="dxa"/>
              <w:end w:w="105" w:type="dxa"/>
            </w:tcMar>
          </w:tcPr>
          <w:p>
            <w:pPr>
              <w:spacing w:before="0" w:after="0"/>
              <w:jc w:val="left"/>
            </w:pPr>
            <w:r/>
            <w:r>
              <w:rPr>
                <w:rFonts w:ascii="Arial" w:hAnsi="Arial"/>
                <w:b w:val="0"/>
                <w:color w:val="000000"/>
                <w:sz w:val="16"/>
              </w:rPr>
              <w:t>Audit at a glance and conclusion</w:t>
            </w:r>
          </w:p>
        </w:tc>
      </w:tr>
      <w:tr>
        <w:tc>
          <w:tcPr>
            <w:tcW w:type="dxa" w:w="1134"/>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2</w:t>
            </w:r>
          </w:p>
        </w:tc>
        <w:tc>
          <w:tcPr>
            <w:tcW w:type="dxa" w:w="8277"/>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Area rating profile</w:t>
            </w:r>
          </w:p>
        </w:tc>
      </w:tr>
      <w:tr>
        <w:tc>
          <w:tcPr>
            <w:tcW w:type="dxa" w:w="1134"/>
            <w:vAlign w:val="center"/>
            <w:tcMar>
              <w:top w:w="80" w:type="dxa"/>
              <w:start w:w="105" w:type="dxa"/>
              <w:bottom w:w="80" w:type="dxa"/>
              <w:end w:w="105" w:type="dxa"/>
            </w:tcMar>
          </w:tcPr>
          <w:p>
            <w:pPr>
              <w:spacing w:before="0" w:after="0"/>
              <w:jc w:val="left"/>
            </w:pPr>
            <w:r/>
            <w:r>
              <w:rPr>
                <w:rFonts w:ascii="Arial" w:hAnsi="Arial"/>
                <w:b w:val="0"/>
                <w:color w:val="000000"/>
                <w:sz w:val="16"/>
              </w:rPr>
              <w:t>3</w:t>
            </w:r>
          </w:p>
        </w:tc>
        <w:tc>
          <w:tcPr>
            <w:tcW w:type="dxa" w:w="8277"/>
            <w:vAlign w:val="center"/>
            <w:tcMar>
              <w:top w:w="80" w:type="dxa"/>
              <w:start w:w="105" w:type="dxa"/>
              <w:bottom w:w="80" w:type="dxa"/>
              <w:end w:w="105" w:type="dxa"/>
            </w:tcMar>
          </w:tcPr>
          <w:p>
            <w:pPr>
              <w:spacing w:before="0" w:after="0"/>
              <w:jc w:val="left"/>
            </w:pPr>
            <w:r/>
            <w:r>
              <w:rPr>
                <w:rFonts w:ascii="Arial" w:hAnsi="Arial"/>
                <w:b w:val="0"/>
                <w:color w:val="000000"/>
                <w:sz w:val="16"/>
              </w:rPr>
              <w:t>Finding records and remediation plans</w:t>
            </w:r>
          </w:p>
        </w:tc>
      </w:tr>
      <w:tr>
        <w:tc>
          <w:tcPr>
            <w:tcW w:type="dxa" w:w="1134"/>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4</w:t>
            </w:r>
          </w:p>
        </w:tc>
        <w:tc>
          <w:tcPr>
            <w:tcW w:type="dxa" w:w="8277"/>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Entity and audit profile</w:t>
            </w:r>
          </w:p>
        </w:tc>
      </w:tr>
      <w:tr>
        <w:tc>
          <w:tcPr>
            <w:tcW w:type="dxa" w:w="1134"/>
            <w:vAlign w:val="center"/>
            <w:tcMar>
              <w:top w:w="80" w:type="dxa"/>
              <w:start w:w="105" w:type="dxa"/>
              <w:bottom w:w="80" w:type="dxa"/>
              <w:end w:w="105" w:type="dxa"/>
            </w:tcMar>
          </w:tcPr>
          <w:p>
            <w:pPr>
              <w:spacing w:before="0" w:after="0"/>
              <w:jc w:val="left"/>
            </w:pPr>
            <w:r/>
            <w:r>
              <w:rPr>
                <w:rFonts w:ascii="Arial" w:hAnsi="Arial"/>
                <w:b w:val="0"/>
                <w:color w:val="000000"/>
                <w:sz w:val="16"/>
              </w:rPr>
              <w:t>5</w:t>
            </w:r>
          </w:p>
        </w:tc>
        <w:tc>
          <w:tcPr>
            <w:tcW w:type="dxa" w:w="8277"/>
            <w:vAlign w:val="center"/>
            <w:tcMar>
              <w:top w:w="80" w:type="dxa"/>
              <w:start w:w="105" w:type="dxa"/>
              <w:bottom w:w="80" w:type="dxa"/>
              <w:end w:w="105" w:type="dxa"/>
            </w:tcMar>
          </w:tcPr>
          <w:p>
            <w:pPr>
              <w:spacing w:before="0" w:after="0"/>
              <w:jc w:val="left"/>
            </w:pPr>
            <w:r/>
            <w:r>
              <w:rPr>
                <w:rFonts w:ascii="Arial" w:hAnsi="Arial"/>
                <w:b w:val="0"/>
                <w:color w:val="000000"/>
                <w:sz w:val="16"/>
              </w:rPr>
              <w:t>Audit approach and sampling</w:t>
            </w:r>
          </w:p>
        </w:tc>
      </w:tr>
    </w:tbl>
    <w:p>
      <w:pPr>
        <w:pStyle w:val="Heading1"/>
      </w:pPr>
      <w:r>
        <w:t>Audit conclusion</w:t>
      </w:r>
    </w:p>
    <w:p>
      <w:r>
        <w:t>The audit raised 6 findings. 2 areas were rated Major Gaps, 4 were rated Minor Gaps and 0 were rated Unsatisfactory. The remaining 18 areas were assessed as Satisfactory.</w:t>
      </w:r>
    </w:p>
    <w:p>
      <w:r>
        <w:br w:type="page"/>
      </w:r>
    </w:p>
    <w:p>
      <w:pPr>
        <w:pStyle w:val="Heading1"/>
      </w:pPr>
      <w:r>
        <w:t>Area rating profile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680"/>
            <w:vAlign w:val="center"/>
            <w:tcMar>
              <w:top w:w="80" w:type="dxa"/>
              <w:start w:w="105" w:type="dxa"/>
              <w:bottom w:w="80" w:type="dxa"/>
              <w:end w:w="105" w:type="dxa"/>
            </w:tcMar>
            <w:shd w:fill="26342C"/>
          </w:tcPr>
          <w:p>
            <w:pPr>
              <w:spacing w:before="0" w:after="0"/>
              <w:jc w:val="center"/>
            </w:pPr>
            <w:r/>
            <w:r>
              <w:rPr>
                <w:rFonts w:ascii="Arial" w:hAnsi="Arial"/>
                <w:b/>
                <w:color w:val="FFFFFF"/>
                <w:sz w:val="16"/>
              </w:rPr>
              <w:t>#</w:t>
            </w:r>
          </w:p>
        </w:tc>
        <w:tc>
          <w:tcPr>
            <w:tcW w:type="dxa" w:w="6123"/>
            <w:vAlign w:val="center"/>
            <w:tcMar>
              <w:top w:w="80" w:type="dxa"/>
              <w:start w:w="105" w:type="dxa"/>
              <w:bottom w:w="80" w:type="dxa"/>
              <w:end w:w="105" w:type="dxa"/>
            </w:tcMar>
            <w:shd w:fill="26342C"/>
          </w:tcPr>
          <w:p>
            <w:pPr>
              <w:spacing w:before="0" w:after="0"/>
              <w:jc w:val="center"/>
            </w:pPr>
            <w:r/>
            <w:r>
              <w:rPr>
                <w:rFonts w:ascii="Arial" w:hAnsi="Arial"/>
                <w:b/>
                <w:color w:val="FFFFFF"/>
                <w:sz w:val="16"/>
              </w:rPr>
              <w:t>Audit area</w:t>
            </w:r>
          </w:p>
        </w:tc>
        <w:tc>
          <w:tcPr>
            <w:tcW w:type="dxa" w:w="2608"/>
            <w:vAlign w:val="center"/>
            <w:tcMar>
              <w:top w:w="80" w:type="dxa"/>
              <w:start w:w="105" w:type="dxa"/>
              <w:bottom w:w="80" w:type="dxa"/>
              <w:end w:w="105" w:type="dxa"/>
            </w:tcMar>
            <w:shd w:fill="26342C"/>
          </w:tcPr>
          <w:p>
            <w:pPr>
              <w:spacing w:before="0" w:after="0"/>
              <w:jc w:val="center"/>
            </w:pPr>
            <w:r/>
            <w:r>
              <w:rPr>
                <w:rFonts w:ascii="Arial" w:hAnsi="Arial"/>
                <w:b/>
                <w:color w:val="FFFFFF"/>
                <w:sz w:val="16"/>
              </w:rPr>
              <w:t>Rating</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1</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Food Safety and Quality Governance</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2</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Site Leadership and Control Planning</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3</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Facility Condition and Hygienic Design</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4</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Operator Induction and Skills Verification</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Minor Gaps</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5</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Asset Care and Utility Control</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6</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Quality Documentation and Data Integrity</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7</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Product and Packaging Specification Control</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8</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Line Clearance and Sanitation Verification</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Major Gaps</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9</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High Care Segregation and Environmental Sampling</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10</w:t>
            </w:r>
          </w:p>
        </w:tc>
        <w:tc>
          <w:tcPr>
            <w:tcW w:type="dxa" w:w="6123"/>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Pest Risk Management</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11</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Batch Genealogy and Product Withdrawal</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12</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Hazard Control and Process Validation</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Major Gaps</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13</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Rework Handling and Shelf Life Control</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Minor Gaps</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14</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Raw Material Intake and Supplier Oversight</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15</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Storage Conditions and Outbound Logistics</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16</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Food Defence and Authenticity</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17</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Personnel Hygiene and Operational Discipline</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Minor Gaps</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18</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Instrument Accuracy and Test Equipment</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19</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Deviation Escalation and Product Status</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20</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Process Parameter and Quality Monitoring</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21</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Market Feedback and Product Returns</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22</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Site Verification Programme</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23</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Quality Performance and Leadership Review</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24</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Root Cause and Action Closure</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Minor Gaps</w:t>
            </w:r>
          </w:p>
        </w:tc>
      </w:tr>
    </w:tbl>
    <w:p>
      <w:r>
        <w:br w:type="page"/>
      </w:r>
    </w:p>
    <w:p>
      <w:pPr>
        <w:pStyle w:val="Heading1"/>
      </w:pPr>
      <w:r>
        <w:t>Finding records and remediation plans</w:t>
      </w:r>
    </w:p>
    <w:p>
      <w:r>
        <w:t>Each record consolidates the observed condition, supporting evidence, applicable requirement, cause assessment and agreed actions. Due dates and responsible owners are fictional and included for workflow and analytics testing.</w:t>
      </w:r>
    </w:p>
    <w:p>
      <w:pPr>
        <w:pStyle w:val="Heading1"/>
      </w:pPr>
      <w:r>
        <w:t>FINDING 01  |  AFG-RA-2601</w:t>
      </w:r>
    </w:p>
    <w:p>
      <w:pPr>
        <w:pStyle w:val="Heading2"/>
      </w:pPr>
      <w:r>
        <w:t>Hazard Control and Process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192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 rating</w:t>
            </w:r>
          </w:p>
        </w:tc>
        <w:tc>
          <w:tcPr>
            <w:tcW w:type="dxa" w:w="3685"/>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Control focus</w:t>
            </w:r>
          </w:p>
        </w:tc>
        <w:tc>
          <w:tcPr>
            <w:tcW w:type="dxa" w:w="3798"/>
            <w:vAlign w:val="center"/>
            <w:tcMar>
              <w:top w:w="80" w:type="dxa"/>
              <w:start w:w="105" w:type="dxa"/>
              <w:bottom w:w="80" w:type="dxa"/>
              <w:end w:w="105" w:type="dxa"/>
            </w:tcMar>
            <w:shd w:fill="26342C"/>
          </w:tcPr>
          <w:p>
            <w:pPr>
              <w:spacing w:before="0" w:after="0"/>
              <w:jc w:val="center"/>
            </w:pPr>
            <w:r/>
            <w:r>
              <w:rPr>
                <w:rFonts w:ascii="Arial" w:hAnsi="Arial"/>
                <w:b/>
                <w:color w:val="FFFFFF"/>
                <w:sz w:val="16"/>
              </w:rPr>
              <w:t>Evidence type</w:t>
            </w:r>
          </w:p>
        </w:tc>
      </w:tr>
      <w:tr>
        <w:tc>
          <w:tcPr>
            <w:tcW w:type="dxa" w:w="1928"/>
            <w:vAlign w:val="center"/>
            <w:tcMar>
              <w:top w:w="80" w:type="dxa"/>
              <w:start w:w="105" w:type="dxa"/>
              <w:bottom w:w="80" w:type="dxa"/>
              <w:end w:w="105" w:type="dxa"/>
            </w:tcMar>
          </w:tcPr>
          <w:p>
            <w:pPr>
              <w:spacing w:before="0" w:after="0"/>
              <w:jc w:val="left"/>
            </w:pPr>
            <w:r/>
            <w:r>
              <w:rPr>
                <w:rFonts w:ascii="Arial" w:hAnsi="Arial"/>
                <w:b w:val="0"/>
                <w:color w:val="000000"/>
                <w:sz w:val="16"/>
              </w:rPr>
              <w:t>Major Gaps</w:t>
            </w:r>
          </w:p>
        </w:tc>
        <w:tc>
          <w:tcPr>
            <w:tcW w:type="dxa" w:w="3685"/>
            <w:vAlign w:val="center"/>
            <w:tcMar>
              <w:top w:w="80" w:type="dxa"/>
              <w:start w:w="105" w:type="dxa"/>
              <w:bottom w:w="80" w:type="dxa"/>
              <w:end w:w="105" w:type="dxa"/>
            </w:tcMar>
          </w:tcPr>
          <w:p>
            <w:pPr>
              <w:spacing w:before="0" w:after="0"/>
              <w:jc w:val="left"/>
            </w:pPr>
            <w:r/>
            <w:r>
              <w:rPr>
                <w:rFonts w:ascii="Arial" w:hAnsi="Arial"/>
                <w:b w:val="0"/>
                <w:color w:val="000000"/>
                <w:sz w:val="16"/>
              </w:rPr>
              <w:t>Allergen control validation</w:t>
            </w:r>
          </w:p>
        </w:tc>
        <w:tc>
          <w:tcPr>
            <w:tcW w:type="dxa" w:w="3798"/>
            <w:vAlign w:val="center"/>
            <w:tcMar>
              <w:top w:w="80" w:type="dxa"/>
              <w:start w:w="105" w:type="dxa"/>
              <w:bottom w:w="80" w:type="dxa"/>
              <w:end w:w="105" w:type="dxa"/>
            </w:tcMar>
          </w:tcPr>
          <w:p>
            <w:pPr>
              <w:spacing w:before="0" w:after="0"/>
              <w:jc w:val="left"/>
            </w:pPr>
            <w:r/>
            <w:r>
              <w:rPr>
                <w:rFonts w:ascii="Arial" w:hAnsi="Arial"/>
                <w:b w:val="0"/>
                <w:color w:val="000000"/>
                <w:sz w:val="16"/>
              </w:rPr>
              <w:t>Records, interviews and operational evidence</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Risk level</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High</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Affected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Hazard Analysis and Critical Control Points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Detection method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Audit sampling and direct verification</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Repeat finding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Product impact</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 confirmed affected product unless stated in the evidence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Finding owner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Elena Monti, Quality Manager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Target closure date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2026-06-15</w:t>
            </w:r>
          </w:p>
        </w:tc>
      </w:tr>
    </w:tbl>
    <w:p>
      <w:pPr>
        <w:pStyle w:val="Heading2"/>
      </w:pPr>
      <w:r>
        <w:t>Observed condition</w:t>
      </w:r>
    </w:p>
    <w:p>
      <w:r>
        <w:t>The validated changeover sequence did not cover the recently introduced sesame pesto recipe. Production relied on the dairy-only changeover parameters even though sesame protein has different removal characteristics.</w:t>
      </w:r>
    </w:p>
    <w:p>
      <w:pPr>
        <w:pStyle w:val="Heading2"/>
      </w:pPr>
      <w:r>
        <w:t>Supporting evidence</w:t>
      </w:r>
    </w:p>
    <w:p>
      <w:pPr>
        <w:pStyle w:val="ListBullet"/>
        <w:spacing w:after="60"/>
      </w:pPr>
      <w:r>
        <w:t>Three sesame-to-non-sesame changeovers were released without product-contact swab results.</w:t>
      </w:r>
    </w:p>
    <w:p>
      <w:pPr>
        <w:pStyle w:val="ListBullet"/>
        <w:spacing w:after="60"/>
      </w:pPr>
      <w:r>
        <w:t>The HACCP study listed sesame as a hazard but did not link it to the sanitation validation matrix.</w:t>
      </w:r>
    </w:p>
    <w:p>
      <w:pPr>
        <w:pStyle w:val="ListBullet"/>
        <w:spacing w:after="60"/>
      </w:pPr>
      <w:r>
        <w:t>Retained product from the three lots tested negative during audit containment sampling.</w:t>
      </w:r>
    </w:p>
    <w:p>
      <w:pPr>
        <w:pStyle w:val="Heading2"/>
      </w:pPr>
      <w:r>
        <w:t>Applicable requirement</w:t>
      </w:r>
    </w:p>
    <w:p>
      <w:r>
        <w:t>AFG FSQ Standard 4.2 sections 7.4 and 9.3</w:t>
      </w:r>
    </w:p>
    <w:p>
      <w:pPr>
        <w:pStyle w:val="Heading2"/>
      </w:pPr>
      <w:r>
        <w:t>Cause assessment</w:t>
      </w:r>
    </w:p>
    <w:p>
      <w:r>
        <w:t>The recipe approval workflow did not require Quality to update the allergen validation matrix before industrial release.</w:t>
      </w:r>
    </w:p>
    <w:p>
      <w:pPr>
        <w:pStyle w:val="Heading2"/>
      </w:pPr>
      <w:r>
        <w:t>Immediate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CR-2601-01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Contain affected lots and complete risk assessment</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Elena Monti, Quality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2026-04-18</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2026-05-18</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r>
        <w:tc>
          <w:tcPr>
            <w:tcW w:type="dxa" w:w="1247"/>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CR-2601-02</w:t>
            </w:r>
          </w:p>
        </w:tc>
        <w:tc>
          <w:tcPr>
            <w:tcW w:type="dxa" w:w="232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Validate the sesame changeover using three consecutive successful runs</w:t>
            </w:r>
          </w:p>
        </w:tc>
        <w:tc>
          <w:tcPr>
            <w:tcW w:type="dxa" w:w="1361"/>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Marco Lodi, Sanitation Lead</w:t>
            </w:r>
          </w:p>
        </w:tc>
        <w:tc>
          <w:tcPr>
            <w:tcW w:type="dxa" w:w="96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2026-05-15</w:t>
            </w:r>
          </w:p>
        </w:tc>
        <w:tc>
          <w:tcPr>
            <w:tcW w:type="dxa" w:w="1020"/>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2026-06-14</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Open</w:t>
            </w:r>
          </w:p>
        </w:tc>
      </w:tr>
    </w:tbl>
    <w:p>
      <w:pPr>
        <w:pStyle w:val="Heading2"/>
      </w:pPr>
      <w:r>
        <w:t>Corrective and preventive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CA-2601-01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Add a mandatory allergen-validation gate to new product introduction</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Giulia Serra, R&amp;D Director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2026-06-15</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2026-07-15</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r>
        <w:tc>
          <w:tcPr>
            <w:tcW w:type="dxa" w:w="1247"/>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CA-2601-02</w:t>
            </w:r>
          </w:p>
        </w:tc>
        <w:tc>
          <w:tcPr>
            <w:tcW w:type="dxa" w:w="232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Audit all recipes introduced since January 2025 against the allergen matrix</w:t>
            </w:r>
          </w:p>
        </w:tc>
        <w:tc>
          <w:tcPr>
            <w:tcW w:type="dxa" w:w="1361"/>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Elena Monti, Quality Manager</w:t>
            </w:r>
          </w:p>
        </w:tc>
        <w:tc>
          <w:tcPr>
            <w:tcW w:type="dxa" w:w="96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2026-05-31</w:t>
            </w:r>
          </w:p>
        </w:tc>
        <w:tc>
          <w:tcPr>
            <w:tcW w:type="dxa" w:w="1020"/>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2026-06-30</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Open</w:t>
            </w:r>
          </w:p>
        </w:tc>
      </w:tr>
    </w:tbl>
    <w:p>
      <w:pPr>
        <w:pStyle w:val="Heading2"/>
      </w:pPr>
      <w:r>
        <w:t>Follow-up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Proposed verification method</w:t>
            </w:r>
          </w:p>
        </w:tc>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Closure evidence expected</w:t>
            </w:r>
          </w:p>
        </w:tc>
      </w:tr>
      <w:tr>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Review implementation records and test the control through targeted sampling.</w:t>
            </w:r>
          </w:p>
        </w:tc>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Approved records, objective evidence and accountable owner sign-off.</w:t>
            </w:r>
          </w:p>
        </w:tc>
      </w:tr>
    </w:tbl>
    <w:p>
      <w:pPr>
        <w:pStyle w:val="Heading1"/>
        <w:pageBreakBefore/>
      </w:pPr>
      <w:r>
        <w:t>FINDING 02  |  AFG-RA-2602</w:t>
      </w:r>
    </w:p>
    <w:p>
      <w:pPr>
        <w:pStyle w:val="Heading2"/>
      </w:pPr>
      <w:r>
        <w:t>Line Clearance and Sanitation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192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 rating</w:t>
            </w:r>
          </w:p>
        </w:tc>
        <w:tc>
          <w:tcPr>
            <w:tcW w:type="dxa" w:w="3685"/>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Control focus</w:t>
            </w:r>
          </w:p>
        </w:tc>
        <w:tc>
          <w:tcPr>
            <w:tcW w:type="dxa" w:w="3798"/>
            <w:vAlign w:val="center"/>
            <w:tcMar>
              <w:top w:w="80" w:type="dxa"/>
              <w:start w:w="105" w:type="dxa"/>
              <w:bottom w:w="80" w:type="dxa"/>
              <w:end w:w="105" w:type="dxa"/>
            </w:tcMar>
            <w:shd w:fill="26342C"/>
          </w:tcPr>
          <w:p>
            <w:pPr>
              <w:spacing w:before="0" w:after="0"/>
              <w:jc w:val="center"/>
            </w:pPr>
            <w:r/>
            <w:r>
              <w:rPr>
                <w:rFonts w:ascii="Arial" w:hAnsi="Arial"/>
                <w:b/>
                <w:color w:val="FFFFFF"/>
                <w:sz w:val="16"/>
              </w:rPr>
              <w:t>Evidence type</w:t>
            </w:r>
          </w:p>
        </w:tc>
      </w:tr>
      <w:tr>
        <w:tc>
          <w:tcPr>
            <w:tcW w:type="dxa" w:w="1928"/>
            <w:vAlign w:val="center"/>
            <w:tcMar>
              <w:top w:w="80" w:type="dxa"/>
              <w:start w:w="105" w:type="dxa"/>
              <w:bottom w:w="80" w:type="dxa"/>
              <w:end w:w="105" w:type="dxa"/>
            </w:tcMar>
          </w:tcPr>
          <w:p>
            <w:pPr>
              <w:spacing w:before="0" w:after="0"/>
              <w:jc w:val="left"/>
            </w:pPr>
            <w:r/>
            <w:r>
              <w:rPr>
                <w:rFonts w:ascii="Arial" w:hAnsi="Arial"/>
                <w:b w:val="0"/>
                <w:color w:val="000000"/>
                <w:sz w:val="16"/>
              </w:rPr>
              <w:t>Major Gaps</w:t>
            </w:r>
          </w:p>
        </w:tc>
        <w:tc>
          <w:tcPr>
            <w:tcW w:type="dxa" w:w="3685"/>
            <w:vAlign w:val="center"/>
            <w:tcMar>
              <w:top w:w="80" w:type="dxa"/>
              <w:start w:w="105" w:type="dxa"/>
              <w:bottom w:w="80" w:type="dxa"/>
              <w:end w:w="105" w:type="dxa"/>
            </w:tcMar>
          </w:tcPr>
          <w:p>
            <w:pPr>
              <w:spacing w:before="0" w:after="0"/>
              <w:jc w:val="left"/>
            </w:pPr>
            <w:r/>
            <w:r>
              <w:rPr>
                <w:rFonts w:ascii="Arial" w:hAnsi="Arial"/>
                <w:b w:val="0"/>
                <w:color w:val="000000"/>
                <w:sz w:val="16"/>
              </w:rPr>
              <w:t>Pre-operational inspection and sanitation release</w:t>
            </w:r>
          </w:p>
        </w:tc>
        <w:tc>
          <w:tcPr>
            <w:tcW w:type="dxa" w:w="3798"/>
            <w:vAlign w:val="center"/>
            <w:tcMar>
              <w:top w:w="80" w:type="dxa"/>
              <w:start w:w="105" w:type="dxa"/>
              <w:bottom w:w="80" w:type="dxa"/>
              <w:end w:w="105" w:type="dxa"/>
            </w:tcMar>
          </w:tcPr>
          <w:p>
            <w:pPr>
              <w:spacing w:before="0" w:after="0"/>
              <w:jc w:val="left"/>
            </w:pPr>
            <w:r/>
            <w:r>
              <w:rPr>
                <w:rFonts w:ascii="Arial" w:hAnsi="Arial"/>
                <w:b w:val="0"/>
                <w:color w:val="000000"/>
                <w:sz w:val="16"/>
              </w:rPr>
              <w:t>Records, interviews and operational evidence</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Risk level</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High</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Affected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Cleaning and Sanitation</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Detection method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Audit sampling and direct verification</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Repeat finding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Product impact</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 confirmed affected product unless stated in the evidence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Finding owner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Marco Lodi, Sanitation Lead</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Target closure date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2026-06-30</w:t>
            </w:r>
          </w:p>
        </w:tc>
      </w:tr>
    </w:tbl>
    <w:p>
      <w:pPr>
        <w:pStyle w:val="Heading2"/>
      </w:pPr>
      <w:r>
        <w:t>Observed condition</w:t>
      </w:r>
    </w:p>
    <w:p>
      <w:r>
        <w:t>Pre-operational release was recorded before two enclosed conveyor sections had been opened and inspected. Residual tomato paste was found beneath a removable belt guide on Line 4.</w:t>
      </w:r>
    </w:p>
    <w:p>
      <w:pPr>
        <w:pStyle w:val="Heading2"/>
      </w:pPr>
      <w:r>
        <w:t>Supporting evidence</w:t>
      </w:r>
    </w:p>
    <w:p>
      <w:pPr>
        <w:pStyle w:val="ListBullet"/>
        <w:spacing w:after="60"/>
      </w:pPr>
      <w:r>
        <w:t>The release checklist used a single line-level confirmation and did not identify hard-to-access inspection points.</w:t>
      </w:r>
    </w:p>
    <w:p>
      <w:pPr>
        <w:pStyle w:val="ListBullet"/>
        <w:spacing w:after="60"/>
      </w:pPr>
      <w:r>
        <w:t>ATP results were within the site limit at the sampled external surfaces, but the concealed point was not included in the sampling plan.</w:t>
      </w:r>
    </w:p>
    <w:p>
      <w:pPr>
        <w:pStyle w:val="ListBullet"/>
        <w:spacing w:after="60"/>
      </w:pPr>
      <w:r>
        <w:t>Line 4 was stopped, recleaned and reinspected before production resumed.</w:t>
      </w:r>
    </w:p>
    <w:p>
      <w:pPr>
        <w:pStyle w:val="Heading2"/>
      </w:pPr>
      <w:r>
        <w:t>Applicable requirement</w:t>
      </w:r>
    </w:p>
    <w:p>
      <w:r>
        <w:t>AFG Sanitation Standard 3.1 sections 5.2 and 6.4</w:t>
      </w:r>
    </w:p>
    <w:p>
      <w:pPr>
        <w:pStyle w:val="Heading2"/>
      </w:pPr>
      <w:r>
        <w:t>Cause assessment</w:t>
      </w:r>
    </w:p>
    <w:p>
      <w:r>
        <w:t>The inspection checklist had not been revised after the conveyor modification, and sanitation supervisors were not included in engineering handover.</w:t>
      </w:r>
    </w:p>
    <w:p>
      <w:pPr>
        <w:pStyle w:val="Heading2"/>
      </w:pPr>
      <w:r>
        <w:t>Immediate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CR-2602-01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Reclean Line 4 and inspect equivalent conveyors</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Marco Lodi, Sanitation Lead</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2026-04-17</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2026-05-17</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r>
        <w:tc>
          <w:tcPr>
            <w:tcW w:type="dxa" w:w="1247"/>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CR-2602-02</w:t>
            </w:r>
          </w:p>
        </w:tc>
        <w:tc>
          <w:tcPr>
            <w:tcW w:type="dxa" w:w="232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Add the belt-guide inspection point to the release checklist</w:t>
            </w:r>
          </w:p>
        </w:tc>
        <w:tc>
          <w:tcPr>
            <w:tcW w:type="dxa" w:w="1361"/>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Elena Monti, Quality Manager</w:t>
            </w:r>
          </w:p>
        </w:tc>
        <w:tc>
          <w:tcPr>
            <w:tcW w:type="dxa" w:w="96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2026-04-24</w:t>
            </w:r>
          </w:p>
        </w:tc>
        <w:tc>
          <w:tcPr>
            <w:tcW w:type="dxa" w:w="1020"/>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2026-05-24</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Open</w:t>
            </w:r>
          </w:p>
        </w:tc>
      </w:tr>
    </w:tbl>
    <w:p>
      <w:pPr>
        <w:pStyle w:val="Heading2"/>
      </w:pPr>
      <w:r>
        <w:t>Corrective and preventive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CA-2602-01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Introduce Quality and Sanitation approval in hygienic engineering handover</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Luca Bassi, Engineering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2026-06-01</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2026-07-01</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r>
        <w:tc>
          <w:tcPr>
            <w:tcW w:type="dxa" w:w="1247"/>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CA-2602-02</w:t>
            </w:r>
          </w:p>
        </w:tc>
        <w:tc>
          <w:tcPr>
            <w:tcW w:type="dxa" w:w="232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Qualify sanitation inspectors through observed practical assessment</w:t>
            </w:r>
          </w:p>
        </w:tc>
        <w:tc>
          <w:tcPr>
            <w:tcW w:type="dxa" w:w="1361"/>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Marco Lodi, Sanitation Lead</w:t>
            </w:r>
          </w:p>
        </w:tc>
        <w:tc>
          <w:tcPr>
            <w:tcW w:type="dxa" w:w="96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2026-06-30</w:t>
            </w:r>
          </w:p>
        </w:tc>
        <w:tc>
          <w:tcPr>
            <w:tcW w:type="dxa" w:w="1020"/>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2026-07-30</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Open</w:t>
            </w:r>
          </w:p>
        </w:tc>
      </w:tr>
    </w:tbl>
    <w:p>
      <w:pPr>
        <w:pStyle w:val="Heading2"/>
      </w:pPr>
      <w:r>
        <w:t>Follow-up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Proposed verification method</w:t>
            </w:r>
          </w:p>
        </w:tc>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Closure evidence expected</w:t>
            </w:r>
          </w:p>
        </w:tc>
      </w:tr>
      <w:tr>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Review implementation records and test the control through targeted sampling.</w:t>
            </w:r>
          </w:p>
        </w:tc>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Approved records, objective evidence and accountable owner sign-off.</w:t>
            </w:r>
          </w:p>
        </w:tc>
      </w:tr>
    </w:tbl>
    <w:p>
      <w:pPr>
        <w:pStyle w:val="Heading1"/>
        <w:pageBreakBefore/>
      </w:pPr>
      <w:r>
        <w:t>FINDING 03  |  AFG-RA-2603</w:t>
      </w:r>
    </w:p>
    <w:p>
      <w:pPr>
        <w:pStyle w:val="Heading2"/>
      </w:pPr>
      <w:r>
        <w:t>Rework Handling and Shelf Life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192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 rating</w:t>
            </w:r>
          </w:p>
        </w:tc>
        <w:tc>
          <w:tcPr>
            <w:tcW w:type="dxa" w:w="3685"/>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Control focus</w:t>
            </w:r>
          </w:p>
        </w:tc>
        <w:tc>
          <w:tcPr>
            <w:tcW w:type="dxa" w:w="3798"/>
            <w:vAlign w:val="center"/>
            <w:tcMar>
              <w:top w:w="80" w:type="dxa"/>
              <w:start w:w="105" w:type="dxa"/>
              <w:bottom w:w="80" w:type="dxa"/>
              <w:end w:w="105" w:type="dxa"/>
            </w:tcMar>
            <w:shd w:fill="26342C"/>
          </w:tcPr>
          <w:p>
            <w:pPr>
              <w:spacing w:before="0" w:after="0"/>
              <w:jc w:val="center"/>
            </w:pPr>
            <w:r/>
            <w:r>
              <w:rPr>
                <w:rFonts w:ascii="Arial" w:hAnsi="Arial"/>
                <w:b/>
                <w:color w:val="FFFFFF"/>
                <w:sz w:val="16"/>
              </w:rPr>
              <w:t>Evidence type</w:t>
            </w:r>
          </w:p>
        </w:tc>
      </w:tr>
      <w:tr>
        <w:tc>
          <w:tcPr>
            <w:tcW w:type="dxa" w:w="1928"/>
            <w:vAlign w:val="center"/>
            <w:tcMar>
              <w:top w:w="80" w:type="dxa"/>
              <w:start w:w="105" w:type="dxa"/>
              <w:bottom w:w="80" w:type="dxa"/>
              <w:end w:w="105" w:type="dxa"/>
            </w:tcMar>
          </w:tcPr>
          <w:p>
            <w:pPr>
              <w:spacing w:before="0" w:after="0"/>
              <w:jc w:val="left"/>
            </w:pPr>
            <w:r/>
            <w:r>
              <w:rPr>
                <w:rFonts w:ascii="Arial" w:hAnsi="Arial"/>
                <w:b w:val="0"/>
                <w:color w:val="000000"/>
                <w:sz w:val="16"/>
              </w:rPr>
              <w:t>Minor Gaps</w:t>
            </w:r>
          </w:p>
        </w:tc>
        <w:tc>
          <w:tcPr>
            <w:tcW w:type="dxa" w:w="3685"/>
            <w:vAlign w:val="center"/>
            <w:tcMar>
              <w:top w:w="80" w:type="dxa"/>
              <w:start w:w="105" w:type="dxa"/>
              <w:bottom w:w="80" w:type="dxa"/>
              <w:end w:w="105" w:type="dxa"/>
            </w:tcMar>
          </w:tcPr>
          <w:p>
            <w:pPr>
              <w:spacing w:before="0" w:after="0"/>
              <w:jc w:val="left"/>
            </w:pPr>
            <w:r/>
            <w:r>
              <w:rPr>
                <w:rFonts w:ascii="Arial" w:hAnsi="Arial"/>
                <w:b w:val="0"/>
                <w:color w:val="000000"/>
                <w:sz w:val="16"/>
              </w:rPr>
              <w:t>Rework identification and shelf life</w:t>
            </w:r>
          </w:p>
        </w:tc>
        <w:tc>
          <w:tcPr>
            <w:tcW w:type="dxa" w:w="3798"/>
            <w:vAlign w:val="center"/>
            <w:tcMar>
              <w:top w:w="80" w:type="dxa"/>
              <w:start w:w="105" w:type="dxa"/>
              <w:bottom w:w="80" w:type="dxa"/>
              <w:end w:w="105" w:type="dxa"/>
            </w:tcMar>
          </w:tcPr>
          <w:p>
            <w:pPr>
              <w:spacing w:before="0" w:after="0"/>
              <w:jc w:val="left"/>
            </w:pPr>
            <w:r/>
            <w:r>
              <w:rPr>
                <w:rFonts w:ascii="Arial" w:hAnsi="Arial"/>
                <w:b w:val="0"/>
                <w:color w:val="000000"/>
                <w:sz w:val="16"/>
              </w:rPr>
              <w:t>Records, interviews and operational evidence</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Risk level</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Medium</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Affected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Rework Management</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Detection method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Audit sampling and direct verification</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Repeat finding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Product impact</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 confirmed affected product unless stated in the evidence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Finding owner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Sara Neri, Shift Manager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Target closure date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2026-05-15</w:t>
            </w:r>
          </w:p>
        </w:tc>
      </w:tr>
    </w:tbl>
    <w:p>
      <w:pPr>
        <w:pStyle w:val="Heading2"/>
      </w:pPr>
      <w:r>
        <w:t>Observed condition</w:t>
      </w:r>
    </w:p>
    <w:p>
      <w:r>
        <w:t>Four rework containers in the chilled staging area displayed production date and product family but not the approved use-by time or allergen status.</w:t>
      </w:r>
    </w:p>
    <w:p>
      <w:pPr>
        <w:pStyle w:val="Heading2"/>
      </w:pPr>
      <w:r>
        <w:t>Supporting evidence</w:t>
      </w:r>
    </w:p>
    <w:p>
      <w:pPr>
        <w:pStyle w:val="ListBullet"/>
        <w:spacing w:after="60"/>
      </w:pPr>
      <w:r>
        <w:t>ERP records contained the missing data and allowed full reconciliation.</w:t>
      </w:r>
    </w:p>
    <w:p>
      <w:pPr>
        <w:pStyle w:val="ListBullet"/>
        <w:spacing w:after="60"/>
      </w:pPr>
      <w:r>
        <w:t>All four containers remained within the approved eight-hour rework window.</w:t>
      </w:r>
    </w:p>
    <w:p>
      <w:pPr>
        <w:pStyle w:val="ListBullet"/>
        <w:spacing w:after="60"/>
      </w:pPr>
      <w:r>
        <w:t>Two different label templates were in use.</w:t>
      </w:r>
    </w:p>
    <w:p>
      <w:pPr>
        <w:pStyle w:val="Heading2"/>
      </w:pPr>
      <w:r>
        <w:t>Applicable requirement</w:t>
      </w:r>
    </w:p>
    <w:p>
      <w:r>
        <w:t>AFG Rework Procedure 2.6 section 4.1</w:t>
      </w:r>
    </w:p>
    <w:p>
      <w:pPr>
        <w:pStyle w:val="Heading2"/>
      </w:pPr>
      <w:r>
        <w:t>Cause assessment</w:t>
      </w:r>
    </w:p>
    <w:p>
      <w:r>
        <w:t>A locally created label remained available after the corporate template was issued.</w:t>
      </w:r>
    </w:p>
    <w:p>
      <w:pPr>
        <w:pStyle w:val="Heading2"/>
      </w:pPr>
      <w:r>
        <w:t>Immediate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CR-2603-01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Relabel all open rework containers</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center"/>
            </w:pPr>
            <w:r/>
            <w:r>
              <w:rPr>
                <w:rFonts w:ascii="Arial" w:hAnsi="Arial"/>
                <w:b w:val="0"/>
                <w:color w:val="000000"/>
                <w:sz w:val="13"/>
              </w:rPr>
              <w:t>Sara Neri, Shift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2026-04-17</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2026-05-17</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bl>
    <w:p>
      <w:pPr>
        <w:pStyle w:val="Heading2"/>
      </w:pPr>
      <w:r>
        <w:t>Corrective and preventive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CA-2603-01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Remove obsolete label stock and lock printing to the approved template</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Paolo Riva, Operations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2026-05-08</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2026-06-07</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r>
        <w:tc>
          <w:tcPr>
            <w:tcW w:type="dxa" w:w="1247"/>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CA-2603-02</w:t>
            </w:r>
          </w:p>
        </w:tc>
        <w:tc>
          <w:tcPr>
            <w:tcW w:type="dxa" w:w="232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Add rework label verification to layered process audits</w:t>
            </w:r>
          </w:p>
        </w:tc>
        <w:tc>
          <w:tcPr>
            <w:tcW w:type="dxa" w:w="1361"/>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Elena Monti, Quality Manager</w:t>
            </w:r>
          </w:p>
        </w:tc>
        <w:tc>
          <w:tcPr>
            <w:tcW w:type="dxa" w:w="96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2026-05-15</w:t>
            </w:r>
          </w:p>
        </w:tc>
        <w:tc>
          <w:tcPr>
            <w:tcW w:type="dxa" w:w="1020"/>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2026-06-14</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Open</w:t>
            </w:r>
          </w:p>
        </w:tc>
      </w:tr>
    </w:tbl>
    <w:p>
      <w:pPr>
        <w:pStyle w:val="Heading2"/>
      </w:pPr>
      <w:r>
        <w:t>Follow-up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Proposed verification method</w:t>
            </w:r>
          </w:p>
        </w:tc>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Closure evidence expected</w:t>
            </w:r>
          </w:p>
        </w:tc>
      </w:tr>
      <w:tr>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Review implementation records and test the control through targeted sampling.</w:t>
            </w:r>
          </w:p>
        </w:tc>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Approved records, objective evidence and accountable owner sign-off.</w:t>
            </w:r>
          </w:p>
        </w:tc>
      </w:tr>
    </w:tbl>
    <w:p>
      <w:pPr>
        <w:pStyle w:val="Heading1"/>
        <w:pageBreakBefore/>
      </w:pPr>
      <w:r>
        <w:t>FINDING 04  |  AFG-RA-2604</w:t>
      </w:r>
    </w:p>
    <w:p>
      <w:pPr>
        <w:pStyle w:val="Heading2"/>
      </w:pPr>
      <w:r>
        <w:t>Operator Induction and Skills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192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 rating</w:t>
            </w:r>
          </w:p>
        </w:tc>
        <w:tc>
          <w:tcPr>
            <w:tcW w:type="dxa" w:w="3685"/>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Control focus</w:t>
            </w:r>
          </w:p>
        </w:tc>
        <w:tc>
          <w:tcPr>
            <w:tcW w:type="dxa" w:w="3798"/>
            <w:vAlign w:val="center"/>
            <w:tcMar>
              <w:top w:w="80" w:type="dxa"/>
              <w:start w:w="105" w:type="dxa"/>
              <w:bottom w:w="80" w:type="dxa"/>
              <w:end w:w="105" w:type="dxa"/>
            </w:tcMar>
            <w:shd w:fill="26342C"/>
          </w:tcPr>
          <w:p>
            <w:pPr>
              <w:spacing w:before="0" w:after="0"/>
              <w:jc w:val="center"/>
            </w:pPr>
            <w:r/>
            <w:r>
              <w:rPr>
                <w:rFonts w:ascii="Arial" w:hAnsi="Arial"/>
                <w:b/>
                <w:color w:val="FFFFFF"/>
                <w:sz w:val="16"/>
              </w:rPr>
              <w:t>Evidence type</w:t>
            </w:r>
          </w:p>
        </w:tc>
      </w:tr>
      <w:tr>
        <w:tc>
          <w:tcPr>
            <w:tcW w:type="dxa" w:w="1928"/>
            <w:vAlign w:val="center"/>
            <w:tcMar>
              <w:top w:w="80" w:type="dxa"/>
              <w:start w:w="105" w:type="dxa"/>
              <w:bottom w:w="80" w:type="dxa"/>
              <w:end w:w="105" w:type="dxa"/>
            </w:tcMar>
          </w:tcPr>
          <w:p>
            <w:pPr>
              <w:spacing w:before="0" w:after="0"/>
              <w:jc w:val="left"/>
            </w:pPr>
            <w:r/>
            <w:r>
              <w:rPr>
                <w:rFonts w:ascii="Arial" w:hAnsi="Arial"/>
                <w:b w:val="0"/>
                <w:color w:val="000000"/>
                <w:sz w:val="16"/>
              </w:rPr>
              <w:t>Minor Gaps</w:t>
            </w:r>
          </w:p>
        </w:tc>
        <w:tc>
          <w:tcPr>
            <w:tcW w:type="dxa" w:w="3685"/>
            <w:vAlign w:val="center"/>
            <w:tcMar>
              <w:top w:w="80" w:type="dxa"/>
              <w:start w:w="105" w:type="dxa"/>
              <w:bottom w:w="80" w:type="dxa"/>
              <w:end w:w="105" w:type="dxa"/>
            </w:tcMar>
          </w:tcPr>
          <w:p>
            <w:pPr>
              <w:spacing w:before="0" w:after="0"/>
              <w:jc w:val="left"/>
            </w:pPr>
            <w:r/>
            <w:r>
              <w:rPr>
                <w:rFonts w:ascii="Arial" w:hAnsi="Arial"/>
                <w:b w:val="0"/>
                <w:color w:val="000000"/>
                <w:sz w:val="16"/>
              </w:rPr>
              <w:t>Training effectiveness for temporary staff</w:t>
            </w:r>
          </w:p>
        </w:tc>
        <w:tc>
          <w:tcPr>
            <w:tcW w:type="dxa" w:w="3798"/>
            <w:vAlign w:val="center"/>
            <w:tcMar>
              <w:top w:w="80" w:type="dxa"/>
              <w:start w:w="105" w:type="dxa"/>
              <w:bottom w:w="80" w:type="dxa"/>
              <w:end w:w="105" w:type="dxa"/>
            </w:tcMar>
          </w:tcPr>
          <w:p>
            <w:pPr>
              <w:spacing w:before="0" w:after="0"/>
              <w:jc w:val="left"/>
            </w:pPr>
            <w:r/>
            <w:r>
              <w:rPr>
                <w:rFonts w:ascii="Arial" w:hAnsi="Arial"/>
                <w:b w:val="0"/>
                <w:color w:val="000000"/>
                <w:sz w:val="16"/>
              </w:rPr>
              <w:t>Records, interviews and operational evidence</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Risk level</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Medium</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Affected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People Competence Training and Awareness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Detection method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Audit sampling and direct verification</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Repeat finding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Product impact</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 confirmed affected product unless stated in the evidence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Finding owner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Sara Neri, Shift Manager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Target closure date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2026-06-15</w:t>
            </w:r>
          </w:p>
        </w:tc>
      </w:tr>
    </w:tbl>
    <w:p>
      <w:pPr>
        <w:pStyle w:val="Heading2"/>
      </w:pPr>
      <w:r>
        <w:t>Observed condition</w:t>
      </w:r>
    </w:p>
    <w:p>
      <w:r>
        <w:t>Training records showed completion for temporary packaging operators, but practical understanding of foreign-material escalation was inconsistent.</w:t>
      </w:r>
    </w:p>
    <w:p>
      <w:pPr>
        <w:pStyle w:val="Heading2"/>
      </w:pPr>
      <w:r>
        <w:t>Supporting evidence</w:t>
      </w:r>
    </w:p>
    <w:p>
      <w:pPr>
        <w:pStyle w:val="ListBullet"/>
        <w:spacing w:after="60"/>
      </w:pPr>
      <w:r>
        <w:t>Two of six interviewed temporary operators could not identify the quarantine location.</w:t>
      </w:r>
    </w:p>
    <w:p>
      <w:pPr>
        <w:pStyle w:val="ListBullet"/>
        <w:spacing w:after="60"/>
      </w:pPr>
      <w:r>
        <w:t>One operator described disposing of a damaged knife rather than preserving it for reconciliation.</w:t>
      </w:r>
    </w:p>
    <w:p>
      <w:pPr>
        <w:pStyle w:val="ListBullet"/>
        <w:spacing w:after="60"/>
      </w:pPr>
      <w:r>
        <w:t>No foreign-material events were open at the time of audit.</w:t>
      </w:r>
    </w:p>
    <w:p>
      <w:pPr>
        <w:pStyle w:val="Heading2"/>
      </w:pPr>
      <w:r>
        <w:t>Applicable requirement</w:t>
      </w:r>
    </w:p>
    <w:p>
      <w:r>
        <w:t>AFG People Competence Standard 1.8 section 6.2</w:t>
      </w:r>
    </w:p>
    <w:p>
      <w:pPr>
        <w:pStyle w:val="Heading2"/>
      </w:pPr>
      <w:r>
        <w:t>Cause assessment</w:t>
      </w:r>
    </w:p>
    <w:p>
      <w:r>
        <w:t>Training completion was measured through attendance and a short quiz without workplace observation.</w:t>
      </w:r>
    </w:p>
    <w:p>
      <w:pPr>
        <w:pStyle w:val="Heading2"/>
      </w:pPr>
      <w:r>
        <w:t>Immediate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CR-2604-01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Brief all temporary personnel on escalation and quarantine</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center"/>
            </w:pPr>
            <w:r/>
            <w:r>
              <w:rPr>
                <w:rFonts w:ascii="Arial" w:hAnsi="Arial"/>
                <w:b w:val="0"/>
                <w:color w:val="000000"/>
                <w:sz w:val="13"/>
              </w:rPr>
              <w:t>Sara Neri, Shift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2026-04-20</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2026-05-20</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bl>
    <w:p>
      <w:pPr>
        <w:pStyle w:val="Heading2"/>
      </w:pPr>
      <w:r>
        <w:t>Corrective and preventive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CA-2604-01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Add observed workplace verification after initial training</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center"/>
            </w:pPr>
            <w:r/>
            <w:r>
              <w:rPr>
                <w:rFonts w:ascii="Arial" w:hAnsi="Arial"/>
                <w:b w:val="0"/>
                <w:color w:val="000000"/>
                <w:sz w:val="13"/>
              </w:rPr>
              <w:t>Chiara Valli, HR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2026-05-31</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2026-06-30</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r>
        <w:tc>
          <w:tcPr>
            <w:tcW w:type="dxa" w:w="1247"/>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CA-2604-02</w:t>
            </w:r>
          </w:p>
        </w:tc>
        <w:tc>
          <w:tcPr>
            <w:tcW w:type="dxa" w:w="232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Review agency onboarding requirements and trainer qualification</w:t>
            </w:r>
          </w:p>
        </w:tc>
        <w:tc>
          <w:tcPr>
            <w:tcW w:type="dxa" w:w="1361"/>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Chiara Valli, HR Manager</w:t>
            </w:r>
          </w:p>
        </w:tc>
        <w:tc>
          <w:tcPr>
            <w:tcW w:type="dxa" w:w="96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2026-06-15</w:t>
            </w:r>
          </w:p>
        </w:tc>
        <w:tc>
          <w:tcPr>
            <w:tcW w:type="dxa" w:w="1020"/>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2026-07-15</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Open</w:t>
            </w:r>
          </w:p>
        </w:tc>
      </w:tr>
    </w:tbl>
    <w:p>
      <w:pPr>
        <w:pStyle w:val="Heading2"/>
      </w:pPr>
      <w:r>
        <w:t>Follow-up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Proposed verification method</w:t>
            </w:r>
          </w:p>
        </w:tc>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Closure evidence expected</w:t>
            </w:r>
          </w:p>
        </w:tc>
      </w:tr>
      <w:tr>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Review implementation records and test the control through targeted sampling.</w:t>
            </w:r>
          </w:p>
        </w:tc>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Approved records, objective evidence and accountable owner sign-off.</w:t>
            </w:r>
          </w:p>
        </w:tc>
      </w:tr>
    </w:tbl>
    <w:p>
      <w:pPr>
        <w:pStyle w:val="Heading1"/>
        <w:pageBreakBefore/>
      </w:pPr>
      <w:r>
        <w:t>FINDING 05  |  AFG-RA-2605</w:t>
      </w:r>
    </w:p>
    <w:p>
      <w:pPr>
        <w:pStyle w:val="Heading2"/>
      </w:pPr>
      <w:r>
        <w:t>Personnel Hygiene and Operational Discipline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192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 rating</w:t>
            </w:r>
          </w:p>
        </w:tc>
        <w:tc>
          <w:tcPr>
            <w:tcW w:type="dxa" w:w="3685"/>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Control focus</w:t>
            </w:r>
          </w:p>
        </w:tc>
        <w:tc>
          <w:tcPr>
            <w:tcW w:type="dxa" w:w="3798"/>
            <w:vAlign w:val="center"/>
            <w:tcMar>
              <w:top w:w="80" w:type="dxa"/>
              <w:start w:w="105" w:type="dxa"/>
              <w:bottom w:w="80" w:type="dxa"/>
              <w:end w:w="105" w:type="dxa"/>
            </w:tcMar>
            <w:shd w:fill="26342C"/>
          </w:tcPr>
          <w:p>
            <w:pPr>
              <w:spacing w:before="0" w:after="0"/>
              <w:jc w:val="center"/>
            </w:pPr>
            <w:r/>
            <w:r>
              <w:rPr>
                <w:rFonts w:ascii="Arial" w:hAnsi="Arial"/>
                <w:b/>
                <w:color w:val="FFFFFF"/>
                <w:sz w:val="16"/>
              </w:rPr>
              <w:t>Evidence type</w:t>
            </w:r>
          </w:p>
        </w:tc>
      </w:tr>
      <w:tr>
        <w:tc>
          <w:tcPr>
            <w:tcW w:type="dxa" w:w="1928"/>
            <w:vAlign w:val="center"/>
            <w:tcMar>
              <w:top w:w="80" w:type="dxa"/>
              <w:start w:w="105" w:type="dxa"/>
              <w:bottom w:w="80" w:type="dxa"/>
              <w:end w:w="105" w:type="dxa"/>
            </w:tcMar>
          </w:tcPr>
          <w:p>
            <w:pPr>
              <w:spacing w:before="0" w:after="0"/>
              <w:jc w:val="left"/>
            </w:pPr>
            <w:r/>
            <w:r>
              <w:rPr>
                <w:rFonts w:ascii="Arial" w:hAnsi="Arial"/>
                <w:b w:val="0"/>
                <w:color w:val="000000"/>
                <w:sz w:val="16"/>
              </w:rPr>
              <w:t>Minor Gaps</w:t>
            </w:r>
          </w:p>
        </w:tc>
        <w:tc>
          <w:tcPr>
            <w:tcW w:type="dxa" w:w="3685"/>
            <w:vAlign w:val="center"/>
            <w:tcMar>
              <w:top w:w="80" w:type="dxa"/>
              <w:start w:w="105" w:type="dxa"/>
              <w:bottom w:w="80" w:type="dxa"/>
              <w:end w:w="105" w:type="dxa"/>
            </w:tcMar>
          </w:tcPr>
          <w:p>
            <w:pPr>
              <w:spacing w:before="0" w:after="0"/>
              <w:jc w:val="left"/>
            </w:pPr>
            <w:r/>
            <w:r>
              <w:rPr>
                <w:rFonts w:ascii="Arial" w:hAnsi="Arial"/>
                <w:b w:val="0"/>
                <w:color w:val="000000"/>
                <w:sz w:val="16"/>
              </w:rPr>
              <w:t>Personnel and utensil practices</w:t>
            </w:r>
          </w:p>
        </w:tc>
        <w:tc>
          <w:tcPr>
            <w:tcW w:type="dxa" w:w="3798"/>
            <w:vAlign w:val="center"/>
            <w:tcMar>
              <w:top w:w="80" w:type="dxa"/>
              <w:start w:w="105" w:type="dxa"/>
              <w:bottom w:w="80" w:type="dxa"/>
              <w:end w:w="105" w:type="dxa"/>
            </w:tcMar>
          </w:tcPr>
          <w:p>
            <w:pPr>
              <w:spacing w:before="0" w:after="0"/>
              <w:jc w:val="left"/>
            </w:pPr>
            <w:r/>
            <w:r>
              <w:rPr>
                <w:rFonts w:ascii="Arial" w:hAnsi="Arial"/>
                <w:b w:val="0"/>
                <w:color w:val="000000"/>
                <w:sz w:val="16"/>
              </w:rPr>
              <w:t>Records, interviews and operational evidence</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Risk level</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Medium</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Affected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Good Manufacturing Practices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Detection method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Audit sampling and direct verification</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Repeat finding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Product impact</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 confirmed affected product unless stated in the evidence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Finding owner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Davide Conti, Maintenance Manager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Target closure date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2026-04-30</w:t>
            </w:r>
          </w:p>
        </w:tc>
      </w:tr>
    </w:tbl>
    <w:p>
      <w:pPr>
        <w:pStyle w:val="Heading2"/>
      </w:pPr>
      <w:r>
        <w:t>Observed condition</w:t>
      </w:r>
    </w:p>
    <w:p>
      <w:r>
        <w:t>A maintenance technician placed a sanitized guard on an unprotected trolley shelf during a planned intervention in the high-care area.</w:t>
      </w:r>
    </w:p>
    <w:p>
      <w:pPr>
        <w:pStyle w:val="Heading2"/>
      </w:pPr>
      <w:r>
        <w:t>Supporting evidence</w:t>
      </w:r>
    </w:p>
    <w:p>
      <w:pPr>
        <w:pStyle w:val="ListBullet"/>
        <w:spacing w:after="60"/>
      </w:pPr>
      <w:r>
        <w:t>The guard was resanitized before installation.</w:t>
      </w:r>
    </w:p>
    <w:p>
      <w:pPr>
        <w:pStyle w:val="ListBullet"/>
        <w:spacing w:after="60"/>
      </w:pPr>
      <w:r>
        <w:t>The maintenance kit did not contain a clean barrier mat.</w:t>
      </w:r>
    </w:p>
    <w:p>
      <w:pPr>
        <w:pStyle w:val="ListBullet"/>
        <w:spacing w:after="60"/>
      </w:pPr>
      <w:r>
        <w:t>Equivalent kits on two other lines contained the required barrier.</w:t>
      </w:r>
    </w:p>
    <w:p>
      <w:pPr>
        <w:pStyle w:val="Heading2"/>
      </w:pPr>
      <w:r>
        <w:t>Applicable requirement</w:t>
      </w:r>
    </w:p>
    <w:p>
      <w:r>
        <w:t>AFG GMP Standard 5.0 section 8.6</w:t>
      </w:r>
    </w:p>
    <w:p>
      <w:pPr>
        <w:pStyle w:val="Heading2"/>
      </w:pPr>
      <w:r>
        <w:t>Cause assessment</w:t>
      </w:r>
    </w:p>
    <w:p>
      <w:r>
        <w:t>The high-care maintenance kit had been replenished without a completeness check.</w:t>
      </w:r>
    </w:p>
    <w:p>
      <w:pPr>
        <w:pStyle w:val="Heading2"/>
      </w:pPr>
      <w:r>
        <w:t>Immediate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CR-2605-01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Resanitize the component and replenish the kit</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Davide Conti, Maintenance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2026-04-16</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2026-05-16</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bl>
    <w:p>
      <w:pPr>
        <w:pStyle w:val="Heading2"/>
      </w:pPr>
      <w:r>
        <w:t>Corrective and preventive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CA-2605-01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Introduce weekly kit checks with recorded verification</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Davide Conti, Maintenance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2026-04-30</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2026-05-30</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bl>
    <w:p>
      <w:pPr>
        <w:pStyle w:val="Heading2"/>
      </w:pPr>
      <w:r>
        <w:t>Follow-up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Proposed verification method</w:t>
            </w:r>
          </w:p>
        </w:tc>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Closure evidence expected</w:t>
            </w:r>
          </w:p>
        </w:tc>
      </w:tr>
      <w:tr>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Review implementation records and test the control through targeted sampling.</w:t>
            </w:r>
          </w:p>
        </w:tc>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Approved records, objective evidence and accountable owner sign-off.</w:t>
            </w:r>
          </w:p>
        </w:tc>
      </w:tr>
    </w:tbl>
    <w:p>
      <w:pPr>
        <w:pStyle w:val="Heading1"/>
        <w:pageBreakBefore/>
      </w:pPr>
      <w:r>
        <w:t>FINDING 06  |  AFG-RA-2606</w:t>
      </w:r>
    </w:p>
    <w:p>
      <w:pPr>
        <w:pStyle w:val="Heading2"/>
      </w:pPr>
      <w:r>
        <w:t>Root Cause and Action Closure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192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 rating</w:t>
            </w:r>
          </w:p>
        </w:tc>
        <w:tc>
          <w:tcPr>
            <w:tcW w:type="dxa" w:w="3685"/>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Control focus</w:t>
            </w:r>
          </w:p>
        </w:tc>
        <w:tc>
          <w:tcPr>
            <w:tcW w:type="dxa" w:w="3798"/>
            <w:vAlign w:val="center"/>
            <w:tcMar>
              <w:top w:w="80" w:type="dxa"/>
              <w:start w:w="105" w:type="dxa"/>
              <w:bottom w:w="80" w:type="dxa"/>
              <w:end w:w="105" w:type="dxa"/>
            </w:tcMar>
            <w:shd w:fill="26342C"/>
          </w:tcPr>
          <w:p>
            <w:pPr>
              <w:spacing w:before="0" w:after="0"/>
              <w:jc w:val="center"/>
            </w:pPr>
            <w:r/>
            <w:r>
              <w:rPr>
                <w:rFonts w:ascii="Arial" w:hAnsi="Arial"/>
                <w:b/>
                <w:color w:val="FFFFFF"/>
                <w:sz w:val="16"/>
              </w:rPr>
              <w:t>Evidence type</w:t>
            </w:r>
          </w:p>
        </w:tc>
      </w:tr>
      <w:tr>
        <w:tc>
          <w:tcPr>
            <w:tcW w:type="dxa" w:w="1928"/>
            <w:vAlign w:val="center"/>
            <w:tcMar>
              <w:top w:w="80" w:type="dxa"/>
              <w:start w:w="105" w:type="dxa"/>
              <w:bottom w:w="80" w:type="dxa"/>
              <w:end w:w="105" w:type="dxa"/>
            </w:tcMar>
          </w:tcPr>
          <w:p>
            <w:pPr>
              <w:spacing w:before="0" w:after="0"/>
              <w:jc w:val="left"/>
            </w:pPr>
            <w:r/>
            <w:r>
              <w:rPr>
                <w:rFonts w:ascii="Arial" w:hAnsi="Arial"/>
                <w:b w:val="0"/>
                <w:color w:val="000000"/>
                <w:sz w:val="16"/>
              </w:rPr>
              <w:t>Minor Gaps</w:t>
            </w:r>
          </w:p>
        </w:tc>
        <w:tc>
          <w:tcPr>
            <w:tcW w:type="dxa" w:w="3685"/>
            <w:vAlign w:val="center"/>
            <w:tcMar>
              <w:top w:w="80" w:type="dxa"/>
              <w:start w:w="105" w:type="dxa"/>
              <w:bottom w:w="80" w:type="dxa"/>
              <w:end w:w="105" w:type="dxa"/>
            </w:tcMar>
          </w:tcPr>
          <w:p>
            <w:pPr>
              <w:spacing w:before="0" w:after="0"/>
              <w:jc w:val="left"/>
            </w:pPr>
            <w:r/>
            <w:r>
              <w:rPr>
                <w:rFonts w:ascii="Arial" w:hAnsi="Arial"/>
                <w:b w:val="0"/>
                <w:color w:val="000000"/>
                <w:sz w:val="16"/>
              </w:rPr>
              <w:t>CAPA effectiveness verification</w:t>
            </w:r>
          </w:p>
        </w:tc>
        <w:tc>
          <w:tcPr>
            <w:tcW w:type="dxa" w:w="3798"/>
            <w:vAlign w:val="center"/>
            <w:tcMar>
              <w:top w:w="80" w:type="dxa"/>
              <w:start w:w="105" w:type="dxa"/>
              <w:bottom w:w="80" w:type="dxa"/>
              <w:end w:w="105" w:type="dxa"/>
            </w:tcMar>
          </w:tcPr>
          <w:p>
            <w:pPr>
              <w:spacing w:before="0" w:after="0"/>
              <w:jc w:val="left"/>
            </w:pPr>
            <w:r/>
            <w:r>
              <w:rPr>
                <w:rFonts w:ascii="Arial" w:hAnsi="Arial"/>
                <w:b w:val="0"/>
                <w:color w:val="000000"/>
                <w:sz w:val="16"/>
              </w:rPr>
              <w:t>Records, interviews and operational evidence</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Risk level</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Medium</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Affected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Corrective and Preventive Action Management</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Detection method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Audit sampling and direct verification</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Repeat finding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Product impact</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 confirmed affected product unless stated in the evidence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Finding owner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Elena Monti, Quality Manager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Target closure date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2026-06-30</w:t>
            </w:r>
          </w:p>
        </w:tc>
      </w:tr>
    </w:tbl>
    <w:p>
      <w:pPr>
        <w:pStyle w:val="Heading2"/>
      </w:pPr>
      <w:r>
        <w:t>Observed condition</w:t>
      </w:r>
    </w:p>
    <w:p>
      <w:r>
        <w:t>Three CAPAs were closed on evidence of action completion without verifying that the original failure had not recurred.</w:t>
      </w:r>
    </w:p>
    <w:p>
      <w:pPr>
        <w:pStyle w:val="Heading2"/>
      </w:pPr>
      <w:r>
        <w:t>Supporting evidence</w:t>
      </w:r>
    </w:p>
    <w:p>
      <w:pPr>
        <w:pStyle w:val="ListBullet"/>
        <w:spacing w:after="60"/>
      </w:pPr>
      <w:r>
        <w:t>The affected CAPAs related to label reconciliation, floor drain inspection and contractor GMP induction.</w:t>
      </w:r>
    </w:p>
    <w:p>
      <w:pPr>
        <w:pStyle w:val="ListBullet"/>
        <w:spacing w:after="60"/>
      </w:pPr>
      <w:r>
        <w:t>Subsequent records showed no recurrence, but this evidence was gathered only during the audit.</w:t>
      </w:r>
    </w:p>
    <w:p>
      <w:pPr>
        <w:pStyle w:val="ListBullet"/>
        <w:spacing w:after="60"/>
      </w:pPr>
      <w:r>
        <w:t>The electronic workflow allowed closure with a blank effectiveness date.</w:t>
      </w:r>
    </w:p>
    <w:p>
      <w:pPr>
        <w:pStyle w:val="Heading2"/>
      </w:pPr>
      <w:r>
        <w:t>Applicable requirement</w:t>
      </w:r>
    </w:p>
    <w:p>
      <w:r>
        <w:t>AFG CAPA Standard 2.3 section 7.1</w:t>
      </w:r>
    </w:p>
    <w:p>
      <w:pPr>
        <w:pStyle w:val="Heading2"/>
      </w:pPr>
      <w:r>
        <w:t>Cause assessment</w:t>
      </w:r>
    </w:p>
    <w:p>
      <w:r>
        <w:t>The workflow distinguished correction from corrective action but did not make effectiveness verification mandatory.</w:t>
      </w:r>
    </w:p>
    <w:p>
      <w:pPr>
        <w:pStyle w:val="Heading2"/>
      </w:pPr>
      <w:r>
        <w:t>Immediate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CR-2606-01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Reopen the three CAPAs and document effectiveness evidence</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Elena Monti, Quality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2026-04-30</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2026-05-30</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bl>
    <w:p>
      <w:pPr>
        <w:pStyle w:val="Heading2"/>
      </w:pPr>
      <w:r>
        <w:t>Corrective and preventive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CA-2606-01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Make effectiveness owner, method and due date mandatory in the workflow</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center"/>
            </w:pPr>
            <w:r/>
            <w:r>
              <w:rPr>
                <w:rFonts w:ascii="Arial" w:hAnsi="Arial"/>
                <w:b w:val="0"/>
                <w:color w:val="000000"/>
                <w:sz w:val="13"/>
              </w:rPr>
              <w:t>Andrea Fabbri, QMS Owner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2026-06-15</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2026-07-15</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r>
        <w:tc>
          <w:tcPr>
            <w:tcW w:type="dxa" w:w="1247"/>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CA-2606-02</w:t>
            </w:r>
          </w:p>
        </w:tc>
        <w:tc>
          <w:tcPr>
            <w:tcW w:type="dxa" w:w="232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Review all CAPAs closed in the previous six months</w:t>
            </w:r>
          </w:p>
        </w:tc>
        <w:tc>
          <w:tcPr>
            <w:tcW w:type="dxa" w:w="1361"/>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Andrea Fabbri, QMS Owner</w:t>
            </w:r>
          </w:p>
        </w:tc>
        <w:tc>
          <w:tcPr>
            <w:tcW w:type="dxa" w:w="96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2026-06-30</w:t>
            </w:r>
          </w:p>
        </w:tc>
        <w:tc>
          <w:tcPr>
            <w:tcW w:type="dxa" w:w="1020"/>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2026-07-30</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Open</w:t>
            </w:r>
          </w:p>
        </w:tc>
      </w:tr>
    </w:tbl>
    <w:p>
      <w:pPr>
        <w:pStyle w:val="Heading2"/>
      </w:pPr>
      <w:r>
        <w:t>Follow-up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Proposed verification method</w:t>
            </w:r>
          </w:p>
        </w:tc>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Closure evidence expected</w:t>
            </w:r>
          </w:p>
        </w:tc>
      </w:tr>
      <w:tr>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Review implementation records and test the control through targeted sampling.</w:t>
            </w:r>
          </w:p>
        </w:tc>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Approved records, objective evidence and accountable owner sign-off.</w:t>
            </w:r>
          </w:p>
        </w:tc>
      </w:tr>
    </w:tbl>
    <w:p>
      <w:pPr>
        <w:pStyle w:val="Heading1"/>
      </w:pPr>
      <w:r>
        <w:t>Entity and audit profile</w:t>
      </w:r>
    </w:p>
    <w:p>
      <w:pPr>
        <w:pStyle w:val="Heading2"/>
      </w:pPr>
      <w:r>
        <w:t>Facility profile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Entity type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Manufacturing plant</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Country</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Italy</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Address</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Via delle Industrie 18, Ravenna, Italy</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Facility size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38,600 m2</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Annual volume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84,500 tonnes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Operating assets</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9 cooking and packaging lines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Employees</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412</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Markets served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European Union and United Kingdom</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Certificates held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FSSC 22000, ISO 9001, ISO 14001</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Entity specifics</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The entity handles chilled pasta meals, sauces and filled pasta. The reviewed scope covered relevant operational and supporting controls.</w:t>
            </w:r>
          </w:p>
        </w:tc>
      </w:tr>
    </w:tbl>
    <w:p>
      <w:pPr>
        <w:pStyle w:val="Heading2"/>
      </w:pPr>
      <w:r>
        <w:t>Audit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Audit type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Periodic on-site audit</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Audit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Assessment against Arboris Foods Group food safety and quality requirements and applicable entity controls.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Audit team</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Laura Conti, Lead Auditor; Daniel Meyer, Auditor; Sofia Marin, Auditor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Draft report released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2026-04-27</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Final report released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2026-05-08</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Report reviewer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Amelia Novak, Group Audit Director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Report approver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Martin Keller, Group Quality Vice President</w:t>
            </w:r>
          </w:p>
        </w:tc>
      </w:tr>
    </w:tbl>
    <w:p>
      <w:r>
        <w:br w:type="page"/>
      </w:r>
    </w:p>
    <w:p>
      <w:pPr>
        <w:pStyle w:val="Heading1"/>
      </w:pPr>
      <w:r>
        <w:t>Audit approach and sampling</w:t>
      </w:r>
    </w:p>
    <w:p>
      <w:r>
        <w:t>The audit was performed over 5 days through document review, process observation, personnel interviews and record sampling across the functions relevant to the audit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Audit duration</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5 days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Shifts observed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Day shift and selected off-shift activities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Areas visited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Operations, storage, hygiene, maintenance and quality support areas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Personnel interviewed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18 employees and managers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Records sampled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Risk-based sample of operational, verification, training and action records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Opening meeting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2026-04-13, with entity management</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Closing meeting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2026-04-17, with entity management</w:t>
            </w:r>
          </w:p>
        </w:tc>
      </w:tr>
    </w:tbl>
    <w:p>
      <w:pPr>
        <w:pStyle w:val="Heading2"/>
      </w:pPr>
      <w:r>
        <w:t>Status of previous audit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2948"/>
            <w:vAlign w:val="center"/>
            <w:tcMar>
              <w:top w:w="80" w:type="dxa"/>
              <w:start w:w="105" w:type="dxa"/>
              <w:bottom w:w="80" w:type="dxa"/>
              <w:end w:w="105" w:type="dxa"/>
            </w:tcMar>
            <w:shd w:fill="26342C"/>
          </w:tcPr>
          <w:p>
            <w:pPr>
              <w:spacing w:before="0" w:after="0"/>
              <w:jc w:val="center"/>
            </w:pPr>
            <w:r/>
            <w:r>
              <w:rPr>
                <w:rFonts w:ascii="Arial" w:hAnsi="Arial"/>
                <w:b/>
                <w:color w:val="FFFFFF"/>
                <w:sz w:val="16"/>
              </w:rPr>
              <w:t>Previous audit area</w:t>
            </w:r>
          </w:p>
        </w:tc>
        <w:tc>
          <w:tcPr>
            <w:tcW w:type="dxa" w:w="2041"/>
            <w:vAlign w:val="center"/>
            <w:tcMar>
              <w:top w:w="80" w:type="dxa"/>
              <w:start w:w="105" w:type="dxa"/>
              <w:bottom w:w="80" w:type="dxa"/>
              <w:end w:w="105" w:type="dxa"/>
            </w:tcMar>
            <w:shd w:fill="26342C"/>
          </w:tcPr>
          <w:p>
            <w:pPr>
              <w:spacing w:before="0" w:after="0"/>
              <w:jc w:val="center"/>
            </w:pPr>
            <w:r/>
            <w:r>
              <w:rPr>
                <w:rFonts w:ascii="Arial" w:hAnsi="Arial"/>
                <w:b/>
                <w:color w:val="FFFFFF"/>
                <w:sz w:val="16"/>
              </w:rPr>
              <w:t>Action status</w:t>
            </w:r>
          </w:p>
        </w:tc>
        <w:tc>
          <w:tcPr>
            <w:tcW w:type="dxa" w:w="4422"/>
            <w:vAlign w:val="center"/>
            <w:tcMar>
              <w:top w:w="80" w:type="dxa"/>
              <w:start w:w="105" w:type="dxa"/>
              <w:bottom w:w="80" w:type="dxa"/>
              <w:end w:w="105" w:type="dxa"/>
            </w:tcMar>
            <w:shd w:fill="26342C"/>
          </w:tcPr>
          <w:p>
            <w:pPr>
              <w:spacing w:before="0" w:after="0"/>
              <w:jc w:val="center"/>
            </w:pPr>
            <w:r/>
            <w:r>
              <w:rPr>
                <w:rFonts w:ascii="Arial" w:hAnsi="Arial"/>
                <w:b/>
                <w:color w:val="FFFFFF"/>
                <w:sz w:val="16"/>
              </w:rPr>
              <w:t>Verification outcome</w:t>
            </w:r>
          </w:p>
        </w:tc>
      </w:tr>
      <w:tr>
        <w:tc>
          <w:tcPr>
            <w:tcW w:type="dxa" w:w="2948"/>
            <w:vAlign w:val="center"/>
            <w:tcMar>
              <w:top w:w="80" w:type="dxa"/>
              <w:start w:w="105" w:type="dxa"/>
              <w:bottom w:w="80" w:type="dxa"/>
              <w:end w:w="105" w:type="dxa"/>
            </w:tcMar>
          </w:tcPr>
          <w:p>
            <w:pPr>
              <w:spacing w:before="0" w:after="0"/>
              <w:jc w:val="left"/>
            </w:pPr>
            <w:r/>
            <w:r>
              <w:rPr>
                <w:rFonts w:ascii="Arial" w:hAnsi="Arial"/>
                <w:b w:val="0"/>
                <w:color w:val="000000"/>
                <w:sz w:val="16"/>
              </w:rPr>
              <w:t>Previous action sample</w:t>
            </w:r>
          </w:p>
        </w:tc>
        <w:tc>
          <w:tcPr>
            <w:tcW w:type="dxa" w:w="2041"/>
            <w:vAlign w:val="center"/>
            <w:tcMar>
              <w:top w:w="80" w:type="dxa"/>
              <w:start w:w="105" w:type="dxa"/>
              <w:bottom w:w="80" w:type="dxa"/>
              <w:end w:w="105" w:type="dxa"/>
            </w:tcMar>
          </w:tcPr>
          <w:p>
            <w:pPr>
              <w:spacing w:before="0" w:after="0"/>
              <w:jc w:val="left"/>
            </w:pPr>
            <w:r/>
            <w:r>
              <w:rPr>
                <w:rFonts w:ascii="Arial" w:hAnsi="Arial"/>
                <w:b w:val="0"/>
                <w:color w:val="000000"/>
                <w:sz w:val="16"/>
              </w:rPr>
              <w:t>Closed or in progress as recorded</w:t>
            </w:r>
          </w:p>
        </w:tc>
        <w:tc>
          <w:tcPr>
            <w:tcW w:type="dxa" w:w="4422"/>
            <w:vAlign w:val="center"/>
            <w:tcMar>
              <w:top w:w="80" w:type="dxa"/>
              <w:start w:w="105" w:type="dxa"/>
              <w:bottom w:w="80" w:type="dxa"/>
              <w:end w:w="105" w:type="dxa"/>
            </w:tcMar>
          </w:tcPr>
          <w:p>
            <w:pPr>
              <w:spacing w:before="0" w:after="0"/>
              <w:jc w:val="left"/>
            </w:pPr>
            <w:r/>
            <w:r>
              <w:rPr>
                <w:rFonts w:ascii="Arial" w:hAnsi="Arial"/>
                <w:b w:val="0"/>
                <w:color w:val="000000"/>
                <w:sz w:val="16"/>
              </w:rPr>
              <w:t>Verification results are reflected in the current findings and evidence.</w:t>
            </w:r>
          </w:p>
        </w:tc>
      </w:tr>
    </w:tbl>
    <w:p>
      <w:pPr>
        <w:jc w:val="center"/>
      </w:pPr>
      <w:r>
        <w:rPr>
          <w:b/>
        </w:rPr>
        <w:t>END OF REPORT</w:t>
      </w:r>
    </w:p>
    <w:sectPr w:rsidR="00FC693F" w:rsidRPr="0006063C" w:rsidSect="00034616">
      <w:headerReference w:type="default" r:id="rId9"/>
      <w:footerReference w:type="default" r:id="rId10"/>
      <w:pgSz w:w="11906" w:h="16838"/>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819"/>
      <w:gridCol w:w="4819"/>
    </w:tblGrid>
    <w:tr>
      <w:tc>
        <w:tcPr>
          <w:tcW w:type="dxa" w:w="7937"/>
          <w:vAlign w:val="center"/>
          <w:tcMar>
            <w:top w:w="80" w:type="dxa"/>
            <w:start w:w="105" w:type="dxa"/>
            <w:bottom w:w="80" w:type="dxa"/>
            <w:end w:w="105" w:type="dxa"/>
          </w:tcMar>
        </w:tcPr>
        <w:p>
          <w:pPr>
            <w:spacing w:before="0" w:after="0"/>
            <w:jc w:val="left"/>
          </w:pPr>
          <w:r/>
          <w:r>
            <w:rPr>
              <w:rFonts w:ascii="Arial" w:hAnsi="Arial"/>
              <w:b w:val="0"/>
              <w:color w:val="5C675F"/>
              <w:sz w:val="16"/>
            </w:rPr>
            <w:t>Synthetic demonstration report   |   FY 2025-2026</w:t>
          </w:r>
        </w:p>
      </w:tc>
      <w:tc>
        <w:tcPr>
          <w:tcW w:type="dxa" w:w="1701"/>
        </w:tcPr>
        <w:p>
          <w:pPr>
            <w:jc w:val="right"/>
          </w:pPr>
          <w: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75F"/>
        <w:sz w:val="16"/>
      </w:rPr>
      <w:t>AUDIT REVIEW   |   Ravenna Ready Meals Plant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024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Ravenna Ready Meals Plant Audit Review</dc:title>
  <dc:subject>Synthetic demonstration audit report</dc:subject>
  <dc:creator>Arboris Foods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