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r>
        <w:rPr>
          <w:rFonts w:ascii="Arial" w:hAnsi="Arial"/>
          <w:b/>
          <w:color w:val="2F6B4F"/>
          <w:sz w:val="24"/>
        </w:rPr>
        <w:t>AUDIT REVIEW</w:t>
      </w:r>
    </w:p>
    <w:p>
      <w:pPr>
        <w:pStyle w:val="Subtitle"/>
      </w:pPr>
      <w:r>
        <w:t>Audit Report</w:t>
      </w:r>
    </w:p>
    <w:p>
      <w:pPr>
        <w:pStyle w:val="Title"/>
      </w:pPr>
      <w:r>
        <w:t>Parma Dairy Ingredients Plant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4082"/>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period</w:t>
            </w:r>
          </w:p>
        </w:tc>
        <w:tc>
          <w:tcPr>
            <w:tcW w:type="dxa" w:w="2835"/>
            <w:vAlign w:val="center"/>
            <w:tcMar>
              <w:top w:w="80" w:type="dxa"/>
              <w:start w:w="105" w:type="dxa"/>
              <w:bottom w:w="80" w:type="dxa"/>
              <w:end w:w="105" w:type="dxa"/>
            </w:tcMar>
            <w:shd w:fill="26342C"/>
          </w:tcPr>
          <w:p>
            <w:pPr>
              <w:spacing w:before="0" w:after="0"/>
              <w:jc w:val="center"/>
            </w:pPr>
            <w:r/>
            <w:r>
              <w:rPr>
                <w:rFonts w:ascii="Arial" w:hAnsi="Arial"/>
                <w:b/>
                <w:color w:val="FFFFFF"/>
                <w:sz w:val="16"/>
              </w:rPr>
              <w:t>Fiscal year</w:t>
            </w:r>
          </w:p>
        </w:tc>
        <w:tc>
          <w:tcPr>
            <w:tcW w:type="dxa" w:w="2494"/>
            <w:vAlign w:val="center"/>
            <w:tcMar>
              <w:top w:w="80" w:type="dxa"/>
              <w:start w:w="105" w:type="dxa"/>
              <w:bottom w:w="80" w:type="dxa"/>
              <w:end w:w="105" w:type="dxa"/>
            </w:tcMar>
            <w:shd w:fill="26342C"/>
          </w:tcPr>
          <w:p>
            <w:pPr>
              <w:spacing w:before="0" w:after="0"/>
              <w:jc w:val="center"/>
            </w:pPr>
            <w:r/>
            <w:r>
              <w:rPr>
                <w:rFonts w:ascii="Arial" w:hAnsi="Arial"/>
                <w:b/>
                <w:color w:val="FFFFFF"/>
                <w:sz w:val="16"/>
              </w:rPr>
              <w:t>Report status</w:t>
            </w:r>
          </w:p>
        </w:tc>
      </w:tr>
      <w:tr>
        <w:tc>
          <w:tcPr>
            <w:tcW w:type="dxa" w:w="4082"/>
            <w:vAlign w:val="center"/>
            <w:tcMar>
              <w:top w:w="80" w:type="dxa"/>
              <w:start w:w="105" w:type="dxa"/>
              <w:bottom w:w="80" w:type="dxa"/>
              <w:end w:w="105" w:type="dxa"/>
            </w:tcMar>
          </w:tcPr>
          <w:p>
            <w:pPr>
              <w:spacing w:before="0" w:after="0"/>
              <w:jc w:val="left"/>
            </w:pPr>
            <w:r/>
            <w:r>
              <w:rPr>
                <w:rFonts w:ascii="Arial" w:hAnsi="Arial"/>
                <w:b w:val="0"/>
                <w:color w:val="000000"/>
                <w:sz w:val="16"/>
              </w:rPr>
              <w:t>04 May 2026 - 08 May 2026</w:t>
            </w:r>
          </w:p>
        </w:tc>
        <w:tc>
          <w:tcPr>
            <w:tcW w:type="dxa" w:w="2835"/>
            <w:vAlign w:val="center"/>
            <w:tcMar>
              <w:top w:w="80" w:type="dxa"/>
              <w:start w:w="105" w:type="dxa"/>
              <w:bottom w:w="80" w:type="dxa"/>
              <w:end w:w="105" w:type="dxa"/>
            </w:tcMar>
          </w:tcPr>
          <w:p>
            <w:pPr>
              <w:spacing w:before="0" w:after="0"/>
              <w:jc w:val="center"/>
            </w:pPr>
            <w:r/>
            <w:r>
              <w:rPr>
                <w:rFonts w:ascii="Arial" w:hAnsi="Arial"/>
                <w:b w:val="0"/>
                <w:color w:val="000000"/>
                <w:sz w:val="16"/>
              </w:rPr>
              <w:t>2025-2026</w:t>
            </w:r>
          </w:p>
        </w:tc>
        <w:tc>
          <w:tcPr>
            <w:tcW w:type="dxa" w:w="2494"/>
            <w:vAlign w:val="center"/>
            <w:tcMar>
              <w:top w:w="80" w:type="dxa"/>
              <w:start w:w="105" w:type="dxa"/>
              <w:bottom w:w="80" w:type="dxa"/>
              <w:end w:w="105" w:type="dxa"/>
            </w:tcMar>
          </w:tcPr>
          <w:p>
            <w:pPr>
              <w:spacing w:before="0" w:after="0"/>
              <w:jc w:val="center"/>
            </w:pPr>
            <w:r/>
            <w:r>
              <w:rPr>
                <w:rFonts w:ascii="Arial" w:hAnsi="Arial"/>
                <w:b w:val="0"/>
                <w:color w:val="000000"/>
                <w:sz w:val="16"/>
              </w:rPr>
              <w:t>Final</w:t>
            </w:r>
          </w:p>
        </w:tc>
      </w:tr>
    </w:tbl>
    <w:p>
      <w:pPr>
        <w:pStyle w:val="Heading2"/>
      </w:pPr>
      <w:r>
        <w:t>Overall audit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val="true"/>
        </w:trPr>
        <w:tc>
          <w:tcPr>
            <w:tcW w:type="dxa" w:w="2268"/>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score</w:t>
            </w:r>
          </w:p>
        </w:tc>
        <w:tc>
          <w:tcPr>
            <w:tcW w:type="dxa" w:w="2551"/>
            <w:vAlign w:val="center"/>
            <w:tcMar>
              <w:top w:w="80" w:type="dxa"/>
              <w:start w:w="105" w:type="dxa"/>
              <w:bottom w:w="80" w:type="dxa"/>
              <w:end w:w="105" w:type="dxa"/>
            </w:tcMar>
            <w:shd w:fill="26342C"/>
          </w:tcPr>
          <w:p>
            <w:pPr>
              <w:spacing w:before="0" w:after="0"/>
              <w:jc w:val="center"/>
            </w:pPr>
            <w:r/>
            <w:r>
              <w:rPr>
                <w:rFonts w:ascii="Arial" w:hAnsi="Arial"/>
                <w:b/>
                <w:color w:val="FFFFFF"/>
                <w:sz w:val="16"/>
              </w:rPr>
              <w:t>Overall rating</w:t>
            </w:r>
          </w:p>
        </w:tc>
        <w:tc>
          <w:tcPr>
            <w:tcW w:type="dxa" w:w="226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Areas reviewed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6"/>
              </w:rPr>
              <w:t>Findings raised</w:t>
            </w:r>
          </w:p>
        </w:tc>
      </w:tr>
      <w:tr>
        <w:tc>
          <w:tcPr>
            <w:tcW w:type="dxa" w:w="2268"/>
            <w:vAlign w:val="center"/>
            <w:tcMar>
              <w:top w:w="80" w:type="dxa"/>
              <w:start w:w="105" w:type="dxa"/>
              <w:bottom w:w="80" w:type="dxa"/>
              <w:end w:w="105" w:type="dxa"/>
            </w:tcMar>
          </w:tcPr>
          <w:p>
            <w:pPr>
              <w:spacing w:before="0" w:after="0"/>
              <w:jc w:val="left"/>
            </w:pPr>
            <w:r/>
            <w:r>
              <w:rPr>
                <w:rFonts w:ascii="Arial" w:hAnsi="Arial"/>
                <w:b w:val="0"/>
                <w:color w:val="000000"/>
                <w:sz w:val="16"/>
              </w:rPr>
              <w:t>76 / 100</w:t>
            </w:r>
          </w:p>
        </w:tc>
        <w:tc>
          <w:tcPr>
            <w:tcW w:type="dxa" w:w="2551"/>
            <w:vAlign w:val="center"/>
            <w:tcMar>
              <w:top w:w="80" w:type="dxa"/>
              <w:start w:w="105" w:type="dxa"/>
              <w:bottom w:w="80" w:type="dxa"/>
              <w:end w:w="105" w:type="dxa"/>
            </w:tcMar>
          </w:tcPr>
          <w:p>
            <w:pPr>
              <w:spacing w:before="0" w:after="0"/>
              <w:jc w:val="center"/>
            </w:pPr>
            <w:r/>
            <w:r>
              <w:rPr>
                <w:rFonts w:ascii="Arial" w:hAnsi="Arial"/>
                <w:b w:val="0"/>
                <w:color w:val="000000"/>
                <w:sz w:val="16"/>
              </w:rPr>
              <w:t>Unsatisfactory</w:t>
            </w:r>
          </w:p>
        </w:tc>
        <w:tc>
          <w:tcPr>
            <w:tcW w:type="dxa" w:w="2268"/>
            <w:vAlign w:val="center"/>
            <w:tcMar>
              <w:top w:w="80" w:type="dxa"/>
              <w:start w:w="105" w:type="dxa"/>
              <w:bottom w:w="80" w:type="dxa"/>
              <w:end w:w="105" w:type="dxa"/>
            </w:tcMar>
          </w:tcPr>
          <w:p>
            <w:pPr>
              <w:spacing w:before="0" w:after="0"/>
              <w:jc w:val="center"/>
            </w:pPr>
            <w:r/>
            <w:r>
              <w:rPr>
                <w:rFonts w:ascii="Arial" w:hAnsi="Arial"/>
                <w:b w:val="0"/>
                <w:color w:val="000000"/>
                <w:sz w:val="16"/>
              </w:rPr>
              <w:t>24</w:t>
            </w:r>
          </w:p>
        </w:tc>
        <w:tc>
          <w:tcPr>
            <w:tcW w:type="dxa" w:w="2324"/>
            <w:vAlign w:val="center"/>
            <w:tcMar>
              <w:top w:w="80" w:type="dxa"/>
              <w:start w:w="105" w:type="dxa"/>
              <w:bottom w:w="80" w:type="dxa"/>
              <w:end w:w="105" w:type="dxa"/>
            </w:tcMar>
          </w:tcPr>
          <w:p>
            <w:pPr>
              <w:spacing w:before="0" w:after="0"/>
              <w:jc w:val="center"/>
            </w:pPr>
            <w:r/>
            <w:r>
              <w:rPr>
                <w:rFonts w:ascii="Arial" w:hAnsi="Arial"/>
                <w:b w:val="0"/>
                <w:color w:val="000000"/>
                <w:sz w:val="16"/>
              </w:rPr>
              <w:t>6</w:t>
            </w:r>
          </w:p>
        </w:tc>
      </w:tr>
    </w:tbl>
    <w:p>
      <w:pPr>
        <w:pStyle w:val="Heading2"/>
      </w:pPr>
      <w:r>
        <w:t>Audit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2835"/>
            <w:vAlign w:val="center"/>
            <w:tcMar>
              <w:top w:w="80" w:type="dxa"/>
              <w:start w:w="105" w:type="dxa"/>
              <w:bottom w:w="80" w:type="dxa"/>
              <w:end w:w="105" w:type="dxa"/>
            </w:tcMar>
            <w:shd w:fill="26342C"/>
          </w:tcPr>
          <w:p>
            <w:pPr>
              <w:spacing w:before="0" w:after="0"/>
              <w:jc w:val="center"/>
            </w:pPr>
            <w:r/>
            <w:r>
              <w:rPr>
                <w:rFonts w:ascii="Arial" w:hAnsi="Arial"/>
                <w:b/>
                <w:color w:val="FFFFFF"/>
                <w:sz w:val="16"/>
              </w:rPr>
              <w:t>Role</w:t>
            </w:r>
          </w:p>
        </w:tc>
        <w:tc>
          <w:tcPr>
            <w:tcW w:type="dxa" w:w="6576"/>
            <w:vAlign w:val="center"/>
            <w:tcMar>
              <w:top w:w="80" w:type="dxa"/>
              <w:start w:w="105" w:type="dxa"/>
              <w:bottom w:w="80" w:type="dxa"/>
              <w:end w:w="105" w:type="dxa"/>
            </w:tcMar>
            <w:shd w:fill="26342C"/>
          </w:tcPr>
          <w:p>
            <w:pPr>
              <w:spacing w:before="0" w:after="0"/>
              <w:jc w:val="center"/>
            </w:pPr>
            <w:r/>
            <w:r>
              <w:rPr>
                <w:rFonts w:ascii="Arial" w:hAnsi="Arial"/>
                <w:b/>
                <w:color w:val="FFFFFF"/>
                <w:sz w:val="16"/>
              </w:rPr>
              <w:t>Name</w:t>
            </w:r>
          </w:p>
        </w:tc>
      </w:tr>
      <w:tr>
        <w:tc>
          <w:tcPr>
            <w:tcW w:type="dxa" w:w="2835"/>
            <w:vAlign w:val="center"/>
            <w:tcMar>
              <w:top w:w="80" w:type="dxa"/>
              <w:start w:w="105" w:type="dxa"/>
              <w:bottom w:w="80" w:type="dxa"/>
              <w:end w:w="105" w:type="dxa"/>
            </w:tcMar>
          </w:tcPr>
          <w:p>
            <w:pPr>
              <w:spacing w:before="0" w:after="0"/>
              <w:jc w:val="left"/>
            </w:pPr>
            <w:r/>
            <w:r>
              <w:rPr>
                <w:rFonts w:ascii="Arial" w:hAnsi="Arial"/>
                <w:b w:val="0"/>
                <w:color w:val="000000"/>
                <w:sz w:val="16"/>
              </w:rPr>
              <w:t>Lead Auditor</w:t>
            </w:r>
          </w:p>
        </w:tc>
        <w:tc>
          <w:tcPr>
            <w:tcW w:type="dxa" w:w="6576"/>
            <w:vAlign w:val="center"/>
            <w:tcMar>
              <w:top w:w="80" w:type="dxa"/>
              <w:start w:w="105" w:type="dxa"/>
              <w:bottom w:w="80" w:type="dxa"/>
              <w:end w:w="105" w:type="dxa"/>
            </w:tcMar>
          </w:tcPr>
          <w:p>
            <w:pPr>
              <w:spacing w:before="0" w:after="0"/>
              <w:jc w:val="center"/>
            </w:pPr>
            <w:r/>
            <w:r>
              <w:rPr>
                <w:rFonts w:ascii="Arial" w:hAnsi="Arial"/>
                <w:b w:val="0"/>
                <w:color w:val="000000"/>
                <w:sz w:val="16"/>
              </w:rPr>
              <w:t>Daniel Meyer</w:t>
            </w:r>
          </w:p>
        </w:tc>
      </w:tr>
      <w:tr>
        <w:tc>
          <w:tcPr>
            <w:tcW w:type="dxa" w:w="2835"/>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Auditor</w:t>
            </w:r>
          </w:p>
        </w:tc>
        <w:tc>
          <w:tcPr>
            <w:tcW w:type="dxa" w:w="6576"/>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Laura Conti</w:t>
            </w:r>
          </w:p>
        </w:tc>
      </w:tr>
      <w:tr>
        <w:tc>
          <w:tcPr>
            <w:tcW w:type="dxa" w:w="2835"/>
            <w:vAlign w:val="center"/>
            <w:tcMar>
              <w:top w:w="80" w:type="dxa"/>
              <w:start w:w="105" w:type="dxa"/>
              <w:bottom w:w="80" w:type="dxa"/>
              <w:end w:w="105" w:type="dxa"/>
            </w:tcMar>
          </w:tcPr>
          <w:p>
            <w:pPr>
              <w:spacing w:before="0" w:after="0"/>
              <w:jc w:val="left"/>
            </w:pPr>
            <w:r/>
            <w:r>
              <w:rPr>
                <w:rFonts w:ascii="Arial" w:hAnsi="Arial"/>
                <w:b w:val="0"/>
                <w:color w:val="000000"/>
                <w:sz w:val="16"/>
              </w:rPr>
              <w:t>Auditor</w:t>
            </w:r>
          </w:p>
        </w:tc>
        <w:tc>
          <w:tcPr>
            <w:tcW w:type="dxa" w:w="6576"/>
            <w:vAlign w:val="center"/>
            <w:tcMar>
              <w:top w:w="80" w:type="dxa"/>
              <w:start w:w="105" w:type="dxa"/>
              <w:bottom w:w="80" w:type="dxa"/>
              <w:end w:w="105" w:type="dxa"/>
            </w:tcMar>
          </w:tcPr>
          <w:p>
            <w:pPr>
              <w:spacing w:before="0" w:after="0"/>
              <w:jc w:val="center"/>
            </w:pPr>
            <w:r/>
            <w:r>
              <w:rPr>
                <w:rFonts w:ascii="Arial" w:hAnsi="Arial"/>
                <w:b w:val="0"/>
                <w:color w:val="000000"/>
                <w:sz w:val="16"/>
              </w:rPr>
              <w:t>Amelia Novak</w:t>
            </w:r>
          </w:p>
        </w:tc>
      </w:tr>
    </w:tbl>
    <w:p>
      <w:pPr>
        <w:pStyle w:val="Heading2"/>
      </w:pPr>
      <w:r>
        <w:t>Purpose of this document</w:t>
      </w:r>
    </w:p>
    <w:p>
      <w:r>
        <w:t>This report presents the audit outcome, area-level ratings, observed conditions, supporting evidence, cause assessments and agreed remediation actions for the audited 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6"/>
      </w:tblGrid>
      <w:tr>
        <w:trPr>
          <w:tblHeader w:val="true"/>
        </w:trPr>
        <w:tc>
          <w:tcPr>
            <w:tcW w:type="dxa" w:w="9411"/>
            <w:vAlign w:val="center"/>
            <w:tcMar>
              <w:top w:w="80" w:type="dxa"/>
              <w:start w:w="105" w:type="dxa"/>
              <w:bottom w:w="80" w:type="dxa"/>
              <w:end w:w="105" w:type="dxa"/>
            </w:tcMar>
            <w:shd w:fill="2F6B4F"/>
          </w:tcPr>
          <w:p>
            <w:pPr>
              <w:spacing w:before="0" w:after="0"/>
              <w:jc w:val="center"/>
            </w:pPr>
            <w:r/>
            <w:r>
              <w:rPr>
                <w:rFonts w:ascii="Arial" w:hAnsi="Arial"/>
                <w:b/>
                <w:color w:val="FFFFFF"/>
                <w:sz w:val="16"/>
              </w:rPr>
              <w:t>DEMONSTRATION DATA NOTICE</w:t>
            </w:r>
          </w:p>
        </w:tc>
      </w:tr>
      <w:tr>
        <w:tc>
          <w:tcPr>
            <w:tcW w:type="dxa" w:w="9411"/>
            <w:vAlign w:val="center"/>
            <w:tcMar>
              <w:top w:w="80" w:type="dxa"/>
              <w:start w:w="105" w:type="dxa"/>
              <w:bottom w:w="80" w:type="dxa"/>
              <w:end w:w="105" w:type="dxa"/>
            </w:tcMar>
          </w:tcPr>
          <w:p>
            <w:pPr>
              <w:spacing w:before="0" w:after="0"/>
              <w:jc w:val="left"/>
            </w:pPr>
            <w:r/>
            <w:r>
              <w:rPr>
                <w:rFonts w:ascii="Arial" w:hAnsi="Arial"/>
                <w:b w:val="0"/>
                <w:color w:val="000000"/>
                <w:sz w:val="16"/>
              </w:rPr>
              <w:t>All organizations, sites, people, evidence and events in this document are fictional and were created for demonstration purposes.</w:t>
            </w:r>
          </w:p>
        </w:tc>
      </w:tr>
    </w:tbl>
    <w:p>
      <w:r>
        <w:br w:type="page"/>
      </w:r>
    </w:p>
    <w:p>
      <w:pPr>
        <w:pStyle w:val="Heading1"/>
      </w:pPr>
      <w:r>
        <w:t>Audit at a glance</w:t>
      </w:r>
    </w:p>
    <w:p>
      <w:r>
        <w:t>The Parma site converts liquid dairy streams into powders and functional blends. The plant commissioned a new dryer in late 2025 and increased export volumes. The audit found strong traceability and laboratory controls, alongside a high-priority weakness in utility-water protection and gaps in preventive maintenance governance.</w:t>
      </w:r>
    </w:p>
    <w:p>
      <w:r>
        <w:t>The site demonstrated control of product release and microbiological testing. Continued operation of the new dryer is acceptable under the temporary controls established during the audit, subject to completion of the utility and maintenance actions by their agreed 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1973"/>
        <w:gridCol w:w="1973"/>
        <w:gridCol w:w="1973"/>
        <w:gridCol w:w="1973"/>
      </w:tblGrid>
      <w:tr>
        <w:trPr>
          <w:tblHeader w:val="true"/>
        </w:trPr>
        <w:tc>
          <w:tcPr>
            <w:tcW w:type="dxa" w:w="209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Areas reviewed</w:t>
            </w:r>
          </w:p>
        </w:tc>
        <w:tc>
          <w:tcPr>
            <w:tcW w:type="dxa" w:w="1871"/>
            <w:vAlign w:val="center"/>
            <w:tcMar>
              <w:top w:w="80" w:type="dxa"/>
              <w:start w:w="105" w:type="dxa"/>
              <w:bottom w:w="80" w:type="dxa"/>
              <w:end w:w="105" w:type="dxa"/>
            </w:tcMar>
            <w:shd w:fill="26342C"/>
          </w:tcPr>
          <w:p>
            <w:pPr>
              <w:spacing w:before="0" w:after="0"/>
              <w:jc w:val="center"/>
            </w:pPr>
            <w:r/>
            <w:r>
              <w:rPr>
                <w:rFonts w:ascii="Arial" w:hAnsi="Arial"/>
                <w:b/>
                <w:color w:val="FFFFFF"/>
                <w:sz w:val="16"/>
              </w:rPr>
              <w:t>Satisfactory</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Minor Gaps</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Major Gaps</w:t>
            </w:r>
          </w:p>
        </w:tc>
        <w:tc>
          <w:tcPr>
            <w:tcW w:type="dxa" w:w="1814"/>
            <w:vAlign w:val="center"/>
            <w:tcMar>
              <w:top w:w="80" w:type="dxa"/>
              <w:start w:w="105" w:type="dxa"/>
              <w:bottom w:w="80" w:type="dxa"/>
              <w:end w:w="105" w:type="dxa"/>
            </w:tcMar>
            <w:shd w:fill="26342C"/>
          </w:tcPr>
          <w:p>
            <w:pPr>
              <w:spacing w:before="0" w:after="0"/>
              <w:jc w:val="center"/>
            </w:pPr>
            <w:r/>
            <w:r>
              <w:rPr>
                <w:rFonts w:ascii="Arial" w:hAnsi="Arial"/>
                <w:b/>
                <w:color w:val="FFFFFF"/>
                <w:sz w:val="16"/>
              </w:rPr>
              <w:t>Unsatisfactory</w:t>
            </w:r>
          </w:p>
        </w:tc>
      </w:tr>
      <w:tr>
        <w:tc>
          <w:tcPr>
            <w:tcW w:type="dxa" w:w="2098"/>
            <w:vAlign w:val="center"/>
            <w:tcMar>
              <w:top w:w="80" w:type="dxa"/>
              <w:start w:w="105" w:type="dxa"/>
              <w:bottom w:w="80" w:type="dxa"/>
              <w:end w:w="105" w:type="dxa"/>
            </w:tcMar>
          </w:tcPr>
          <w:p>
            <w:pPr>
              <w:spacing w:before="0" w:after="0"/>
              <w:jc w:val="left"/>
            </w:pPr>
            <w:r/>
            <w:r>
              <w:rPr>
                <w:rFonts w:ascii="Arial" w:hAnsi="Arial"/>
                <w:b w:val="0"/>
                <w:color w:val="000000"/>
                <w:sz w:val="16"/>
              </w:rPr>
              <w:t>24</w:t>
            </w:r>
          </w:p>
        </w:tc>
        <w:tc>
          <w:tcPr>
            <w:tcW w:type="dxa" w:w="1871"/>
            <w:vAlign w:val="center"/>
            <w:tcMar>
              <w:top w:w="80" w:type="dxa"/>
              <w:start w:w="105" w:type="dxa"/>
              <w:bottom w:w="80" w:type="dxa"/>
              <w:end w:w="105" w:type="dxa"/>
            </w:tcMar>
          </w:tcPr>
          <w:p>
            <w:pPr>
              <w:spacing w:before="0" w:after="0"/>
              <w:jc w:val="center"/>
            </w:pPr>
            <w:r/>
            <w:r>
              <w:rPr>
                <w:rFonts w:ascii="Arial" w:hAnsi="Arial"/>
                <w:b w:val="0"/>
                <w:color w:val="000000"/>
                <w:sz w:val="16"/>
              </w:rPr>
              <w:t>19</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3</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1</w:t>
            </w:r>
          </w:p>
        </w:tc>
        <w:tc>
          <w:tcPr>
            <w:tcW w:type="dxa" w:w="1814"/>
            <w:vAlign w:val="center"/>
            <w:tcMar>
              <w:top w:w="80" w:type="dxa"/>
              <w:start w:w="105" w:type="dxa"/>
              <w:bottom w:w="80" w:type="dxa"/>
              <w:end w:w="105" w:type="dxa"/>
            </w:tcMar>
          </w:tcPr>
          <w:p>
            <w:pPr>
              <w:spacing w:before="0" w:after="0"/>
              <w:jc w:val="center"/>
            </w:pPr>
            <w:r/>
            <w:r>
              <w:rPr>
                <w:rFonts w:ascii="Arial" w:hAnsi="Arial"/>
                <w:b w:val="0"/>
                <w:color w:val="000000"/>
                <w:sz w:val="16"/>
              </w:rPr>
              <w:t>1</w:t>
            </w:r>
          </w:p>
        </w:tc>
      </w:tr>
    </w:tbl>
    <w:p>
      <w:pPr>
        <w:pStyle w:val="Heading2"/>
      </w:pPr>
      <w:r>
        <w:t>Priority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2438"/>
            <w:vAlign w:val="center"/>
            <w:tcMar>
              <w:top w:w="80" w:type="dxa"/>
              <w:start w:w="105" w:type="dxa"/>
              <w:bottom w:w="80" w:type="dxa"/>
              <w:end w:w="105" w:type="dxa"/>
            </w:tcMar>
            <w:shd w:fill="26342C"/>
          </w:tcPr>
          <w:p>
            <w:pPr>
              <w:spacing w:before="0" w:after="0"/>
              <w:jc w:val="center"/>
            </w:pPr>
            <w:r/>
            <w:r>
              <w:rPr>
                <w:rFonts w:ascii="Arial" w:hAnsi="Arial"/>
                <w:b/>
                <w:color w:val="FFFFFF"/>
                <w:sz w:val="15"/>
              </w:rPr>
              <w:t>Area</w:t>
            </w:r>
          </w:p>
        </w:tc>
        <w:tc>
          <w:tcPr>
            <w:tcW w:type="dxa" w:w="4082"/>
            <w:vAlign w:val="center"/>
            <w:tcMar>
              <w:top w:w="80" w:type="dxa"/>
              <w:start w:w="105" w:type="dxa"/>
              <w:bottom w:w="80" w:type="dxa"/>
              <w:end w:w="105" w:type="dxa"/>
            </w:tcMar>
            <w:shd w:fill="26342C"/>
          </w:tcPr>
          <w:p>
            <w:pPr>
              <w:spacing w:before="0" w:after="0"/>
              <w:jc w:val="center"/>
            </w:pPr>
            <w:r/>
            <w:r>
              <w:rPr>
                <w:rFonts w:ascii="Arial" w:hAnsi="Arial"/>
                <w:b/>
                <w:color w:val="FFFFFF"/>
                <w:sz w:val="15"/>
              </w:rPr>
              <w:t>Observation</w:t>
            </w:r>
          </w:p>
        </w:tc>
        <w:tc>
          <w:tcPr>
            <w:tcW w:type="dxa" w:w="2891"/>
            <w:vAlign w:val="center"/>
            <w:tcMar>
              <w:top w:w="80" w:type="dxa"/>
              <w:start w:w="105" w:type="dxa"/>
              <w:bottom w:w="80" w:type="dxa"/>
              <w:end w:w="105" w:type="dxa"/>
            </w:tcMar>
            <w:shd w:fill="26342C"/>
          </w:tcPr>
          <w:p>
            <w:pPr>
              <w:spacing w:before="0" w:after="0"/>
              <w:jc w:val="center"/>
            </w:pPr>
            <w:r/>
            <w:r>
              <w:rPr>
                <w:rFonts w:ascii="Arial" w:hAnsi="Arial"/>
                <w:b/>
                <w:color w:val="FFFFFF"/>
                <w:sz w:val="15"/>
              </w:rPr>
              <w:t>Required focus</w:t>
            </w:r>
          </w:p>
        </w:tc>
      </w:tr>
      <w:tr>
        <w:tc>
          <w:tcPr>
            <w:tcW w:type="dxa" w:w="2438"/>
            <w:vAlign w:val="center"/>
            <w:tcMar>
              <w:top w:w="80" w:type="dxa"/>
              <w:start w:w="105" w:type="dxa"/>
              <w:bottom w:w="80" w:type="dxa"/>
              <w:end w:w="105" w:type="dxa"/>
            </w:tcMar>
          </w:tcPr>
          <w:p>
            <w:pPr>
              <w:spacing w:before="0" w:after="0"/>
              <w:jc w:val="left"/>
            </w:pPr>
            <w:r/>
            <w:r>
              <w:rPr>
                <w:rFonts w:ascii="Arial" w:hAnsi="Arial"/>
                <w:b w:val="0"/>
                <w:color w:val="000000"/>
                <w:sz w:val="15"/>
              </w:rPr>
              <w:t>Asset Care and Utility Control</w:t>
            </w:r>
          </w:p>
        </w:tc>
        <w:tc>
          <w:tcPr>
            <w:tcW w:type="dxa" w:w="4082"/>
            <w:vAlign w:val="center"/>
            <w:tcMar>
              <w:top w:w="80" w:type="dxa"/>
              <w:start w:w="105" w:type="dxa"/>
              <w:bottom w:w="80" w:type="dxa"/>
              <w:end w:w="105" w:type="dxa"/>
            </w:tcMar>
          </w:tcPr>
          <w:p>
            <w:pPr>
              <w:spacing w:before="0" w:after="0"/>
              <w:jc w:val="left"/>
            </w:pPr>
            <w:r/>
            <w:r>
              <w:rPr>
                <w:rFonts w:ascii="Arial" w:hAnsi="Arial"/>
                <w:b w:val="0"/>
                <w:color w:val="000000"/>
                <w:sz w:val="15"/>
              </w:rPr>
              <w:t>A cross-connection between the potable-water ring and a non-potable cooling circuit could not be demonstrated as protected by a tested backflow-prevention device. The connection supplied a wash station adjacent to open product equipment.</w:t>
            </w:r>
          </w:p>
        </w:tc>
        <w:tc>
          <w:tcPr>
            <w:tcW w:type="dxa" w:w="2891"/>
            <w:vAlign w:val="center"/>
            <w:tcMar>
              <w:top w:w="80" w:type="dxa"/>
              <w:start w:w="105" w:type="dxa"/>
              <w:bottom w:w="80" w:type="dxa"/>
              <w:end w:w="105" w:type="dxa"/>
            </w:tcMar>
          </w:tcPr>
          <w:p>
            <w:pPr>
              <w:spacing w:before="0" w:after="0"/>
              <w:jc w:val="left"/>
            </w:pPr>
            <w:r/>
            <w:r>
              <w:rPr>
                <w:rFonts w:ascii="Arial" w:hAnsi="Arial"/>
                <w:b w:val="0"/>
                <w:color w:val="000000"/>
                <w:sz w:val="15"/>
              </w:rPr>
              <w:t>Install certified backflow prevention and complete validation</w:t>
            </w:r>
          </w:p>
        </w:tc>
      </w:tr>
      <w:tr>
        <w:tc>
          <w:tcPr>
            <w:tcW w:type="dxa" w:w="2438"/>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Facility Condition and Hygienic Design</w:t>
            </w:r>
          </w:p>
        </w:tc>
        <w:tc>
          <w:tcPr>
            <w:tcW w:type="dxa" w:w="4082"/>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Horizontal ledges and unsealed hollow sections above the powder transfer route accumulated dust and were difficult to inspect.</w:t>
            </w:r>
          </w:p>
        </w:tc>
        <w:tc>
          <w:tcPr>
            <w:tcW w:type="dxa" w:w="2891"/>
            <w:vAlign w:val="center"/>
            <w:tcMar>
              <w:top w:w="80" w:type="dxa"/>
              <w:start w:w="105" w:type="dxa"/>
              <w:bottom w:w="80" w:type="dxa"/>
              <w:end w:w="105" w:type="dxa"/>
            </w:tcMar>
            <w:shd w:fill="F4F6F5"/>
          </w:tcPr>
          <w:p>
            <w:pPr>
              <w:spacing w:before="0" w:after="0"/>
              <w:jc w:val="left"/>
            </w:pPr>
            <w:r/>
            <w:r>
              <w:rPr>
                <w:rFonts w:ascii="Arial" w:hAnsi="Arial"/>
                <w:b w:val="0"/>
                <w:color w:val="000000"/>
                <w:sz w:val="15"/>
              </w:rPr>
              <w:t>Seal hollow sections and modify ledges to a cleanable profile</w:t>
            </w:r>
          </w:p>
        </w:tc>
      </w:tr>
      <w:tr>
        <w:tc>
          <w:tcPr>
            <w:tcW w:type="dxa" w:w="2438"/>
            <w:vAlign w:val="center"/>
            <w:tcMar>
              <w:top w:w="80" w:type="dxa"/>
              <w:start w:w="105" w:type="dxa"/>
              <w:bottom w:w="80" w:type="dxa"/>
              <w:end w:w="105" w:type="dxa"/>
            </w:tcMar>
          </w:tcPr>
          <w:p>
            <w:pPr>
              <w:spacing w:before="0" w:after="0"/>
              <w:jc w:val="left"/>
            </w:pPr>
            <w:r/>
            <w:r>
              <w:rPr>
                <w:rFonts w:ascii="Arial" w:hAnsi="Arial"/>
                <w:b w:val="0"/>
                <w:color w:val="000000"/>
                <w:sz w:val="15"/>
              </w:rPr>
              <w:t>Asset Care and Utility Control</w:t>
            </w:r>
          </w:p>
        </w:tc>
        <w:tc>
          <w:tcPr>
            <w:tcW w:type="dxa" w:w="4082"/>
            <w:vAlign w:val="center"/>
            <w:tcMar>
              <w:top w:w="80" w:type="dxa"/>
              <w:start w:w="105" w:type="dxa"/>
              <w:bottom w:w="80" w:type="dxa"/>
              <w:end w:w="105" w:type="dxa"/>
            </w:tcMar>
          </w:tcPr>
          <w:p>
            <w:pPr>
              <w:spacing w:before="0" w:after="0"/>
              <w:jc w:val="left"/>
            </w:pPr>
            <w:r/>
            <w:r>
              <w:rPr>
                <w:rFonts w:ascii="Arial" w:hAnsi="Arial"/>
                <w:b w:val="0"/>
                <w:color w:val="000000"/>
                <w:sz w:val="15"/>
              </w:rPr>
              <w:t>Critical preventive maintenance tasks were repeatedly deferred without a documented food safety risk review.</w:t>
            </w:r>
          </w:p>
        </w:tc>
        <w:tc>
          <w:tcPr>
            <w:tcW w:type="dxa" w:w="2891"/>
            <w:vAlign w:val="center"/>
            <w:tcMar>
              <w:top w:w="80" w:type="dxa"/>
              <w:start w:w="105" w:type="dxa"/>
              <w:bottom w:w="80" w:type="dxa"/>
              <w:end w:w="105" w:type="dxa"/>
            </w:tcMar>
          </w:tcPr>
          <w:p>
            <w:pPr>
              <w:spacing w:before="0" w:after="0"/>
              <w:jc w:val="left"/>
            </w:pPr>
            <w:r/>
            <w:r>
              <w:rPr>
                <w:rFonts w:ascii="Arial" w:hAnsi="Arial"/>
                <w:b w:val="0"/>
                <w:color w:val="000000"/>
                <w:sz w:val="15"/>
              </w:rPr>
              <w:t>Classify critical assets and require Quality approval for deferral</w:t>
            </w:r>
          </w:p>
        </w:tc>
      </w:tr>
    </w:tbl>
    <w:p>
      <w:pPr>
        <w:pStyle w:val="Heading2"/>
      </w:pPr>
      <w:r>
        <w:t>Report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1134"/>
            <w:vAlign w:val="center"/>
            <w:tcMar>
              <w:top w:w="80" w:type="dxa"/>
              <w:start w:w="105" w:type="dxa"/>
              <w:bottom w:w="80" w:type="dxa"/>
              <w:end w:w="105" w:type="dxa"/>
            </w:tcMar>
            <w:shd w:fill="26342C"/>
          </w:tcPr>
          <w:p>
            <w:pPr>
              <w:spacing w:before="0" w:after="0"/>
              <w:jc w:val="center"/>
            </w:pPr>
            <w:r/>
            <w:r>
              <w:rPr>
                <w:rFonts w:ascii="Arial" w:hAnsi="Arial"/>
                <w:b/>
                <w:color w:val="FFFFFF"/>
                <w:sz w:val="16"/>
              </w:rPr>
              <w:t>Part</w:t>
            </w:r>
          </w:p>
        </w:tc>
        <w:tc>
          <w:tcPr>
            <w:tcW w:type="dxa" w:w="8277"/>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Content</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1</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Audit at a glance and conclusion</w:t>
            </w:r>
          </w:p>
        </w:tc>
      </w:tr>
      <w:tr>
        <w:tc>
          <w:tcPr>
            <w:tcW w:type="dxa" w:w="1134"/>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w:t>
            </w:r>
          </w:p>
        </w:tc>
        <w:tc>
          <w:tcPr>
            <w:tcW w:type="dxa" w:w="8277"/>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Area rating profile</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3</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Finding records and remediation plans</w:t>
            </w:r>
          </w:p>
        </w:tc>
      </w:tr>
      <w:tr>
        <w:tc>
          <w:tcPr>
            <w:tcW w:type="dxa" w:w="1134"/>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4</w:t>
            </w:r>
          </w:p>
        </w:tc>
        <w:tc>
          <w:tcPr>
            <w:tcW w:type="dxa" w:w="8277"/>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Entity and audit profile</w:t>
            </w:r>
          </w:p>
        </w:tc>
      </w:tr>
      <w:tr>
        <w:tc>
          <w:tcPr>
            <w:tcW w:type="dxa" w:w="1134"/>
            <w:vAlign w:val="center"/>
            <w:tcMar>
              <w:top w:w="80" w:type="dxa"/>
              <w:start w:w="105" w:type="dxa"/>
              <w:bottom w:w="80" w:type="dxa"/>
              <w:end w:w="105" w:type="dxa"/>
            </w:tcMar>
          </w:tcPr>
          <w:p>
            <w:pPr>
              <w:spacing w:before="0" w:after="0"/>
              <w:jc w:val="left"/>
            </w:pPr>
            <w:r/>
            <w:r>
              <w:rPr>
                <w:rFonts w:ascii="Arial" w:hAnsi="Arial"/>
                <w:b w:val="0"/>
                <w:color w:val="000000"/>
                <w:sz w:val="16"/>
              </w:rPr>
              <w:t>5</w:t>
            </w:r>
          </w:p>
        </w:tc>
        <w:tc>
          <w:tcPr>
            <w:tcW w:type="dxa" w:w="8277"/>
            <w:vAlign w:val="center"/>
            <w:tcMar>
              <w:top w:w="80" w:type="dxa"/>
              <w:start w:w="105" w:type="dxa"/>
              <w:bottom w:w="80" w:type="dxa"/>
              <w:end w:w="105" w:type="dxa"/>
            </w:tcMar>
          </w:tcPr>
          <w:p>
            <w:pPr>
              <w:spacing w:before="0" w:after="0"/>
              <w:jc w:val="left"/>
            </w:pPr>
            <w:r/>
            <w:r>
              <w:rPr>
                <w:rFonts w:ascii="Arial" w:hAnsi="Arial"/>
                <w:b w:val="0"/>
                <w:color w:val="000000"/>
                <w:sz w:val="16"/>
              </w:rPr>
              <w:t>Audit approach and sampling</w:t>
            </w:r>
          </w:p>
        </w:tc>
      </w:tr>
    </w:tbl>
    <w:p>
      <w:pPr>
        <w:pStyle w:val="Heading1"/>
      </w:pPr>
      <w:r>
        <w:t>Audit conclusion</w:t>
      </w:r>
    </w:p>
    <w:p>
      <w:r>
        <w:t>The audit raised 6 findings. 1 areas were rated Major Gaps, 3 were rated Minor Gaps and 1 were rated Unsatisfactory. The remaining 19 areas were assessed as Satisfactory.</w:t>
      </w:r>
    </w:p>
    <w:p>
      <w:r>
        <w:br w:type="page"/>
      </w:r>
    </w:p>
    <w:p>
      <w:pPr>
        <w:pStyle w:val="Heading1"/>
      </w:pPr>
      <w:r>
        <w:t>Area rating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680"/>
            <w:vAlign w:val="center"/>
            <w:tcMar>
              <w:top w:w="80" w:type="dxa"/>
              <w:start w:w="105" w:type="dxa"/>
              <w:bottom w:w="80" w:type="dxa"/>
              <w:end w:w="105" w:type="dxa"/>
            </w:tcMar>
            <w:shd w:fill="26342C"/>
          </w:tcPr>
          <w:p>
            <w:pPr>
              <w:spacing w:before="0" w:after="0"/>
              <w:jc w:val="center"/>
            </w:pPr>
            <w:r/>
            <w:r>
              <w:rPr>
                <w:rFonts w:ascii="Arial" w:hAnsi="Arial"/>
                <w:b/>
                <w:color w:val="FFFFFF"/>
                <w:sz w:val="16"/>
              </w:rPr>
              <w:t>#</w:t>
            </w:r>
          </w:p>
        </w:tc>
        <w:tc>
          <w:tcPr>
            <w:tcW w:type="dxa" w:w="6123"/>
            <w:vAlign w:val="center"/>
            <w:tcMar>
              <w:top w:w="80" w:type="dxa"/>
              <w:start w:w="105" w:type="dxa"/>
              <w:bottom w:w="80" w:type="dxa"/>
              <w:end w:w="105" w:type="dxa"/>
            </w:tcMar>
            <w:shd w:fill="26342C"/>
          </w:tcPr>
          <w:p>
            <w:pPr>
              <w:spacing w:before="0" w:after="0"/>
              <w:jc w:val="center"/>
            </w:pPr>
            <w:r/>
            <w:r>
              <w:rPr>
                <w:rFonts w:ascii="Arial" w:hAnsi="Arial"/>
                <w:b/>
                <w:color w:val="FFFFFF"/>
                <w:sz w:val="16"/>
              </w:rPr>
              <w:t>Audit area</w:t>
            </w:r>
          </w:p>
        </w:tc>
        <w:tc>
          <w:tcPr>
            <w:tcW w:type="dxa" w:w="2608"/>
            <w:vAlign w:val="center"/>
            <w:tcMar>
              <w:top w:w="80" w:type="dxa"/>
              <w:start w:w="105" w:type="dxa"/>
              <w:bottom w:w="80" w:type="dxa"/>
              <w:end w:w="105" w:type="dxa"/>
            </w:tcMar>
            <w:shd w:fill="26342C"/>
          </w:tcPr>
          <w:p>
            <w:pPr>
              <w:spacing w:before="0" w:after="0"/>
              <w:jc w:val="center"/>
            </w:pPr>
            <w:r/>
            <w:r>
              <w:rPr>
                <w:rFonts w:ascii="Arial" w:hAnsi="Arial"/>
                <w:b/>
                <w:color w:val="FFFFFF"/>
                <w:sz w:val="16"/>
              </w:rPr>
              <w:t>Rating</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Food Safety and Quality Governance</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Site Leadership and Control Planning</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Facility Condition and Hygienic Design</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Major Gaps</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Operator Induction and Skills Verification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5</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Asset Care and Utility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Unsatisfactory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6</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Quality Documentation and Data Integrity</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7</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Product and Packaging Specification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8</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Line Clearance and Sanitation Verification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9</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High Care Segregation and Environmental Sampling</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10</w:t>
            </w:r>
          </w:p>
        </w:tc>
        <w:tc>
          <w:tcPr>
            <w:tcW w:type="dxa" w:w="6123"/>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Pest Risk Management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Batch Genealogy and Product Withdrawal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Hazard Control and Process Validation</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Rework Handling and Shelf Life Control</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Raw Material Intake and Supplier Oversight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15</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Storage Conditions and Outbound Logistics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16</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Food Defence and Authenticity</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17</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Personnel Hygiene and Operational Discipline</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18</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Instrument Accuracy and Test Equipment</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19</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Deviation Escalation and Product Status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20</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Process Parameter and Quality Monitoring</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21</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Market Feedback and Product Returns</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22</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Site Verification Programme</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Minor Gaps</w:t>
            </w:r>
          </w:p>
        </w:tc>
      </w:tr>
      <w:tr>
        <w:tc>
          <w:tcPr>
            <w:tcW w:type="dxa" w:w="680"/>
            <w:vAlign w:val="center"/>
            <w:tcMar>
              <w:top w:w="80" w:type="dxa"/>
              <w:start w:w="105" w:type="dxa"/>
              <w:bottom w:w="80" w:type="dxa"/>
              <w:end w:w="105" w:type="dxa"/>
            </w:tcMar>
          </w:tcPr>
          <w:p>
            <w:pPr>
              <w:spacing w:before="0" w:after="0"/>
              <w:jc w:val="left"/>
            </w:pPr>
            <w:r/>
            <w:r>
              <w:rPr>
                <w:rFonts w:ascii="Arial" w:hAnsi="Arial"/>
                <w:b w:val="0"/>
                <w:color w:val="000000"/>
                <w:sz w:val="16"/>
              </w:rPr>
              <w:t>23</w:t>
            </w:r>
          </w:p>
        </w:tc>
        <w:tc>
          <w:tcPr>
            <w:tcW w:type="dxa" w:w="6123"/>
            <w:vAlign w:val="center"/>
            <w:tcMar>
              <w:top w:w="80" w:type="dxa"/>
              <w:start w:w="105" w:type="dxa"/>
              <w:bottom w:w="80" w:type="dxa"/>
              <w:end w:w="105" w:type="dxa"/>
            </w:tcMar>
          </w:tcPr>
          <w:p>
            <w:pPr>
              <w:spacing w:before="0" w:after="0"/>
              <w:jc w:val="left"/>
            </w:pPr>
            <w:r/>
            <w:r>
              <w:rPr>
                <w:rFonts w:ascii="Arial" w:hAnsi="Arial"/>
                <w:b w:val="0"/>
                <w:color w:val="000000"/>
                <w:sz w:val="16"/>
              </w:rPr>
              <w:t>Quality Performance and Leadership Review</w:t>
            </w:r>
          </w:p>
        </w:tc>
        <w:tc>
          <w:tcPr>
            <w:tcW w:type="dxa" w:w="2608"/>
            <w:vAlign w:val="center"/>
            <w:tcMar>
              <w:top w:w="80" w:type="dxa"/>
              <w:start w:w="105" w:type="dxa"/>
              <w:bottom w:w="80" w:type="dxa"/>
              <w:end w:w="105" w:type="dxa"/>
            </w:tcMar>
          </w:tcPr>
          <w:p>
            <w:pPr>
              <w:spacing w:before="0" w:after="0"/>
              <w:jc w:val="center"/>
            </w:pPr>
            <w:r/>
            <w:r>
              <w:rPr>
                <w:rFonts w:ascii="Arial" w:hAnsi="Arial"/>
                <w:b w:val="0"/>
                <w:color w:val="000000"/>
                <w:sz w:val="16"/>
              </w:rPr>
              <w:t>Satisfactory</w:t>
            </w:r>
          </w:p>
        </w:tc>
      </w:tr>
      <w:tr>
        <w:tc>
          <w:tcPr>
            <w:tcW w:type="dxa" w:w="680"/>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24</w:t>
            </w:r>
          </w:p>
        </w:tc>
        <w:tc>
          <w:tcPr>
            <w:tcW w:type="dxa" w:w="6123"/>
            <w:vAlign w:val="center"/>
            <w:tcMar>
              <w:top w:w="80" w:type="dxa"/>
              <w:start w:w="105" w:type="dxa"/>
              <w:bottom w:w="80" w:type="dxa"/>
              <w:end w:w="105" w:type="dxa"/>
            </w:tcMar>
            <w:shd w:fill="F4F6F5"/>
          </w:tcPr>
          <w:p>
            <w:pPr>
              <w:spacing w:before="0" w:after="0"/>
              <w:jc w:val="left"/>
            </w:pPr>
            <w:r/>
            <w:r>
              <w:rPr>
                <w:rFonts w:ascii="Arial" w:hAnsi="Arial"/>
                <w:b w:val="0"/>
                <w:color w:val="000000"/>
                <w:sz w:val="16"/>
              </w:rPr>
              <w:t>Root Cause and Action Closure</w:t>
            </w:r>
          </w:p>
        </w:tc>
        <w:tc>
          <w:tcPr>
            <w:tcW w:type="dxa" w:w="2608"/>
            <w:vAlign w:val="center"/>
            <w:tcMar>
              <w:top w:w="80" w:type="dxa"/>
              <w:start w:w="105" w:type="dxa"/>
              <w:bottom w:w="80" w:type="dxa"/>
              <w:end w:w="105" w:type="dxa"/>
            </w:tcMar>
            <w:shd w:fill="F4F6F5"/>
          </w:tcPr>
          <w:p>
            <w:pPr>
              <w:spacing w:before="0" w:after="0"/>
              <w:jc w:val="center"/>
            </w:pPr>
            <w:r/>
            <w:r>
              <w:rPr>
                <w:rFonts w:ascii="Arial" w:hAnsi="Arial"/>
                <w:b w:val="0"/>
                <w:color w:val="000000"/>
                <w:sz w:val="16"/>
              </w:rPr>
              <w:t>Satisfactory</w:t>
            </w:r>
          </w:p>
        </w:tc>
      </w:tr>
    </w:tbl>
    <w:p>
      <w:r>
        <w:br w:type="page"/>
      </w:r>
    </w:p>
    <w:p>
      <w:pPr>
        <w:pStyle w:val="Heading1"/>
      </w:pPr>
      <w:r>
        <w:t>Finding records and remediation plans</w:t>
      </w:r>
    </w:p>
    <w:p>
      <w:r>
        <w:t>Each record consolidates the observed condition, supporting evidence, applicable requirement, cause assessment and agreed actions. Due dates and responsible owners are fictional and included for workflow and analytics testing.</w:t>
      </w:r>
    </w:p>
    <w:p>
      <w:pPr>
        <w:pStyle w:val="Heading1"/>
      </w:pPr>
      <w:r>
        <w:t>FINDING 01  |  AFG-PR-2601</w:t>
      </w:r>
    </w:p>
    <w:p>
      <w:pPr>
        <w:pStyle w:val="Heading2"/>
      </w:pPr>
      <w:r>
        <w:t>Asset Care and Utility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Unsatisfactory</w:t>
            </w:r>
          </w:p>
        </w:tc>
        <w:tc>
          <w:tcPr>
            <w:tcW w:type="dxa" w:w="3685"/>
            <w:vAlign w:val="center"/>
            <w:tcMar>
              <w:top w:w="80" w:type="dxa"/>
              <w:start w:w="105" w:type="dxa"/>
              <w:bottom w:w="80" w:type="dxa"/>
              <w:end w:w="105" w:type="dxa"/>
            </w:tcMar>
          </w:tcPr>
          <w:p>
            <w:pPr>
              <w:spacing w:before="0" w:after="0"/>
              <w:jc w:val="center"/>
            </w:pPr>
            <w:r/>
            <w:r>
              <w:rPr>
                <w:rFonts w:ascii="Arial" w:hAnsi="Arial"/>
                <w:b w:val="0"/>
                <w:color w:val="000000"/>
                <w:sz w:val="16"/>
              </w:rPr>
              <w:t>Potable water protection</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Critical</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Utilities and Maintenance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Stefano Gatti, Engineering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2026-06-30</w:t>
            </w:r>
          </w:p>
        </w:tc>
      </w:tr>
    </w:tbl>
    <w:p>
      <w:pPr>
        <w:pStyle w:val="Heading2"/>
      </w:pPr>
      <w:r>
        <w:t>Observed condition</w:t>
      </w:r>
    </w:p>
    <w:p>
      <w:r>
        <w:t>A cross-connection between the potable-water ring and a non-potable cooling circuit could not be demonstrated as protected by a tested backflow-prevention device. The connection supplied a wash station adjacent to open product equipment.</w:t>
      </w:r>
    </w:p>
    <w:p>
      <w:pPr>
        <w:pStyle w:val="Heading2"/>
      </w:pPr>
      <w:r>
        <w:t>Supporting evidence</w:t>
      </w:r>
    </w:p>
    <w:p>
      <w:pPr>
        <w:pStyle w:val="ListBullet"/>
        <w:spacing w:after="60"/>
      </w:pPr>
      <w:r>
        <w:t>The installed check valve had no unique asset number or test record.</w:t>
      </w:r>
    </w:p>
    <w:p>
      <w:pPr>
        <w:pStyle w:val="ListBullet"/>
        <w:spacing w:after="60"/>
      </w:pPr>
      <w:r>
        <w:t>Water samples collected upstream and downstream met microbiological and chemical specifications.</w:t>
      </w:r>
    </w:p>
    <w:p>
      <w:pPr>
        <w:pStyle w:val="ListBullet"/>
        <w:spacing w:after="60"/>
      </w:pPr>
      <w:r>
        <w:t>The wash station was isolated during the audit and an independent potable-water supply was installed.</w:t>
      </w:r>
    </w:p>
    <w:p>
      <w:pPr>
        <w:pStyle w:val="Heading2"/>
      </w:pPr>
      <w:r>
        <w:t>Applicable requirement</w:t>
      </w:r>
    </w:p>
    <w:p>
      <w:r>
        <w:t>AFG Utilities Standard 6.1 sections 4.3 and 5.7</w:t>
      </w:r>
    </w:p>
    <w:p>
      <w:pPr>
        <w:pStyle w:val="Heading2"/>
      </w:pPr>
      <w:r>
        <w:t>Cause assessment</w:t>
      </w:r>
    </w:p>
    <w:p>
      <w:r>
        <w:t>The project commissioning checklist treated the valve as a mechanical component and did not route it into the food safety verification program.</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CR-2601-01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Isolate the cross-connection and provide an independent potable supply</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Stefano Gatti, Engineering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2026-05-06</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2026-06-05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CR-2601-02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Inspect all potable and non-potable interfaces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2026-05-15</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2026-06-14</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CA-2601-01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Install certified backflow prevention and complete validation</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Stefano Gatti, Engineering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2026-06-10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2026-07-10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CA-2601-02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Create a controlled register and annual test plan for protection devices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Stefano Gatti, Engineering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02  |  AFG-PR-2602</w:t>
      </w:r>
    </w:p>
    <w:p>
      <w:pPr>
        <w:pStyle w:val="Heading2"/>
      </w:pPr>
      <w:r>
        <w:t>Facility Condition and Hygienic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Major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Hygienic design of dryer support structure</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High</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Resources and Infrastructure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Roberto Sala, Production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2026-08-31</w:t>
            </w:r>
          </w:p>
        </w:tc>
      </w:tr>
    </w:tbl>
    <w:p>
      <w:pPr>
        <w:pStyle w:val="Heading2"/>
      </w:pPr>
      <w:r>
        <w:t>Observed condition</w:t>
      </w:r>
    </w:p>
    <w:p>
      <w:r>
        <w:t>Horizontal ledges and unsealed hollow sections above the powder transfer route accumulated dust and were difficult to inspect.</w:t>
      </w:r>
    </w:p>
    <w:p>
      <w:pPr>
        <w:pStyle w:val="Heading2"/>
      </w:pPr>
      <w:r>
        <w:t>Supporting evidence</w:t>
      </w:r>
    </w:p>
    <w:p>
      <w:pPr>
        <w:pStyle w:val="ListBullet"/>
        <w:spacing w:after="60"/>
      </w:pPr>
      <w:r>
        <w:t>Powder deposits were visible on three ledges above closed transfer piping.</w:t>
      </w:r>
    </w:p>
    <w:p>
      <w:pPr>
        <w:pStyle w:val="ListBullet"/>
        <w:spacing w:after="60"/>
      </w:pPr>
      <w:r>
        <w:t>No evidence of product contamination was found.</w:t>
      </w:r>
    </w:p>
    <w:p>
      <w:pPr>
        <w:pStyle w:val="ListBullet"/>
        <w:spacing w:after="60"/>
      </w:pPr>
      <w:r>
        <w:t>The structures were part of the 2025 dryer project and had not received formal hygienic-design approval.</w:t>
      </w:r>
    </w:p>
    <w:p>
      <w:pPr>
        <w:pStyle w:val="Heading2"/>
      </w:pPr>
      <w:r>
        <w:t>Applicable requirement</w:t>
      </w:r>
    </w:p>
    <w:p>
      <w:r>
        <w:t>AFG Hygienic Design Standard 3.9 sections 6.1 and 8.2</w:t>
      </w:r>
    </w:p>
    <w:p>
      <w:pPr>
        <w:pStyle w:val="Heading2"/>
      </w:pPr>
      <w:r>
        <w:t>Cause assessment</w:t>
      </w:r>
    </w:p>
    <w:p>
      <w:r>
        <w:t>The capital-project stage gate did not identify a trained food safety approver for structural design.</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CR-2602-01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Deep clean the structure and add weekly inspection</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Roberto Sala, Production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2026-05-09</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2026-06-08</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CA-2602-01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Seal hollow sections and modify ledges to a cleanable profile</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Stefano Gatti, Engineering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2026-08-31</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2026-09-30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CA-2602-02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Nominate and train hygienic-design approvers</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03  |  AFG-PR-2603</w:t>
      </w:r>
    </w:p>
    <w:p>
      <w:pPr>
        <w:pStyle w:val="Heading2"/>
      </w:pPr>
      <w:r>
        <w:t>Asset Care and Utility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Major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Preventive maintenance completion</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High</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Utilities and Maintenance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Alessandro Noto, Maintenance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2026-06-30</w:t>
            </w:r>
          </w:p>
        </w:tc>
      </w:tr>
    </w:tbl>
    <w:p>
      <w:pPr>
        <w:pStyle w:val="Heading2"/>
      </w:pPr>
      <w:r>
        <w:t>Observed condition</w:t>
      </w:r>
    </w:p>
    <w:p>
      <w:r>
        <w:t>Critical preventive maintenance tasks were repeatedly deferred without a documented food safety risk review.</w:t>
      </w:r>
    </w:p>
    <w:p>
      <w:pPr>
        <w:pStyle w:val="Heading2"/>
      </w:pPr>
      <w:r>
        <w:t>Supporting evidence</w:t>
      </w:r>
    </w:p>
    <w:p>
      <w:pPr>
        <w:pStyle w:val="ListBullet"/>
        <w:spacing w:after="60"/>
      </w:pPr>
      <w:r>
        <w:t>Eleven tasks were more than 30 days overdue; four related to air filtration and powder-transfer seals.</w:t>
      </w:r>
    </w:p>
    <w:p>
      <w:pPr>
        <w:pStyle w:val="ListBullet"/>
        <w:spacing w:after="60"/>
      </w:pPr>
      <w:r>
        <w:t>Daily inspections had not identified loss of integrity.</w:t>
      </w:r>
    </w:p>
    <w:p>
      <w:pPr>
        <w:pStyle w:val="ListBullet"/>
        <w:spacing w:after="60"/>
      </w:pPr>
      <w:r>
        <w:t>The maintenance system allowed a planner to extend due dates without Quality approval.</w:t>
      </w:r>
    </w:p>
    <w:p>
      <w:pPr>
        <w:pStyle w:val="Heading2"/>
      </w:pPr>
      <w:r>
        <w:t>Applicable requirement</w:t>
      </w:r>
    </w:p>
    <w:p>
      <w:r>
        <w:t>AFG Maintenance Standard 4.5 section 7.3</w:t>
      </w:r>
    </w:p>
    <w:p>
      <w:pPr>
        <w:pStyle w:val="Heading2"/>
      </w:pPr>
      <w:r>
        <w:t>Cause assessment</w:t>
      </w:r>
    </w:p>
    <w:p>
      <w:r>
        <w:t>The computerized maintenance workflow did not distinguish food-safety-critical assets from standard assets.</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CR-2603-01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Complete or risk-assess all overdue critical tasks</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Alessandro Noto, Maintenance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2026-05-20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2026-06-19</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CA-2603-01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Classify critical assets and require Quality approval for deferral</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Alessandro Noto, Maintenance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r>
        <w:tc>
          <w:tcPr>
            <w:tcW w:type="dxa" w:w="1247"/>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CA-2603-02</w:t>
            </w:r>
          </w:p>
        </w:tc>
        <w:tc>
          <w:tcPr>
            <w:tcW w:type="dxa" w:w="232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Report overdue critical maintenance in monthly management review</w:t>
            </w:r>
          </w:p>
        </w:tc>
        <w:tc>
          <w:tcPr>
            <w:tcW w:type="dxa" w:w="1361"/>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P1</w:t>
            </w:r>
          </w:p>
        </w:tc>
        <w:tc>
          <w:tcPr>
            <w:tcW w:type="dxa" w:w="1474"/>
            <w:vAlign w:val="center"/>
            <w:tcMar>
              <w:top w:w="80" w:type="dxa"/>
              <w:start w:w="105" w:type="dxa"/>
              <w:bottom w:w="80" w:type="dxa"/>
              <w:end w:w="105" w:type="dxa"/>
            </w:tcMar>
            <w:shd w:fill="F4F6F5"/>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shd w:fill="F4F6F5"/>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04  |  AFG-PR-2604</w:t>
      </w:r>
    </w:p>
    <w:p>
      <w:pPr>
        <w:pStyle w:val="Heading2"/>
      </w:pPr>
      <w:r>
        <w:t>High Care Segregation and Environmental Sampling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Environmental monitoring trend review</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Zoning and Environmental Monitoring</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Marta Vezzi, Quality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2026-06-15</w:t>
            </w:r>
          </w:p>
        </w:tc>
      </w:tr>
    </w:tbl>
    <w:p>
      <w:pPr>
        <w:pStyle w:val="Heading2"/>
      </w:pPr>
      <w:r>
        <w:t>Observed condition</w:t>
      </w:r>
    </w:p>
    <w:p>
      <w:r>
        <w:t>Monthly environmental reviews evaluated positive results individually but did not trend recovery locations, organism groups or repeated low-level signals.</w:t>
      </w:r>
    </w:p>
    <w:p>
      <w:pPr>
        <w:pStyle w:val="Heading2"/>
      </w:pPr>
      <w:r>
        <w:t>Supporting evidence</w:t>
      </w:r>
    </w:p>
    <w:p>
      <w:pPr>
        <w:pStyle w:val="ListBullet"/>
        <w:spacing w:after="60"/>
      </w:pPr>
      <w:r>
        <w:t>Two adjacent dryer-floor sites produced five Enterobacteriaceae detections over six months.</w:t>
      </w:r>
    </w:p>
    <w:p>
      <w:pPr>
        <w:pStyle w:val="ListBullet"/>
        <w:spacing w:after="60"/>
      </w:pPr>
      <w:r>
        <w:t>All follow-up samples were satisfactory.</w:t>
      </w:r>
    </w:p>
    <w:p>
      <w:pPr>
        <w:pStyle w:val="ListBullet"/>
        <w:spacing w:after="60"/>
      </w:pPr>
      <w:r>
        <w:t>The pattern was not discussed in the documented monthly review.</w:t>
      </w:r>
    </w:p>
    <w:p>
      <w:pPr>
        <w:pStyle w:val="Heading2"/>
      </w:pPr>
      <w:r>
        <w:t>Applicable requirement</w:t>
      </w:r>
    </w:p>
    <w:p>
      <w:r>
        <w:t>AFG Environmental Monitoring Standard 5.4 section 9.2</w:t>
      </w:r>
    </w:p>
    <w:p>
      <w:pPr>
        <w:pStyle w:val="Heading2"/>
      </w:pPr>
      <w:r>
        <w:t>Cause assessment</w:t>
      </w:r>
    </w:p>
    <w:p>
      <w:r>
        <w:t>The review template focused on confirmed positives and omitted leading indicators.</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CR-2604-01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Perform a retrospective trend review and expand sampling around the two sites</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2026-05-22</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2026-06-21</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CA-2604-01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Revise the monthly dashboard to include recurrence and spatial trends</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Lorenzo Pini, Microbiology Lead</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05  |  AFG-PR-2605</w:t>
      </w:r>
    </w:p>
    <w:p>
      <w:pPr>
        <w:pStyle w:val="Heading2"/>
      </w:pPr>
      <w:r>
        <w:t>Raw Material Intake and Supplier Oversight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Approval of food-contact lubricant supplier</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Supplier and Incoming Material Management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Francesca Mori, Procurement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2026-06-05</w:t>
            </w:r>
          </w:p>
        </w:tc>
      </w:tr>
    </w:tbl>
    <w:p>
      <w:pPr>
        <w:pStyle w:val="Heading2"/>
      </w:pPr>
      <w:r>
        <w:t>Observed condition</w:t>
      </w:r>
    </w:p>
    <w:p>
      <w:r>
        <w:t>A food-contact lubricant was purchased from an approved distributor, but the manufacturer and formulation had not been evaluated through the site change-control process.</w:t>
      </w:r>
    </w:p>
    <w:p>
      <w:pPr>
        <w:pStyle w:val="Heading2"/>
      </w:pPr>
      <w:r>
        <w:t>Supporting evidence</w:t>
      </w:r>
    </w:p>
    <w:p>
      <w:pPr>
        <w:pStyle w:val="ListBullet"/>
        <w:spacing w:after="60"/>
      </w:pPr>
      <w:r>
        <w:t>The product carried the required NSF registration.</w:t>
      </w:r>
    </w:p>
    <w:p>
      <w:pPr>
        <w:pStyle w:val="ListBullet"/>
        <w:spacing w:after="60"/>
      </w:pPr>
      <w:r>
        <w:t>Nine containers had been received and two were in use.</w:t>
      </w:r>
    </w:p>
    <w:p>
      <w:pPr>
        <w:pStyle w:val="ListBullet"/>
        <w:spacing w:after="60"/>
      </w:pPr>
      <w:r>
        <w:t>The specification differed from the previously approved lubricant in viscosity and temperature range.</w:t>
      </w:r>
    </w:p>
    <w:p>
      <w:pPr>
        <w:pStyle w:val="Heading2"/>
      </w:pPr>
      <w:r>
        <w:t>Applicable requirement</w:t>
      </w:r>
    </w:p>
    <w:p>
      <w:r>
        <w:t>AFG Supplier Standard 3.4 sections 5.1 and 8.3</w:t>
      </w:r>
    </w:p>
    <w:p>
      <w:pPr>
        <w:pStyle w:val="Heading2"/>
      </w:pPr>
      <w:r>
        <w:t>Cause assessment</w:t>
      </w:r>
    </w:p>
    <w:p>
      <w:r>
        <w:t>Procurement treated a distributor substitution as an administrative vendor change rather than a material change.</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CR-2605-01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Quarantine unused stock and complete technical assessment</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Francesca Mori, Procurement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2026-05-12</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2026-06-11</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CA-2605-01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Add manufacturer and formulation checks to supplier change control</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Francesca Mori, Procurement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2026-06-05</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2026-07-05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ageBreakBefore/>
      </w:pPr>
      <w:r>
        <w:t>FINDING 06  |  AFG-PR-2606</w:t>
      </w:r>
    </w:p>
    <w:p>
      <w:pPr>
        <w:pStyle w:val="Heading2"/>
      </w:pPr>
      <w:r>
        <w:t>Site Verification Programme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928"/>
            <w:vAlign w:val="center"/>
            <w:tcMar>
              <w:top w:w="80" w:type="dxa"/>
              <w:start w:w="105" w:type="dxa"/>
              <w:bottom w:w="80" w:type="dxa"/>
              <w:end w:w="105" w:type="dxa"/>
            </w:tcMar>
            <w:shd w:fill="26342C"/>
          </w:tcPr>
          <w:p>
            <w:pPr>
              <w:spacing w:before="0" w:after="0"/>
              <w:jc w:val="center"/>
            </w:pPr>
            <w:r/>
            <w:r>
              <w:rPr>
                <w:rFonts w:ascii="Arial" w:hAnsi="Arial"/>
                <w:b/>
                <w:color w:val="FFFFFF"/>
                <w:sz w:val="16"/>
              </w:rPr>
              <w:t>Area rating</w:t>
            </w:r>
          </w:p>
        </w:tc>
        <w:tc>
          <w:tcPr>
            <w:tcW w:type="dxa" w:w="3685"/>
            <w:vAlign w:val="center"/>
            <w:tcMar>
              <w:top w:w="80" w:type="dxa"/>
              <w:start w:w="105" w:type="dxa"/>
              <w:bottom w:w="80" w:type="dxa"/>
              <w:end w:w="105" w:type="dxa"/>
            </w:tcMar>
            <w:shd w:fill="26342C"/>
          </w:tcPr>
          <w:p>
            <w:pPr>
              <w:spacing w:before="0" w:after="0"/>
              <w:jc w:val="center"/>
            </w:pPr>
            <w:r/>
            <w:r>
              <w:rPr>
                <w:rFonts w:ascii="Arial" w:hAnsi="Arial"/>
                <w:b/>
                <w:color w:val="FFFFFF"/>
                <w:sz w:val="16"/>
              </w:rPr>
              <w:t>Control focus</w:t>
            </w:r>
          </w:p>
        </w:tc>
        <w:tc>
          <w:tcPr>
            <w:tcW w:type="dxa" w:w="3798"/>
            <w:vAlign w:val="center"/>
            <w:tcMar>
              <w:top w:w="80" w:type="dxa"/>
              <w:start w:w="105" w:type="dxa"/>
              <w:bottom w:w="80" w:type="dxa"/>
              <w:end w:w="105" w:type="dxa"/>
            </w:tcMar>
            <w:shd w:fill="26342C"/>
          </w:tcPr>
          <w:p>
            <w:pPr>
              <w:spacing w:before="0" w:after="0"/>
              <w:jc w:val="center"/>
            </w:pPr>
            <w:r/>
            <w:r>
              <w:rPr>
                <w:rFonts w:ascii="Arial" w:hAnsi="Arial"/>
                <w:b/>
                <w:color w:val="FFFFFF"/>
                <w:sz w:val="16"/>
              </w:rPr>
              <w:t>Evidence type</w:t>
            </w:r>
          </w:p>
        </w:tc>
      </w:tr>
      <w:tr>
        <w:tc>
          <w:tcPr>
            <w:tcW w:type="dxa" w:w="1928"/>
            <w:vAlign w:val="center"/>
            <w:tcMar>
              <w:top w:w="80" w:type="dxa"/>
              <w:start w:w="105" w:type="dxa"/>
              <w:bottom w:w="80" w:type="dxa"/>
              <w:end w:w="105" w:type="dxa"/>
            </w:tcMar>
          </w:tcPr>
          <w:p>
            <w:pPr>
              <w:spacing w:before="0" w:after="0"/>
              <w:jc w:val="left"/>
            </w:pPr>
            <w:r/>
            <w:r>
              <w:rPr>
                <w:rFonts w:ascii="Arial" w:hAnsi="Arial"/>
                <w:b w:val="0"/>
                <w:color w:val="000000"/>
                <w:sz w:val="16"/>
              </w:rPr>
              <w:t>Minor Gaps</w:t>
            </w:r>
          </w:p>
        </w:tc>
        <w:tc>
          <w:tcPr>
            <w:tcW w:type="dxa" w:w="3685"/>
            <w:vAlign w:val="center"/>
            <w:tcMar>
              <w:top w:w="80" w:type="dxa"/>
              <w:start w:w="105" w:type="dxa"/>
              <w:bottom w:w="80" w:type="dxa"/>
              <w:end w:w="105" w:type="dxa"/>
            </w:tcMar>
          </w:tcPr>
          <w:p>
            <w:pPr>
              <w:spacing w:before="0" w:after="0"/>
              <w:jc w:val="left"/>
            </w:pPr>
            <w:r/>
            <w:r>
              <w:rPr>
                <w:rFonts w:ascii="Arial" w:hAnsi="Arial"/>
                <w:b w:val="0"/>
                <w:color w:val="000000"/>
                <w:sz w:val="16"/>
              </w:rPr>
              <w:t>Internal audit independence and coverage</w:t>
            </w:r>
          </w:p>
        </w:tc>
        <w:tc>
          <w:tcPr>
            <w:tcW w:type="dxa" w:w="3798"/>
            <w:vAlign w:val="center"/>
            <w:tcMar>
              <w:top w:w="80" w:type="dxa"/>
              <w:start w:w="105" w:type="dxa"/>
              <w:bottom w:w="80" w:type="dxa"/>
              <w:end w:w="105" w:type="dxa"/>
            </w:tcMar>
          </w:tcPr>
          <w:p>
            <w:pPr>
              <w:spacing w:before="0" w:after="0"/>
              <w:jc w:val="left"/>
            </w:pPr>
            <w:r/>
            <w:r>
              <w:rPr>
                <w:rFonts w:ascii="Arial" w:hAnsi="Arial"/>
                <w:b w:val="0"/>
                <w:color w:val="000000"/>
                <w:sz w:val="16"/>
              </w:rPr>
              <w:t>Records, interviews and operational evidence</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Risk level</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Medium</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Affected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Internal Audits and Integrated Monitoring</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Detection method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Audit sampling and direct verification</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Repeat finding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Product impact</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No confirmed affected product unless stated in the evidence</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Finding owner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Marta Vezzi, Quality Manager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Target closure date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2026-06-30</w:t>
            </w:r>
          </w:p>
        </w:tc>
      </w:tr>
    </w:tbl>
    <w:p>
      <w:pPr>
        <w:pStyle w:val="Heading2"/>
      </w:pPr>
      <w:r>
        <w:t>Observed condition</w:t>
      </w:r>
    </w:p>
    <w:p>
      <w:r>
        <w:t>The utility-water program had not been audited since 2023, and the assigned auditor reported to the engineering manager responsible for the program.</w:t>
      </w:r>
    </w:p>
    <w:p>
      <w:pPr>
        <w:pStyle w:val="Heading2"/>
      </w:pPr>
      <w:r>
        <w:t>Supporting evidence</w:t>
      </w:r>
    </w:p>
    <w:p>
      <w:pPr>
        <w:pStyle w:val="ListBullet"/>
        <w:spacing w:after="60"/>
      </w:pPr>
      <w:r>
        <w:t>The annual plan was risk-ranked but did not set an independence rule.</w:t>
      </w:r>
    </w:p>
    <w:p>
      <w:pPr>
        <w:pStyle w:val="ListBullet"/>
        <w:spacing w:after="60"/>
      </w:pPr>
      <w:r>
        <w:t>The auditor had appropriate technical competence.</w:t>
      </w:r>
    </w:p>
    <w:p>
      <w:pPr>
        <w:pStyle w:val="ListBullet"/>
        <w:spacing w:after="60"/>
      </w:pPr>
      <w:r>
        <w:t>Previous water audits had no overdue actions.</w:t>
      </w:r>
    </w:p>
    <w:p>
      <w:pPr>
        <w:pStyle w:val="Heading2"/>
      </w:pPr>
      <w:r>
        <w:t>Applicable requirement</w:t>
      </w:r>
    </w:p>
    <w:p>
      <w:r>
        <w:t>AFG Internal Audit Standard 2.0 sections 4.4 and 6.2</w:t>
      </w:r>
    </w:p>
    <w:p>
      <w:pPr>
        <w:pStyle w:val="Heading2"/>
      </w:pPr>
      <w:r>
        <w:t>Cause assessment</w:t>
      </w:r>
    </w:p>
    <w:p>
      <w:r>
        <w:t>Auditor availability drove assignment decisions and the audit universe was not checked for elapsed coverage.</w:t>
      </w:r>
    </w:p>
    <w:p>
      <w:pPr>
        <w:pStyle w:val="Heading2"/>
      </w:pPr>
      <w:r>
        <w:t>Immediate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CR-2606-01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Reassign and complete the water-program audit</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Containment or correction</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2026-06-15</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2026-07-15</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Corrective and preventive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tblHeader w:val="true"/>
        </w:trPr>
        <w:tc>
          <w:tcPr>
            <w:tcW w:type="dxa" w:w="1247"/>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 ID</w:t>
            </w:r>
          </w:p>
        </w:tc>
        <w:tc>
          <w:tcPr>
            <w:tcW w:type="dxa" w:w="2324"/>
            <w:vAlign w:val="center"/>
            <w:tcMar>
              <w:top w:w="80" w:type="dxa"/>
              <w:start w:w="105" w:type="dxa"/>
              <w:bottom w:w="80" w:type="dxa"/>
              <w:end w:w="105" w:type="dxa"/>
            </w:tcMar>
            <w:shd w:fill="26342C"/>
          </w:tcPr>
          <w:p>
            <w:pPr>
              <w:spacing w:before="0" w:after="0"/>
              <w:jc w:val="center"/>
            </w:pPr>
            <w:r/>
            <w:r>
              <w:rPr>
                <w:rFonts w:ascii="Arial" w:hAnsi="Arial"/>
                <w:b/>
                <w:color w:val="FFFFFF"/>
                <w:sz w:val="13"/>
              </w:rPr>
              <w:t>Action</w:t>
            </w:r>
          </w:p>
        </w:tc>
        <w:tc>
          <w:tcPr>
            <w:tcW w:type="dxa" w:w="1361"/>
            <w:vAlign w:val="center"/>
            <w:tcMar>
              <w:top w:w="80" w:type="dxa"/>
              <w:start w:w="105" w:type="dxa"/>
              <w:bottom w:w="80" w:type="dxa"/>
              <w:end w:w="105" w:type="dxa"/>
            </w:tcMar>
            <w:shd w:fill="26342C"/>
          </w:tcPr>
          <w:p>
            <w:pPr>
              <w:spacing w:before="0" w:after="0"/>
              <w:jc w:val="center"/>
            </w:pPr>
            <w:r/>
            <w:r>
              <w:rPr>
                <w:rFonts w:ascii="Arial" w:hAnsi="Arial"/>
                <w:b/>
                <w:color w:val="FFFFFF"/>
                <w:sz w:val="13"/>
              </w:rPr>
              <w:t>Type</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Priority</w:t>
            </w:r>
          </w:p>
        </w:tc>
        <w:tc>
          <w:tcPr>
            <w:tcW w:type="dxa" w:w="1474"/>
            <w:vAlign w:val="center"/>
            <w:tcMar>
              <w:top w:w="80" w:type="dxa"/>
              <w:start w:w="105" w:type="dxa"/>
              <w:bottom w:w="80" w:type="dxa"/>
              <w:end w:w="105" w:type="dxa"/>
            </w:tcMar>
            <w:shd w:fill="26342C"/>
          </w:tcPr>
          <w:p>
            <w:pPr>
              <w:spacing w:before="0" w:after="0"/>
              <w:jc w:val="center"/>
            </w:pPr>
            <w:r/>
            <w:r>
              <w:rPr>
                <w:rFonts w:ascii="Arial" w:hAnsi="Arial"/>
                <w:b/>
                <w:color w:val="FFFFFF"/>
                <w:sz w:val="13"/>
              </w:rPr>
              <w:t>Responsible</w:t>
            </w:r>
          </w:p>
        </w:tc>
        <w:tc>
          <w:tcPr>
            <w:tcW w:type="dxa" w:w="964"/>
            <w:vAlign w:val="center"/>
            <w:tcMar>
              <w:top w:w="80" w:type="dxa"/>
              <w:start w:w="105" w:type="dxa"/>
              <w:bottom w:w="80" w:type="dxa"/>
              <w:end w:w="105" w:type="dxa"/>
            </w:tcMar>
            <w:shd w:fill="26342C"/>
          </w:tcPr>
          <w:p>
            <w:pPr>
              <w:spacing w:before="0" w:after="0"/>
              <w:jc w:val="center"/>
            </w:pPr>
            <w:r/>
            <w:r>
              <w:rPr>
                <w:rFonts w:ascii="Arial" w:hAnsi="Arial"/>
                <w:b/>
                <w:color w:val="FFFFFF"/>
                <w:sz w:val="13"/>
              </w:rPr>
              <w:t>Due date</w:t>
            </w:r>
          </w:p>
        </w:tc>
        <w:tc>
          <w:tcPr>
            <w:tcW w:type="dxa" w:w="1020"/>
            <w:vAlign w:val="center"/>
            <w:tcMar>
              <w:top w:w="80" w:type="dxa"/>
              <w:start w:w="105" w:type="dxa"/>
              <w:bottom w:w="80" w:type="dxa"/>
              <w:end w:w="105" w:type="dxa"/>
            </w:tcMar>
            <w:shd w:fill="26342C"/>
          </w:tcPr>
          <w:p>
            <w:pPr>
              <w:spacing w:before="0" w:after="0"/>
              <w:jc w:val="center"/>
            </w:pPr>
            <w:r/>
            <w:r>
              <w:rPr>
                <w:rFonts w:ascii="Arial" w:hAnsi="Arial"/>
                <w:b/>
                <w:color w:val="FFFFFF"/>
                <w:sz w:val="13"/>
              </w:rPr>
              <w:t>Effect. check</w:t>
            </w:r>
          </w:p>
        </w:tc>
        <w:tc>
          <w:tcPr>
            <w:tcW w:type="dxa" w:w="794"/>
            <w:vAlign w:val="center"/>
            <w:tcMar>
              <w:top w:w="80" w:type="dxa"/>
              <w:start w:w="105" w:type="dxa"/>
              <w:bottom w:w="80" w:type="dxa"/>
              <w:end w:w="105" w:type="dxa"/>
            </w:tcMar>
            <w:shd w:fill="26342C"/>
          </w:tcPr>
          <w:p>
            <w:pPr>
              <w:spacing w:before="0" w:after="0"/>
              <w:jc w:val="center"/>
            </w:pPr>
            <w:r/>
            <w:r>
              <w:rPr>
                <w:rFonts w:ascii="Arial" w:hAnsi="Arial"/>
                <w:b/>
                <w:color w:val="FFFFFF"/>
                <w:sz w:val="13"/>
              </w:rPr>
              <w:t>Status</w:t>
            </w:r>
          </w:p>
        </w:tc>
      </w:tr>
      <w:tr>
        <w:tc>
          <w:tcPr>
            <w:tcW w:type="dxa" w:w="1247"/>
            <w:vAlign w:val="center"/>
            <w:tcMar>
              <w:top w:w="80" w:type="dxa"/>
              <w:start w:w="105" w:type="dxa"/>
              <w:bottom w:w="80" w:type="dxa"/>
              <w:end w:w="105" w:type="dxa"/>
            </w:tcMar>
          </w:tcPr>
          <w:p>
            <w:pPr>
              <w:spacing w:before="0" w:after="0"/>
              <w:jc w:val="left"/>
            </w:pPr>
            <w:r/>
            <w:r>
              <w:rPr>
                <w:rFonts w:ascii="Arial" w:hAnsi="Arial"/>
                <w:b w:val="0"/>
                <w:color w:val="000000"/>
                <w:sz w:val="13"/>
              </w:rPr>
              <w:t>CA-2606-01</w:t>
            </w:r>
          </w:p>
        </w:tc>
        <w:tc>
          <w:tcPr>
            <w:tcW w:type="dxa" w:w="2324"/>
            <w:vAlign w:val="center"/>
            <w:tcMar>
              <w:top w:w="80" w:type="dxa"/>
              <w:start w:w="105" w:type="dxa"/>
              <w:bottom w:w="80" w:type="dxa"/>
              <w:end w:w="105" w:type="dxa"/>
            </w:tcMar>
          </w:tcPr>
          <w:p>
            <w:pPr>
              <w:spacing w:before="0" w:after="0"/>
              <w:jc w:val="left"/>
            </w:pPr>
            <w:r/>
            <w:r>
              <w:rPr>
                <w:rFonts w:ascii="Arial" w:hAnsi="Arial"/>
                <w:b w:val="0"/>
                <w:color w:val="000000"/>
                <w:sz w:val="13"/>
              </w:rPr>
              <w:t>Set independence criteria and maximum coverage intervals in the audit procedure</w:t>
            </w:r>
          </w:p>
        </w:tc>
        <w:tc>
          <w:tcPr>
            <w:tcW w:type="dxa" w:w="1361"/>
            <w:vAlign w:val="center"/>
            <w:tcMar>
              <w:top w:w="80" w:type="dxa"/>
              <w:start w:w="105" w:type="dxa"/>
              <w:bottom w:w="80" w:type="dxa"/>
              <w:end w:w="105" w:type="dxa"/>
            </w:tcMar>
          </w:tcPr>
          <w:p>
            <w:pPr>
              <w:spacing w:before="0" w:after="0"/>
              <w:jc w:val="center"/>
            </w:pPr>
            <w:r/>
            <w:r>
              <w:rPr>
                <w:rFonts w:ascii="Arial" w:hAnsi="Arial"/>
                <w:b w:val="0"/>
                <w:color w:val="000000"/>
                <w:sz w:val="13"/>
              </w:rPr>
              <w:t>Corrective or preventive</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P2</w:t>
            </w:r>
          </w:p>
        </w:tc>
        <w:tc>
          <w:tcPr>
            <w:tcW w:type="dxa" w:w="1474"/>
            <w:vAlign w:val="center"/>
            <w:tcMar>
              <w:top w:w="80" w:type="dxa"/>
              <w:start w:w="105" w:type="dxa"/>
              <w:bottom w:w="80" w:type="dxa"/>
              <w:end w:w="105" w:type="dxa"/>
            </w:tcMar>
          </w:tcPr>
          <w:p>
            <w:pPr>
              <w:spacing w:before="0" w:after="0"/>
              <w:jc w:val="left"/>
            </w:pPr>
            <w:r/>
            <w:r>
              <w:rPr>
                <w:rFonts w:ascii="Arial" w:hAnsi="Arial"/>
                <w:b w:val="0"/>
                <w:color w:val="000000"/>
                <w:sz w:val="13"/>
              </w:rPr>
              <w:t>Marta Vezzi, Quality Manager</w:t>
            </w:r>
          </w:p>
        </w:tc>
        <w:tc>
          <w:tcPr>
            <w:tcW w:type="dxa" w:w="964"/>
            <w:vAlign w:val="center"/>
            <w:tcMar>
              <w:top w:w="80" w:type="dxa"/>
              <w:start w:w="105" w:type="dxa"/>
              <w:bottom w:w="80" w:type="dxa"/>
              <w:end w:w="105" w:type="dxa"/>
            </w:tcMar>
          </w:tcPr>
          <w:p>
            <w:pPr>
              <w:spacing w:before="0" w:after="0"/>
              <w:jc w:val="center"/>
            </w:pPr>
            <w:r/>
            <w:r>
              <w:rPr>
                <w:rFonts w:ascii="Arial" w:hAnsi="Arial"/>
                <w:b w:val="0"/>
                <w:color w:val="000000"/>
                <w:sz w:val="13"/>
              </w:rPr>
              <w:t>2026-06-30</w:t>
            </w:r>
          </w:p>
        </w:tc>
        <w:tc>
          <w:tcPr>
            <w:tcW w:type="dxa" w:w="1020"/>
            <w:vAlign w:val="center"/>
            <w:tcMar>
              <w:top w:w="80" w:type="dxa"/>
              <w:start w:w="105" w:type="dxa"/>
              <w:bottom w:w="80" w:type="dxa"/>
              <w:end w:w="105" w:type="dxa"/>
            </w:tcMar>
          </w:tcPr>
          <w:p>
            <w:pPr>
              <w:spacing w:before="0" w:after="0"/>
              <w:jc w:val="center"/>
            </w:pPr>
            <w:r/>
            <w:r>
              <w:rPr>
                <w:rFonts w:ascii="Arial" w:hAnsi="Arial"/>
                <w:b w:val="0"/>
                <w:color w:val="000000"/>
                <w:sz w:val="13"/>
              </w:rPr>
              <w:t>2026-07-30</w:t>
            </w:r>
          </w:p>
        </w:tc>
        <w:tc>
          <w:tcPr>
            <w:tcW w:type="dxa" w:w="794"/>
            <w:vAlign w:val="center"/>
            <w:tcMar>
              <w:top w:w="80" w:type="dxa"/>
              <w:start w:w="105" w:type="dxa"/>
              <w:bottom w:w="80" w:type="dxa"/>
              <w:end w:w="105" w:type="dxa"/>
            </w:tcMar>
          </w:tcPr>
          <w:p>
            <w:pPr>
              <w:spacing w:before="0" w:after="0"/>
              <w:jc w:val="center"/>
            </w:pPr>
            <w:r/>
            <w:r>
              <w:rPr>
                <w:rFonts w:ascii="Arial" w:hAnsi="Arial"/>
                <w:b w:val="0"/>
                <w:color w:val="000000"/>
                <w:sz w:val="13"/>
              </w:rPr>
              <w:t>Open</w:t>
            </w:r>
          </w:p>
        </w:tc>
      </w:tr>
    </w:tbl>
    <w:p>
      <w:pPr>
        <w:pStyle w:val="Heading2"/>
      </w:pPr>
      <w:r>
        <w:t>Follow-up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rPr>
          <w:tblHeader w:val="true"/>
        </w:trPr>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Proposed verification method</w:t>
            </w:r>
          </w:p>
        </w:tc>
        <w:tc>
          <w:tcPr>
            <w:tcW w:type="dxa" w:w="4706"/>
            <w:vAlign w:val="center"/>
            <w:tcMar>
              <w:top w:w="80" w:type="dxa"/>
              <w:start w:w="105" w:type="dxa"/>
              <w:bottom w:w="80" w:type="dxa"/>
              <w:end w:w="105" w:type="dxa"/>
            </w:tcMar>
            <w:shd w:fill="26342C"/>
          </w:tcPr>
          <w:p>
            <w:pPr>
              <w:spacing w:before="0" w:after="0"/>
              <w:jc w:val="center"/>
            </w:pPr>
            <w:r/>
            <w:r>
              <w:rPr>
                <w:rFonts w:ascii="Arial" w:hAnsi="Arial"/>
                <w:b/>
                <w:color w:val="FFFFFF"/>
                <w:sz w:val="16"/>
              </w:rPr>
              <w:t>Closure evidence expected</w:t>
            </w:r>
          </w:p>
        </w:tc>
      </w:tr>
      <w:tr>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Review implementation records and test the control through targeted sampling.</w:t>
            </w:r>
          </w:p>
        </w:tc>
        <w:tc>
          <w:tcPr>
            <w:tcW w:type="dxa" w:w="4706"/>
            <w:vAlign w:val="center"/>
            <w:tcMar>
              <w:top w:w="80" w:type="dxa"/>
              <w:start w:w="105" w:type="dxa"/>
              <w:bottom w:w="80" w:type="dxa"/>
              <w:end w:w="105" w:type="dxa"/>
            </w:tcMar>
          </w:tcPr>
          <w:p>
            <w:pPr>
              <w:spacing w:before="0" w:after="0"/>
              <w:jc w:val="left"/>
            </w:pPr>
            <w:r/>
            <w:r>
              <w:rPr>
                <w:rFonts w:ascii="Arial" w:hAnsi="Arial"/>
                <w:b w:val="0"/>
                <w:color w:val="000000"/>
                <w:sz w:val="16"/>
              </w:rPr>
              <w:t>Approved records, objective evidence and accountable owner sign-off.</w:t>
            </w:r>
          </w:p>
        </w:tc>
      </w:tr>
    </w:tbl>
    <w:p>
      <w:pPr>
        <w:pStyle w:val="Heading1"/>
      </w:pPr>
      <w:r>
        <w:t>Entity and audit profile</w:t>
      </w:r>
    </w:p>
    <w:p>
      <w:pPr>
        <w:pStyle w:val="Heading2"/>
      </w:pPr>
      <w:r>
        <w:t>Facility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Entity type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Manufacturing plant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Country</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Italy</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Address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Strada Provinciale 42, Parma, Italy</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Facility size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51,200 m2</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Annual volume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121,000 tonnes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Operating assets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5 drying and blending lines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Employees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286</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Markets served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European Union, Middle East and North Africa</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Certificates held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FSSC 22000, ISO 9001, Halal</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Entity specifics</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The entity handles milk powders, whey ingredients and dairy blends. The reviewed scope covered relevant operational and supporting controls.</w:t>
            </w:r>
          </w:p>
        </w:tc>
      </w:tr>
    </w:tbl>
    <w:p>
      <w:pPr>
        <w:pStyle w:val="Heading2"/>
      </w:pPr>
      <w:r>
        <w:t>Audit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type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Periodic on-site audit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scope</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Assessment against Arboris Foods Group food safety and quality requirements and applicable entity controls.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team</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Daniel Meyer, Lead Auditor; Laura Conti, Auditor; Amelia Novak, Auditor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Draft report released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2026-05-18</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Final report released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2026-05-29</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Report reviewer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Amelia Novak, Group Audit Director</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Report approver</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Martin Keller, Group Quality Vice President</w:t>
            </w:r>
          </w:p>
        </w:tc>
      </w:tr>
    </w:tbl>
    <w:p>
      <w:r>
        <w:br w:type="page"/>
      </w:r>
    </w:p>
    <w:p>
      <w:pPr>
        <w:pStyle w:val="Heading1"/>
      </w:pPr>
      <w:r>
        <w:t>Audit approach and sampling</w:t>
      </w:r>
    </w:p>
    <w:p>
      <w:r>
        <w:t>The audit was performed over 5 days through document review, process observation, personnel interviews and record sampling across the functions relevant to the audit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3"/>
        <w:gridCol w:w="4933"/>
      </w:tblGrid>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Audit duration</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5 days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Shifts observed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Day shift and selected off-shift activities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Areas visited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Operations, storage, hygiene, maintenance and quality support areas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Personnel interviewed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 employees and managers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Records sampled</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Risk-based sample of operational, verification, training and action records</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Opening meeting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2026-05-04, with entity management</w:t>
            </w:r>
          </w:p>
        </w:tc>
      </w:tr>
      <w:tr>
        <w:tc>
          <w:tcPr>
            <w:tcW w:type="dxa" w:w="2381"/>
            <w:vAlign w:val="center"/>
            <w:tcMar>
              <w:top w:w="80" w:type="dxa"/>
              <w:start w:w="105" w:type="dxa"/>
              <w:bottom w:w="80" w:type="dxa"/>
              <w:end w:w="105" w:type="dxa"/>
            </w:tcMar>
            <w:shd w:fill="EAF2ED"/>
          </w:tcPr>
          <w:p>
            <w:pPr>
              <w:spacing w:before="0" w:after="0"/>
              <w:jc w:val="left"/>
            </w:pPr>
            <w:r/>
            <w:r>
              <w:rPr>
                <w:rFonts w:ascii="Arial" w:hAnsi="Arial"/>
                <w:b/>
                <w:color w:val="26342C"/>
                <w:sz w:val="17"/>
              </w:rPr>
              <w:t>Closing meeting</w:t>
            </w:r>
          </w:p>
        </w:tc>
        <w:tc>
          <w:tcPr>
            <w:tcW w:type="dxa" w:w="7030"/>
            <w:vAlign w:val="center"/>
            <w:tcMar>
              <w:top w:w="80" w:type="dxa"/>
              <w:start w:w="105" w:type="dxa"/>
              <w:bottom w:w="80" w:type="dxa"/>
              <w:end w:w="105" w:type="dxa"/>
            </w:tcMar>
          </w:tcPr>
          <w:p>
            <w:pPr>
              <w:spacing w:before="0" w:after="0"/>
              <w:jc w:val="left"/>
            </w:pPr>
            <w:r/>
            <w:r>
              <w:rPr>
                <w:rFonts w:ascii="Arial" w:hAnsi="Arial"/>
                <w:b w:val="0"/>
                <w:color w:val="000000"/>
                <w:sz w:val="17"/>
              </w:rPr>
              <w:t>2026-05-08, with entity management</w:t>
            </w:r>
          </w:p>
        </w:tc>
      </w:tr>
    </w:tbl>
    <w:p>
      <w:pPr>
        <w:pStyle w:val="Heading2"/>
      </w:pPr>
      <w:r>
        <w:t>Status of previous audit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2948"/>
            <w:vAlign w:val="center"/>
            <w:tcMar>
              <w:top w:w="80" w:type="dxa"/>
              <w:start w:w="105" w:type="dxa"/>
              <w:bottom w:w="80" w:type="dxa"/>
              <w:end w:w="105" w:type="dxa"/>
            </w:tcMar>
            <w:shd w:fill="26342C"/>
          </w:tcPr>
          <w:p>
            <w:pPr>
              <w:spacing w:before="0" w:after="0"/>
              <w:jc w:val="center"/>
            </w:pPr>
            <w:r/>
            <w:r>
              <w:rPr>
                <w:rFonts w:ascii="Arial" w:hAnsi="Arial"/>
                <w:b/>
                <w:color w:val="FFFFFF"/>
                <w:sz w:val="16"/>
              </w:rPr>
              <w:t>Previous audit area</w:t>
            </w:r>
          </w:p>
        </w:tc>
        <w:tc>
          <w:tcPr>
            <w:tcW w:type="dxa" w:w="2041"/>
            <w:vAlign w:val="center"/>
            <w:tcMar>
              <w:top w:w="80" w:type="dxa"/>
              <w:start w:w="105" w:type="dxa"/>
              <w:bottom w:w="80" w:type="dxa"/>
              <w:end w:w="105" w:type="dxa"/>
            </w:tcMar>
            <w:shd w:fill="26342C"/>
          </w:tcPr>
          <w:p>
            <w:pPr>
              <w:spacing w:before="0" w:after="0"/>
              <w:jc w:val="center"/>
            </w:pPr>
            <w:r/>
            <w:r>
              <w:rPr>
                <w:rFonts w:ascii="Arial" w:hAnsi="Arial"/>
                <w:b/>
                <w:color w:val="FFFFFF"/>
                <w:sz w:val="16"/>
              </w:rPr>
              <w:t>Action status</w:t>
            </w:r>
          </w:p>
        </w:tc>
        <w:tc>
          <w:tcPr>
            <w:tcW w:type="dxa" w:w="4422"/>
            <w:vAlign w:val="center"/>
            <w:tcMar>
              <w:top w:w="80" w:type="dxa"/>
              <w:start w:w="105" w:type="dxa"/>
              <w:bottom w:w="80" w:type="dxa"/>
              <w:end w:w="105" w:type="dxa"/>
            </w:tcMar>
            <w:shd w:fill="26342C"/>
          </w:tcPr>
          <w:p>
            <w:pPr>
              <w:spacing w:before="0" w:after="0"/>
              <w:jc w:val="center"/>
            </w:pPr>
            <w:r/>
            <w:r>
              <w:rPr>
                <w:rFonts w:ascii="Arial" w:hAnsi="Arial"/>
                <w:b/>
                <w:color w:val="FFFFFF"/>
                <w:sz w:val="16"/>
              </w:rPr>
              <w:t>Verification outcome</w:t>
            </w:r>
          </w:p>
        </w:tc>
      </w:tr>
      <w:tr>
        <w:tc>
          <w:tcPr>
            <w:tcW w:type="dxa" w:w="2948"/>
            <w:vAlign w:val="center"/>
            <w:tcMar>
              <w:top w:w="80" w:type="dxa"/>
              <w:start w:w="105" w:type="dxa"/>
              <w:bottom w:w="80" w:type="dxa"/>
              <w:end w:w="105" w:type="dxa"/>
            </w:tcMar>
          </w:tcPr>
          <w:p>
            <w:pPr>
              <w:spacing w:before="0" w:after="0"/>
              <w:jc w:val="left"/>
            </w:pPr>
            <w:r/>
            <w:r>
              <w:rPr>
                <w:rFonts w:ascii="Arial" w:hAnsi="Arial"/>
                <w:b w:val="0"/>
                <w:color w:val="000000"/>
                <w:sz w:val="16"/>
              </w:rPr>
              <w:t>Previous action sample</w:t>
            </w:r>
          </w:p>
        </w:tc>
        <w:tc>
          <w:tcPr>
            <w:tcW w:type="dxa" w:w="2041"/>
            <w:vAlign w:val="center"/>
            <w:tcMar>
              <w:top w:w="80" w:type="dxa"/>
              <w:start w:w="105" w:type="dxa"/>
              <w:bottom w:w="80" w:type="dxa"/>
              <w:end w:w="105" w:type="dxa"/>
            </w:tcMar>
          </w:tcPr>
          <w:p>
            <w:pPr>
              <w:spacing w:before="0" w:after="0"/>
              <w:jc w:val="left"/>
            </w:pPr>
            <w:r/>
            <w:r>
              <w:rPr>
                <w:rFonts w:ascii="Arial" w:hAnsi="Arial"/>
                <w:b w:val="0"/>
                <w:color w:val="000000"/>
                <w:sz w:val="16"/>
              </w:rPr>
              <w:t>Closed or in progress as recorded</w:t>
            </w:r>
          </w:p>
        </w:tc>
        <w:tc>
          <w:tcPr>
            <w:tcW w:type="dxa" w:w="4422"/>
            <w:vAlign w:val="center"/>
            <w:tcMar>
              <w:top w:w="80" w:type="dxa"/>
              <w:start w:w="105" w:type="dxa"/>
              <w:bottom w:w="80" w:type="dxa"/>
              <w:end w:w="105" w:type="dxa"/>
            </w:tcMar>
          </w:tcPr>
          <w:p>
            <w:pPr>
              <w:spacing w:before="0" w:after="0"/>
              <w:jc w:val="left"/>
            </w:pPr>
            <w:r/>
            <w:r>
              <w:rPr>
                <w:rFonts w:ascii="Arial" w:hAnsi="Arial"/>
                <w:b w:val="0"/>
                <w:color w:val="000000"/>
                <w:sz w:val="16"/>
              </w:rPr>
              <w:t>Verification results are reflected in the current findings and evidence.</w:t>
            </w:r>
          </w:p>
        </w:tc>
      </w:tr>
    </w:tbl>
    <w:p>
      <w:pPr>
        <w:jc w:val="center"/>
      </w:pPr>
      <w:r>
        <w:rPr>
          <w:b/>
        </w:rPr>
        <w:t>END OF REPORT</w:t>
      </w:r>
    </w:p>
    <w:sectPr w:rsidR="00FC693F" w:rsidRPr="0006063C" w:rsidSect="00034616">
      <w:headerReference w:type="default" r:id="rId9"/>
      <w:footerReference w:type="default" r:id="rId10"/>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819"/>
      <w:gridCol w:w="4819"/>
    </w:tblGrid>
    <w:tr>
      <w:tc>
        <w:tcPr>
          <w:tcW w:type="dxa" w:w="7937"/>
          <w:vAlign w:val="center"/>
          <w:tcMar>
            <w:top w:w="80" w:type="dxa"/>
            <w:start w:w="105" w:type="dxa"/>
            <w:bottom w:w="80" w:type="dxa"/>
            <w:end w:w="105" w:type="dxa"/>
          </w:tcMar>
        </w:tcPr>
        <w:p>
          <w:pPr>
            <w:spacing w:before="0" w:after="0"/>
            <w:jc w:val="left"/>
          </w:pPr>
          <w:r/>
          <w:r>
            <w:rPr>
              <w:rFonts w:ascii="Arial" w:hAnsi="Arial"/>
              <w:b w:val="0"/>
              <w:color w:val="5C675F"/>
              <w:sz w:val="16"/>
            </w:rPr>
            <w:t>Synthetic demonstration report   |   FY 2025-2026</w:t>
          </w:r>
        </w:p>
      </w:tc>
      <w:tc>
        <w:tcPr>
          <w:tcW w:type="dxa" w:w="1701"/>
        </w:tcPr>
        <w:p>
          <w:pPr>
            <w:jc w:val="right"/>
          </w:pPr>
          <w: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75F"/>
        <w:sz w:val="16"/>
      </w:rPr>
      <w:t>AUDIT REVIEW   |   Parma Dairy Ingredients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4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Parma Dairy Ingredients Plant Audit Review</dc:title>
  <dc:subject>Synthetic demonstration audit report</dc:subject>
  <dc:creator>Arboris Foods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