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  <w:r>
        <w:rPr>
          <w:rFonts w:ascii="Arial" w:hAnsi="Arial"/>
          <w:b/>
          <w:color w:val="2F6B4F"/>
          <w:sz w:val="24"/>
        </w:rPr>
        <w:t>AUDIT REVIEW</w:t>
      </w:r>
    </w:p>
    <w:p>
      <w:pPr>
        <w:pStyle w:val="Subtitle"/>
      </w:pPr>
      <w:r>
        <w:t>Audit Report</w:t>
      </w:r>
    </w:p>
    <w:p>
      <w:pPr>
        <w:pStyle w:val="Title"/>
      </w:pPr>
      <w:r>
        <w:t>Rotterdam Frozen Foods Plant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period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Fiscal year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Report status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 August 2026 - 21 August 2026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2026-2027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Final</w:t>
            </w:r>
          </w:p>
        </w:tc>
      </w:tr>
    </w:tbl>
    <w:p>
      <w:pPr>
        <w:pStyle w:val="Heading2"/>
      </w:pPr>
      <w:r>
        <w:t>Overall audit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score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Overall rating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Findings raised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86 / 100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</w:tr>
    </w:tbl>
    <w:p>
      <w:pPr>
        <w:pStyle w:val="Heading2"/>
      </w:pPr>
      <w:r>
        <w:t>Audit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Lead 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Laura Conti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Daniel Meyer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Sofia Marin</w:t>
            </w:r>
          </w:p>
        </w:tc>
      </w:tr>
    </w:tbl>
    <w:p>
      <w:pPr>
        <w:pStyle w:val="Heading2"/>
      </w:pPr>
      <w:r>
        <w:t>Purpose of this document</w:t>
      </w:r>
    </w:p>
    <w:p>
      <w:r>
        <w:t>This report presents the audit outcome, area-level ratings, observed conditions, supporting evidence, cause assessments and agreed remediation actions for the audited 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66"/>
      </w:tblGrid>
      <w:tr>
        <w:trPr>
          <w:tblHeader w:val="true"/>
        </w:trP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F6B4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DEMONSTRATION DATA NOTICE</w:t>
            </w:r>
          </w:p>
        </w:tc>
      </w:tr>
      <w:t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organizations, sites, people, evidence and events in this document are fictional and were created for demonstration purposes.</w:t>
            </w:r>
          </w:p>
        </w:tc>
      </w:tr>
    </w:tbl>
    <w:p>
      <w:r>
        <w:br w:type="page"/>
      </w:r>
    </w:p>
    <w:p>
      <w:pPr>
        <w:pStyle w:val="Heading1"/>
      </w:pPr>
      <w:r>
        <w:t>Audit at a glance</w:t>
      </w:r>
    </w:p>
    <w:p>
      <w:r>
        <w:t>The Rotterdam facility handles frozen vegetables and segregated seafood products. It expanded cold storage and deployed a warehouse-management upgrade during the year. The audit identified good environmental monitoring and crisis readiness, with improvement needed in supplier vulnerability assessment, cold-chain records and calibration governance.</w:t>
      </w:r>
    </w:p>
    <w:p>
      <w:r>
        <w:t>The site presents a generally mature control environment. Findings do not indicate loss of product control, but the supplier vulnerability model and temperature-record review should be strengthened before the next seasonal intake.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Satisfactory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Major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Unsatisfactory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pStyle w:val="Heading2"/>
      </w:pPr>
      <w:r>
        <w:t>Priority observations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focus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Raw Material Intake and Supplier Oversight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The vulnerability assessment for imported herbs relied on country risk and supplier certification but did not evaluate species substitution, dilution or economic pressure.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Update the vulnerability model with commodity and economic indicators</w:t>
            </w:r>
          </w:p>
        </w:tc>
      </w:tr>
    </w:tbl>
    <w:p>
      <w:pPr>
        <w:pStyle w:val="Heading2"/>
      </w:pPr>
      <w:r>
        <w:t>Report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at a glance and conclusion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Area rating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Finding records and remediation plans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Entity and audit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approach and sampling</w:t>
            </w:r>
          </w:p>
        </w:tc>
      </w:tr>
    </w:tbl>
    <w:p>
      <w:pPr>
        <w:pStyle w:val="Heading1"/>
      </w:pPr>
      <w:r>
        <w:t>Audit conclusion</w:t>
      </w:r>
    </w:p>
    <w:p>
      <w:r>
        <w:t>The audit raised 6 findings. 1 areas were rated Major Gaps, 4 were rated Minor Gaps and 0 were rated Unsatisfactory. The remaining 19 areas were assessed as Satisfactory.</w:t>
      </w:r>
    </w:p>
    <w:p>
      <w:r>
        <w:br w:type="page"/>
      </w:r>
    </w:p>
    <w:p>
      <w:pPr>
        <w:pStyle w:val="Heading1"/>
      </w:pPr>
      <w:r>
        <w:t>Area rating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Rating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Safety and Quality Governance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Leadership and Control Planning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Facility Condition and Hygienic Design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Operator Induction and Skills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Asset Care and Utility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Documentation and Data Integrity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Product and Packaging Specification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Line Clearance and Sanitation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High Care Segregation and Environmental Sampling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Pest Risk Management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Batch Genealogy and Product Withdrawal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Hazard Control and Process Validation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Rework Handling and Shelf Life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Raw Material Intake and Supplier Oversight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Storage Conditions and Outbound Logistics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Defence and Authenticity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Personnel Hygiene and Operational Discipline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Instrument Accuracy and Test Equipment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Deviation Escalation and Product Status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 Parameter and Quality Monitoring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Market Feedback and Product Returns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Verification Programme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Performance and Leadership Review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Root Cause and Action Closure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</w:tbl>
    <w:p>
      <w:r>
        <w:br w:type="page"/>
      </w:r>
    </w:p>
    <w:p>
      <w:pPr>
        <w:pStyle w:val="Heading1"/>
      </w:pPr>
      <w:r>
        <w:t>Finding records and remediation plans</w:t>
      </w:r>
    </w:p>
    <w:p>
      <w:r>
        <w:t>Each record consolidates the observed condition, supporting evidence, applicable requirement, cause assessment and agreed actions. Due dates and responsible owners are fictional and included for workflow and analytics testing.</w:t>
      </w:r>
    </w:p>
    <w:p>
      <w:pPr>
        <w:pStyle w:val="Heading1"/>
      </w:pPr>
      <w:r>
        <w:t>FINDING 01  |  AFG-RT-2601</w:t>
      </w:r>
    </w:p>
    <w:p>
      <w:pPr>
        <w:pStyle w:val="Heading2"/>
      </w:pPr>
      <w:r>
        <w:t>Raw Material Intake and Supplier Oversight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Supplier vulnerability and authenticity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Supplier and Incoming Material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Iris van Dijk, Quality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2026-10-31</w:t>
            </w:r>
          </w:p>
        </w:tc>
      </w:tr>
    </w:tbl>
    <w:p>
      <w:pPr>
        <w:pStyle w:val="Heading2"/>
      </w:pPr>
      <w:r>
        <w:t>Observed condition</w:t>
      </w:r>
    </w:p>
    <w:p>
      <w:r>
        <w:t>The vulnerability assessment for imported herbs relied on country risk and supplier certification but did not evaluate species substitution, dilution or economic pressure.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Paprika and oregano were categorized as low risk despite price volatility and known authenticity exposure in the category.</w:t>
      </w:r>
    </w:p>
    <w:p>
      <w:pPr>
        <w:pStyle w:val="ListBullet"/>
        <w:spacing w:after="60"/>
      </w:pPr>
      <w:r>
        <w:t>Certificates of analysis addressed microbiology and pesticides but not authenticity.</w:t>
      </w:r>
    </w:p>
    <w:p>
      <w:pPr>
        <w:pStyle w:val="ListBullet"/>
        <w:spacing w:after="60"/>
      </w:pPr>
      <w:r>
        <w:t>No suspect material or test failure was identified during the audit.</w:t>
      </w:r>
    </w:p>
    <w:p>
      <w:pPr>
        <w:pStyle w:val="Heading2"/>
      </w:pPr>
      <w:r>
        <w:t>Applicable requirement</w:t>
      </w:r>
    </w:p>
    <w:p>
      <w:r>
        <w:t>AFG Supplier Integrity Standard 5.2 sections 6.1 and 7.4</w:t>
      </w:r>
    </w:p>
    <w:p>
      <w:pPr>
        <w:pStyle w:val="Heading2"/>
      </w:pPr>
      <w:r>
        <w:t>Cause assessment</w:t>
      </w:r>
    </w:p>
    <w:p>
      <w:r>
        <w:t>The assessment template emphasized food safety hazards and omitted commodity-specific fraud indicators.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Reassess paprika and oregano and define interim authenticity checks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Iris van Dijk,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2026-09-04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2026-10-04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Update the vulnerability model with commodity and economic indicators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Thomas de Boer, Procurement Director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2026-11-14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CA-2601-02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Establish a risk-based authenticity testing plan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Iris van Dijk,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2026-11-30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02  |  AFG-RT-2602</w:t>
      </w:r>
    </w:p>
    <w:p>
      <w:pPr>
        <w:pStyle w:val="Heading2"/>
      </w:pPr>
      <w:r>
        <w:t>Food Defence and Authenticity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Seal control for bulk vegetable intake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Food Defense and Food Fraud Prevention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Koen Smit, Logistics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2026-09-15</w:t>
            </w:r>
          </w:p>
        </w:tc>
      </w:tr>
    </w:tbl>
    <w:p>
      <w:pPr>
        <w:pStyle w:val="Heading2"/>
      </w:pPr>
      <w:r>
        <w:t>Observed condition</w:t>
      </w:r>
    </w:p>
    <w:p>
      <w:r>
        <w:t>The intake procedure required seal verification, but two loads from an approved shuttle route arrived under reusable numbered locks not recognized in the procedure.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Lock numbers were recorded in driver notes but not in the receiving system.</w:t>
      </w:r>
    </w:p>
    <w:p>
      <w:pPr>
        <w:pStyle w:val="ListBullet"/>
        <w:spacing w:after="60"/>
      </w:pPr>
      <w:r>
        <w:t>Both loads came directly from a contracted freezing partner.</w:t>
      </w:r>
    </w:p>
    <w:p>
      <w:pPr>
        <w:pStyle w:val="ListBullet"/>
        <w:spacing w:after="60"/>
      </w:pPr>
      <w:r>
        <w:t>Inspection found no evidence of tampering.</w:t>
      </w:r>
    </w:p>
    <w:p>
      <w:pPr>
        <w:pStyle w:val="Heading2"/>
      </w:pPr>
      <w:r>
        <w:t>Applicable requirement</w:t>
      </w:r>
    </w:p>
    <w:p>
      <w:r>
        <w:t>AFG Food Defense Standard 2.8 section 5.6</w:t>
      </w:r>
    </w:p>
    <w:p>
      <w:pPr>
        <w:pStyle w:val="Heading2"/>
      </w:pPr>
      <w:r>
        <w:t>Cause assessment</w:t>
      </w:r>
    </w:p>
    <w:p>
      <w:r>
        <w:t>The shuttle arrangement changed without formal food-defense review.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Confirm route integrity and record lock numbers for all current loads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Koen Smit, Logistics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2026-08-21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2026-09-20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Approve the lock process through food-defense change control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Iris van Dijk,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2026-10-15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03  |  AFG-RT-2603</w:t>
      </w:r>
    </w:p>
    <w:p>
      <w:pPr>
        <w:pStyle w:val="Heading2"/>
      </w:pPr>
      <w:r>
        <w:t>Storage Conditions and Outbound Logistics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Cold-chain record review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Warehousing and Transportation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Koen Smit, Logistics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2026-10-01</w:t>
            </w:r>
          </w:p>
        </w:tc>
      </w:tr>
    </w:tbl>
    <w:p>
      <w:pPr>
        <w:pStyle w:val="Heading2"/>
      </w:pPr>
      <w:r>
        <w:t>Observed condition</w:t>
      </w:r>
    </w:p>
    <w:p>
      <w:r>
        <w:t>The automated warehouse alarmed correctly, but documented daily review did not include short temperature excursions below the escalation threshold.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Twelve excursions between minus 17.5 and minus 17.0 degrees Celsius occurred over three months.</w:t>
      </w:r>
    </w:p>
    <w:p>
      <w:pPr>
        <w:pStyle w:val="ListBullet"/>
        <w:spacing w:after="60"/>
      </w:pPr>
      <w:r>
        <w:t>Each excursion lasted less than 20 minutes and product core temperatures remained within specification.</w:t>
      </w:r>
    </w:p>
    <w:p>
      <w:pPr>
        <w:pStyle w:val="ListBullet"/>
        <w:spacing w:after="60"/>
      </w:pPr>
      <w:r>
        <w:t>The review dashboard displayed only excursions exceeding the release threshold.</w:t>
      </w:r>
    </w:p>
    <w:p>
      <w:pPr>
        <w:pStyle w:val="Heading2"/>
      </w:pPr>
      <w:r>
        <w:t>Applicable requirement</w:t>
      </w:r>
    </w:p>
    <w:p>
      <w:r>
        <w:t>AFG Cold Chain Standard 4.1 sections 5.3 and 6.2</w:t>
      </w:r>
    </w:p>
    <w:p>
      <w:pPr>
        <w:pStyle w:val="Heading2"/>
      </w:pPr>
      <w:r>
        <w:t>Cause assessment</w:t>
      </w:r>
    </w:p>
    <w:p>
      <w:r>
        <w:t>Dashboard rules were designed for product disposition and not for preventive trend analysis.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Complete a retrospective trend assessment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Koen Smit, Logistics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leading-indicator excursions to the daily dashboard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Eva Jansen, IT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2026-09-30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CA-2603-02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Review refrigeration performance monthly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Koen Smit, Logistics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2026-10-01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2026-10-31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04  |  AFG-RT-2604</w:t>
      </w:r>
    </w:p>
    <w:p>
      <w:pPr>
        <w:pStyle w:val="Heading2"/>
      </w:pPr>
      <w:r>
        <w:t>Instrument Accuracy and Test Equipment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Calibration status and reference standards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Calibration and Measuring Equipment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Iris van Dijk, Quality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2026-09-15</w:t>
            </w:r>
          </w:p>
        </w:tc>
      </w:tr>
    </w:tbl>
    <w:p>
      <w:pPr>
        <w:pStyle w:val="Heading2"/>
      </w:pPr>
      <w:r>
        <w:t>Observed condition</w:t>
      </w:r>
    </w:p>
    <w:p>
      <w:r>
        <w:t>Three handheld temperature probes displayed valid calibration labels, but the reference thermometer used for interim checks had passed its calibration due date by 18 days.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An external calibration completed during the audit confirmed the reference thermometer within tolerance.</w:t>
      </w:r>
    </w:p>
    <w:p>
      <w:pPr>
        <w:pStyle w:val="ListBullet"/>
        <w:spacing w:after="60"/>
      </w:pPr>
      <w:r>
        <w:t>Product checks made during the overdue period were reviewed and remained acceptable.</w:t>
      </w:r>
    </w:p>
    <w:p>
      <w:pPr>
        <w:pStyle w:val="ListBullet"/>
        <w:spacing w:after="60"/>
      </w:pPr>
      <w:r>
        <w:t>The equipment register sent reminders to an employee who had left the business.</w:t>
      </w:r>
    </w:p>
    <w:p>
      <w:pPr>
        <w:pStyle w:val="Heading2"/>
      </w:pPr>
      <w:r>
        <w:t>Applicable requirement</w:t>
      </w:r>
    </w:p>
    <w:p>
      <w:r>
        <w:t>AFG Calibration Standard 2.4 sections 4.1 and 6.3</w:t>
      </w:r>
    </w:p>
    <w:p>
      <w:pPr>
        <w:pStyle w:val="Heading2"/>
      </w:pPr>
      <w:r>
        <w:t>Cause assessment</w:t>
      </w:r>
    </w:p>
    <w:p>
      <w:r>
        <w:t>Calibration ownership was assigned to an individual rather than a functional role, and reminder escalation was not configured.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Calibrate the reference thermometer and assess affected checks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Iris van Dijk,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2026-08-20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2026-09-19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Assign equipment to functional owners and configure overdue escalation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Pieter Vos, Engineering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2026-10-15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05  |  AFG-RT-2605</w:t>
      </w:r>
    </w:p>
    <w:p>
      <w:pPr>
        <w:pStyle w:val="Heading2"/>
      </w:pPr>
      <w:r>
        <w:t>Quality Performance and Leadership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Management review of objectives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Management Review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Marieke Bakker, Plant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2026-09-30</w:t>
            </w:r>
          </w:p>
        </w:tc>
      </w:tr>
    </w:tbl>
    <w:p>
      <w:pPr>
        <w:pStyle w:val="Heading2"/>
      </w:pPr>
      <w:r>
        <w:t>Observed condition</w:t>
      </w:r>
    </w:p>
    <w:p>
      <w:r>
        <w:t>Management review tracked complaint rate and audit closure but did not evaluate progress against the supplier-risk and environmental-monitoring objectives approved for the year.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Operational teams maintained separate dashboards for both objectives.</w:t>
      </w:r>
    </w:p>
    <w:p>
      <w:pPr>
        <w:pStyle w:val="ListBullet"/>
        <w:spacing w:after="60"/>
      </w:pPr>
      <w:r>
        <w:t>No objective had missed its final target at the time of audit.</w:t>
      </w:r>
    </w:p>
    <w:p>
      <w:pPr>
        <w:pStyle w:val="ListBullet"/>
        <w:spacing w:after="60"/>
      </w:pPr>
      <w:r>
        <w:t>Minutes did not document decisions, resources or revised actions for these topics.</w:t>
      </w:r>
    </w:p>
    <w:p>
      <w:pPr>
        <w:pStyle w:val="Heading2"/>
      </w:pPr>
      <w:r>
        <w:t>Applicable requirement</w:t>
      </w:r>
    </w:p>
    <w:p>
      <w:r>
        <w:t>AFG QMS Standard 1.2 section 9.1</w:t>
      </w:r>
    </w:p>
    <w:p>
      <w:pPr>
        <w:pStyle w:val="Heading2"/>
      </w:pPr>
      <w:r>
        <w:t>Cause assessment</w:t>
      </w:r>
    </w:p>
    <w:p>
      <w:r>
        <w:t>The management-review agenda used a fixed template that was not reconciled to the current annual objectives.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CR-2605-01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Review the omitted objectives at the next leadership meeting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Marieke Bakker, Plant Director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2026-09-10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2026-10-10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CA-2605-01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Link the annual objective register to the management-review agenda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Iris van Dijk,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2026-09-30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06  |  AFG-RT-2606</w:t>
      </w:r>
    </w:p>
    <w:p>
      <w:pPr>
        <w:pStyle w:val="Heading2"/>
      </w:pPr>
      <w:r>
        <w:t>Raw Material Intake and Supplier Oversight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Supplier corrective action follow-up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Supplier and Incoming Material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Thomas de Boer, Procurement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2026-10-15</w:t>
            </w:r>
          </w:p>
        </w:tc>
      </w:tr>
    </w:tbl>
    <w:p>
      <w:pPr>
        <w:pStyle w:val="Heading2"/>
      </w:pPr>
      <w:r>
        <w:t>Observed condition</w:t>
      </w:r>
    </w:p>
    <w:p>
      <w:r>
        <w:t>A seafood supplier corrective action was accepted based on procedure revision without evidence that the revised glaze-control checks were operating.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Three subsequent certificates met specification.</w:t>
      </w:r>
    </w:p>
    <w:p>
      <w:pPr>
        <w:pStyle w:val="ListBullet"/>
        <w:spacing w:after="60"/>
      </w:pPr>
      <w:r>
        <w:t>No on-site or remote effectiveness review had been scheduled.</w:t>
      </w:r>
    </w:p>
    <w:p>
      <w:pPr>
        <w:pStyle w:val="ListBullet"/>
        <w:spacing w:after="60"/>
      </w:pPr>
      <w:r>
        <w:t>The supplier remains classified as medium risk.</w:t>
      </w:r>
    </w:p>
    <w:p>
      <w:pPr>
        <w:pStyle w:val="Heading2"/>
      </w:pPr>
      <w:r>
        <w:t>Applicable requirement</w:t>
      </w:r>
    </w:p>
    <w:p>
      <w:r>
        <w:t>AFG Supplier Standard 3.4 section 9.2</w:t>
      </w:r>
    </w:p>
    <w:p>
      <w:pPr>
        <w:pStyle w:val="Heading2"/>
      </w:pPr>
      <w:r>
        <w:t>Cause assessment</w:t>
      </w:r>
    </w:p>
    <w:p>
      <w:r>
        <w:t>Closure criteria focused on document receipt and did not define effectiveness evidence by supplier risk.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CR-2606-01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Request operating records and verify the revised checks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Thomas de Boer, Procurement Director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2026-09-04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2026-10-04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CA-2606-01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Define risk-based effectiveness requirements for supplier CAPAs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Iris van Dijk,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2026-10-15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2026-11-14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</w:pPr>
      <w:r>
        <w:t>Entity and audit profile</w:t>
      </w:r>
    </w:p>
    <w:p>
      <w:pPr>
        <w:pStyle w:val="Heading2"/>
      </w:pPr>
      <w:r>
        <w:t>Facility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Manufacturing plant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Country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Netherlands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Address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Maashaven 212, Rotterdam, Netherlands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Facility size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62,400 m2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Annual volume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97,300 tonnes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Operating assets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8 preparation, freezing and packing lines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Employees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441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Markets 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European Union, United Kingdom and Scandinavia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Certificates held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FSSC 22000, ISO 9001, MSC Chain of Custody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specifics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entity handles frozen vegetables, coated seafood and prepared side dishes. The reviewed scope covered relevant operational and supporting controls.</w:t>
            </w:r>
          </w:p>
        </w:tc>
      </w:tr>
    </w:tbl>
    <w:p>
      <w:pPr>
        <w:pStyle w:val="Heading2"/>
      </w:pPr>
      <w:r>
        <w:t>Audit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Periodic on-site audit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Assessment against Arboris Foods Group food safety and quality requirements and applicable entity controls.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team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Laura Conti, Lead Auditor; Daniel Meyer, Auditor; Sofia Marin, Auditor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Draft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2026-08-31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Final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2026-09-11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reviewer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Group Audit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approver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Martin Keller, Group Quality Vice President</w:t>
            </w:r>
          </w:p>
        </w:tc>
      </w:tr>
    </w:tbl>
    <w:p>
      <w:r>
        <w:br w:type="page"/>
      </w:r>
    </w:p>
    <w:p>
      <w:pPr>
        <w:pStyle w:val="Heading1"/>
      </w:pPr>
      <w:r>
        <w:t>Audit approach and sampling</w:t>
      </w:r>
    </w:p>
    <w:p>
      <w:r>
        <w:t>The audit was performed over 5 days through document review, process observation, personnel interviews and record sampling across the functions relevant to the audit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duration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 days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Shifts observed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Day shift and selected off-shift activities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Areas visited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Operations, storage, hygiene, maintenance and quality support areas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Personnel interviewed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26 employees and managers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Records sampled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Risk-based sample of operational, verification, training and action records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Opening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2026-08-17, with entity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Closing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2026-08-21, with entity management</w:t>
            </w:r>
          </w:p>
        </w:tc>
      </w:tr>
    </w:tbl>
    <w:p>
      <w:pPr>
        <w:pStyle w:val="Heading2"/>
      </w:pPr>
      <w:r>
        <w:t>Status of previous audit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Previous audit area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status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Verification outcome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Previous action sample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Closed or in progress as recorded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Verification results are reflected in the current findings and evidence.</w:t>
            </w:r>
          </w:p>
        </w:tc>
      </w:tr>
    </w:tbl>
    <w:p>
      <w:pPr>
        <w:jc w:val="center"/>
      </w:pPr>
      <w:r>
        <w:rPr>
          <w:b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937"/>
          <w:vAlign w:val="center"/>
          <w:tcMar>
            <w:top w:w="80" w:type="dxa"/>
            <w:start w:w="105" w:type="dxa"/>
            <w:bottom w:w="80" w:type="dxa"/>
            <w:end w:w="105" w:type="dxa"/>
          </w:tcMar>
        </w:tcPr>
        <w:p>
          <w:pPr>
            <w:spacing w:before="0" w:after="0"/>
            <w:jc w:val="left"/>
          </w:pPr>
          <w:r/>
          <w:r>
            <w:rPr>
              <w:rFonts w:ascii="Arial" w:hAnsi="Arial"/>
              <w:b w:val="0"/>
              <w:color w:val="5C675F"/>
              <w:sz w:val="16"/>
            </w:rPr>
            <w:t>Synthetic demonstration report   |   FY 2026-2027</w:t>
          </w:r>
        </w:p>
      </w:tc>
      <w:tc>
        <w:tcPr>
          <w:tcW w:type="dxa" w:w="1701"/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75F"/>
        <w:sz w:val="16"/>
      </w:rPr>
      <w:t>AUDIT REVIEW   |   Rotterdam Frozen Foods Plant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Rotterdam Frozen Foods Plant Audit Review</dc:title>
  <dc:subject>Synthetic demonstration audit report</dc:subject>
  <dc:creator>Arboris Foods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