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NorthSea Ingredients Supplier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 October 2027 - 13 October 2027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2027-2028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88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supplier audit followed a documentary CAPA accepted in 2026. Operating evidence confirmed improved glaze control, but allergen changeover verification and subcontracted cold-store oversight require strengthening.</w:t>
      </w:r>
    </w:p>
    <w:p>
      <w:r>
        <w:t>The supplier remains approvable subject to timely completion of the two key actions and remote effectiveness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Raw Material Intake and Supplier Oversight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The annual supplier review did not include performance data from a subcontracted external cold store handling Arboris material.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Add critical subcontractors to supplier monitoring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4 findings. 1 areas were rated Major Gaps, 3 were rated Minor Gaps and 0 were rated Unsatisfactory. The remaining 20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AFG-NS-2701</w:t>
      </w:r>
    </w:p>
    <w:p>
      <w:pPr>
        <w:pStyle w:val="Heading2"/>
      </w:pPr>
      <w:r>
        <w:t>Raw Material Intake and Supplier Oversight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Subcontracted cold-store oversight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and Incoming Material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Mikkel Larsen,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2027-12-15</w:t>
            </w:r>
          </w:p>
        </w:tc>
      </w:tr>
    </w:tbl>
    <w:p>
      <w:pPr>
        <w:pStyle w:val="Heading2"/>
      </w:pPr>
      <w:r>
        <w:t>Observed condition</w:t>
      </w:r>
    </w:p>
    <w:p>
      <w:r>
        <w:t>The annual supplier review did not include performance data from a subcontracted external cold store handling Arboris material.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Temperature records were available on request.</w:t>
      </w:r>
    </w:p>
    <w:p>
      <w:pPr>
        <w:pStyle w:val="ListBullet"/>
        <w:spacing w:after="60"/>
      </w:pPr>
      <w:r>
        <w:t>The cold store held a valid certification.</w:t>
      </w:r>
    </w:p>
    <w:p>
      <w:pPr>
        <w:pStyle w:val="ListBullet"/>
        <w:spacing w:after="60"/>
      </w:pPr>
      <w:r>
        <w:t>No formal KPI or deviation review had been performed.</w:t>
      </w:r>
    </w:p>
    <w:p>
      <w:pPr>
        <w:pStyle w:val="Heading2"/>
      </w:pPr>
      <w:r>
        <w:t>Applicable requirement</w:t>
      </w:r>
    </w:p>
    <w:p>
      <w:r>
        <w:t>AFG Supplier Standard 3.5 requirement SUP-11</w:t>
      </w:r>
    </w:p>
    <w:p>
      <w:pPr>
        <w:pStyle w:val="Heading2"/>
      </w:pPr>
      <w:r>
        <w:t>Cause assessment</w:t>
      </w:r>
    </w:p>
    <w:p>
      <w:r>
        <w:t>The approval scope was defined by legal supplier rather than the full service chain.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twelve months of cold-store performance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Mikkel Larsen,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critical subcontractors to supplier monitoring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Mikkel Larsen,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2028-01-14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AFG-NS-2702</w:t>
      </w:r>
    </w:p>
    <w:p>
      <w:pPr>
        <w:pStyle w:val="Heading2"/>
      </w:pPr>
      <w:r>
        <w:t>Line Clearance and Sanitation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Allergen changeover verification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Cleaning and Sanitation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Anne Holm, Laboratory Lead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2027-11-30</w:t>
            </w:r>
          </w:p>
        </w:tc>
      </w:tr>
    </w:tbl>
    <w:p>
      <w:pPr>
        <w:pStyle w:val="Heading2"/>
      </w:pPr>
      <w:r>
        <w:t>Observed condition</w:t>
      </w:r>
    </w:p>
    <w:p>
      <w:r>
        <w:t>Post-cleaning verification did not include a protein-specific method after a crustacean-to-whitefish changeover.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Visual and ATP results were satisfactory.</w:t>
      </w:r>
    </w:p>
    <w:p>
      <w:pPr>
        <w:pStyle w:val="ListBullet"/>
        <w:spacing w:after="60"/>
      </w:pPr>
      <w:r>
        <w:t>Finished product allergen declarations were correct.</w:t>
      </w:r>
    </w:p>
    <w:p>
      <w:pPr>
        <w:pStyle w:val="ListBullet"/>
        <w:spacing w:after="60"/>
      </w:pPr>
      <w:r>
        <w:t>The risk assessment required a protein-specific method.</w:t>
      </w:r>
    </w:p>
    <w:p>
      <w:pPr>
        <w:pStyle w:val="Heading2"/>
      </w:pPr>
      <w:r>
        <w:t>Applicable requirement</w:t>
      </w:r>
    </w:p>
    <w:p>
      <w:r>
        <w:t>AFG Sanitation Standard 3.2 requirement SAN-09</w:t>
      </w:r>
    </w:p>
    <w:p>
      <w:pPr>
        <w:pStyle w:val="Heading2"/>
      </w:pPr>
      <w:r>
        <w:t>Cause assessment</w:t>
      </w:r>
    </w:p>
    <w:p>
      <w:r>
        <w:t>The local method matrix had not been updated after the risk assessment revision.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protein testing before release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Anne Holm, Laboratory Lead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2027-10-13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Synchronise the method matrix with allergen risk changes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Mikkel Larsen,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AFG-NS-2703</w:t>
      </w:r>
    </w:p>
    <w:p>
      <w:pPr>
        <w:pStyle w:val="Heading2"/>
      </w:pPr>
      <w:r>
        <w:t>Storage Conditions and Outbound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Trailer temperature review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Warehousing and Transportation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Soren Beck, Logistics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2027-11-15</w:t>
            </w:r>
          </w:p>
        </w:tc>
      </w:tr>
    </w:tbl>
    <w:p>
      <w:pPr>
        <w:pStyle w:val="Heading2"/>
      </w:pPr>
      <w:r>
        <w:t>Observed condition</w:t>
      </w:r>
    </w:p>
    <w:p>
      <w:r>
        <w:t>Two inbound temperature exceptions were accepted without documented review of exposure time.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Core product temperatures met specification.</w:t>
      </w:r>
    </w:p>
    <w:p>
      <w:pPr>
        <w:pStyle w:val="ListBullet"/>
        <w:spacing w:after="60"/>
      </w:pPr>
      <w:r>
        <w:t>The deviations lasted less than twenty minutes.</w:t>
      </w:r>
    </w:p>
    <w:p>
      <w:pPr>
        <w:pStyle w:val="ListBullet"/>
        <w:spacing w:after="60"/>
      </w:pPr>
      <w:r>
        <w:t>Disposition was approved retrospectively.</w:t>
      </w:r>
    </w:p>
    <w:p>
      <w:pPr>
        <w:pStyle w:val="Heading2"/>
      </w:pPr>
      <w:r>
        <w:t>Applicable requirement</w:t>
      </w:r>
    </w:p>
    <w:p>
      <w:r>
        <w:t>AFG Logistics Standard 2.8 requirement LOG-07</w:t>
      </w:r>
    </w:p>
    <w:p>
      <w:pPr>
        <w:pStyle w:val="Heading2"/>
      </w:pPr>
      <w:r>
        <w:t>Cause assessment</w:t>
      </w:r>
    </w:p>
    <w:p>
      <w:r>
        <w:t>The disposition form did not require exposure duration.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Document the two risk assessments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Soren Beck, Logistics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2027-10-18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2027-11-17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exposure time to the disposition workflow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Soren Beck, Logistics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AFG-NS-2704</w:t>
      </w:r>
    </w:p>
    <w:p>
      <w:pPr>
        <w:pStyle w:val="Heading2"/>
      </w:pPr>
      <w:r>
        <w:t>Root Cause and Action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Supplier CAPA effectiveness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Corrective and Preventive Action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Iris van Dijk, Arboris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2027-12-15</w:t>
            </w:r>
          </w:p>
        </w:tc>
      </w:tr>
    </w:tbl>
    <w:p>
      <w:pPr>
        <w:pStyle w:val="Heading2"/>
      </w:pPr>
      <w:r>
        <w:t>Observed condition</w:t>
      </w:r>
    </w:p>
    <w:p>
      <w:r>
        <w:t>The glaze-control CAPA was supported by six months of records but the agreed remote observation had not been completed.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All sampled results met specification.</w:t>
      </w:r>
    </w:p>
    <w:p>
      <w:pPr>
        <w:pStyle w:val="ListBullet"/>
        <w:spacing w:after="60"/>
      </w:pPr>
      <w:r>
        <w:t>Procedure revision and training were complete.</w:t>
      </w:r>
    </w:p>
    <w:p>
      <w:pPr>
        <w:pStyle w:val="ListBullet"/>
        <w:spacing w:after="60"/>
      </w:pPr>
      <w:r>
        <w:t>The observation was scheduled during the audit.</w:t>
      </w:r>
    </w:p>
    <w:p>
      <w:pPr>
        <w:pStyle w:val="Heading2"/>
      </w:pPr>
      <w:r>
        <w:t>Applicable requirement</w:t>
      </w:r>
    </w:p>
    <w:p>
      <w:r>
        <w:t>AFG CAPA Standard 2.4 requirement CAPA-09</w:t>
      </w:r>
    </w:p>
    <w:p>
      <w:pPr>
        <w:pStyle w:val="Heading2"/>
      </w:pPr>
      <w:r>
        <w:t>Cause assessment</w:t>
      </w:r>
    </w:p>
    <w:p>
      <w:r>
        <w:t>Document review was treated as sufficient despite the approved effectiveness plan.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remote observation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Arboris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2027-10-27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2027-11-26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Prevent closure until all approved evidence types are attached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Andrea Fabbri, QMS Owner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2028-01-14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facility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Denmark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Harbour Park 22, Esbjerg, Denmark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18,400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28,000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 freezing and glazing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174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BRCGS Food Safety, MSC Chain of Custody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frozen seafood ingredients.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approval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Laura Conti, Lead Auditor; Daniel Meyer, Auditor; Sofia Marin,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2027-10-23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2027-11-03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3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34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2027-10-11,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2027-10-13,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2027-2028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NorthSea Ingredients Supplier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NorthSea Ingredients Supplier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