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4141A"/>
          <w:sz w:val="44"/>
          <w:szCs w:val="44"/>
          <w:rtl/>
        </w:rPr>
        <w:t xml:space="preserve">أنشطة الشركة</w:t>
      </w:r>
    </w:p>
    <w:p>
      <w:pPr>
        <w:spacing w:after="40"/>
        <w:jc w:val="left"/>
      </w:pPr>
      <w:r>
        <w:rPr>
          <w:rFonts w:ascii="Arial" w:cs="Arial" w:eastAsia="Arial" w:hAnsi="Arial"/>
          <w:i/>
          <w:iCs/>
          <w:color w:val="666370"/>
          <w:sz w:val="22"/>
          <w:szCs w:val="22"/>
        </w:rPr>
        <w:t xml:space="preserve">Company Activities for Commercial Registration</w:t>
      </w:r>
    </w:p>
    <w:p>
      <w:pPr>
        <w:bidi/>
        <w:spacing w:after="240"/>
        <w:jc w:val="right"/>
      </w:pPr>
      <w:r>
        <w:rPr>
          <w:rFonts w:ascii="Arial" w:cs="Arial" w:eastAsia="Arial" w:hAnsi="Arial"/>
          <w:color w:val="666370"/>
          <w:sz w:val="22"/>
          <w:szCs w:val="22"/>
          <w:rtl/>
        </w:rPr>
        <w:t xml:space="preserve">المجال: إنتاج المحتوى المرئي وترخيصه وبيعه عبر منصة رقمية.</w:t>
      </w:r>
    </w:p>
    <w:tbl>
      <w:tblPr>
        <w:bidiVisual/>
        <w:tblW w:type="dxa" w:w="9026"/>
        <w:tblBorders>
          <w:top w:val="single" w:color="CFC8BB" w:sz="4"/>
          <w:left w:val="single" w:color="83682A" w:sz="18"/>
          <w:bottom w:val="single" w:color="CFC8BB" w:sz="4"/>
          <w:right w:val="single" w:color="CFC8B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5F1E8" w:val="clear"/>
            <w:tcMar>
              <w:top w:type="dxa" w:w="150"/>
              <w:left w:type="dxa" w:w="170"/>
              <w:bottom w:type="dxa" w:w="150"/>
              <w:right w:type="dxa" w:w="17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4141A"/>
                <w:sz w:val="20"/>
                <w:szCs w:val="20"/>
                <w:rtl/>
              </w:rPr>
              <w:t xml:space="preserve">ملاحظة: الصياغة النهائية يجب أن تطابق بنود التصنيف الرسمي المعتمد لدى الجهة المختصة. هذه قائمة عمل تُقدَّم للمحامي أو المحاسب، وليست صياغة قانونية نهائية.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0"/>
                <w:szCs w:val="20"/>
                <w:rtl/>
              </w:rPr>
              <w:t xml:space="preserve">القاعدة: سجّل أكثر مما تحتاج الآن — إضافة نشاط لاحقاً تعني تعديل السجل ورسوماً ووقتاً.</w:t>
            </w:r>
          </w:p>
        </w:tc>
      </w:tr>
    </w:tbl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١. الإنتاج المرئي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1. Visual production</w:t>
      </w:r>
    </w:p>
    <w:tbl>
      <w:tblPr>
        <w:bidiVisual/>
        <w:tblW w:type="dxa" w:w="9026"/>
        <w:tblBorders>
          <w:top w:val="single" w:color="CFC8BB" w:sz="4"/>
          <w:left w:val="single" w:color="CFC8BB" w:sz="4"/>
          <w:bottom w:val="single" w:color="CFC8BB" w:sz="4"/>
          <w:right w:val="single" w:color="CFC8BB" w:sz="4"/>
          <w:insideH w:val="single" w:color="CFC8BB" w:sz="2"/>
          <w:insideV w:val="single" w:color="CFC8BB" w:sz="2"/>
        </w:tblBorders>
      </w:tblPr>
      <w:tblGrid>
        <w:gridCol w:w="4900"/>
        <w:gridCol w:w="4126"/>
      </w:tblGrid>
      <w:tr>
        <w:trPr>
          <w:tblHeader/>
        </w:trPr>
        <w:tc>
          <w:tcPr>
            <w:tcW w:type="dxa" w:w="4900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النشاط</w:t>
            </w:r>
          </w:p>
        </w:tc>
        <w:tc>
          <w:tcPr>
            <w:tcW w:type="dxa" w:w="4126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4900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إنتاج المحتوى المرئي والمسموع</w:t>
            </w:r>
          </w:p>
        </w:tc>
        <w:tc>
          <w:tcPr>
            <w:tcW w:type="dxa" w:w="4126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Audiovisual content production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التصوير السينمائي والفيديو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Cinematography and video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التصوير الفوتوغرافي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Photography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التصوير الجوي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Aerial filming</w:t>
            </w:r>
          </w:p>
        </w:tc>
      </w:tr>
      <w:tr>
        <w:tc>
          <w:tcPr>
            <w:tcW w:type="dxa" w:w="4900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إنتاج المحتوى المرئي بالذكاء الاصطناعي</w:t>
            </w:r>
          </w:p>
        </w:tc>
        <w:tc>
          <w:tcPr>
            <w:tcW w:type="dxa" w:w="4126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AI-generated visual content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الرسوم المتحركة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Animation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الموشن جرافيك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Motion graphics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المؤثرات البصرية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Visual effects</w:t>
            </w:r>
          </w:p>
        </w:tc>
      </w:tr>
    </w:tbl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٢. ما بعد الإنتاج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2. Post-production</w:t>
      </w:r>
    </w:p>
    <w:tbl>
      <w:tblPr>
        <w:bidiVisual/>
        <w:tblW w:type="dxa" w:w="9026"/>
        <w:tblBorders>
          <w:top w:val="single" w:color="CFC8BB" w:sz="4"/>
          <w:left w:val="single" w:color="CFC8BB" w:sz="4"/>
          <w:bottom w:val="single" w:color="CFC8BB" w:sz="4"/>
          <w:right w:val="single" w:color="CFC8BB" w:sz="4"/>
          <w:insideH w:val="single" w:color="CFC8BB" w:sz="2"/>
          <w:insideV w:val="single" w:color="CFC8BB" w:sz="2"/>
        </w:tblBorders>
      </w:tblPr>
      <w:tblGrid>
        <w:gridCol w:w="4900"/>
        <w:gridCol w:w="4126"/>
      </w:tblGrid>
      <w:tr>
        <w:trPr>
          <w:tblHeader/>
        </w:trPr>
        <w:tc>
          <w:tcPr>
            <w:tcW w:type="dxa" w:w="4900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النشاط</w:t>
            </w:r>
          </w:p>
        </w:tc>
        <w:tc>
          <w:tcPr>
            <w:tcW w:type="dxa" w:w="4126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المونتاج وخدمات ما بعد الإنتاج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Editing and post-production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التصحيح اللوني ومعالجة الصورة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Colour grading and image processing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تحويل وترميز ملفات الفيديو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Video encoding and transcoding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التعليق الصوتي والمؤثرات الصوتية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Voiceover and sound effects</w:t>
            </w:r>
          </w:p>
        </w:tc>
      </w:tr>
    </w:tbl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٣. الترخيص والحقوق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3. Licensing and rights</w:t>
      </w:r>
    </w:p>
    <w:tbl>
      <w:tblPr>
        <w:bidiVisual/>
        <w:tblW w:type="dxa" w:w="9026"/>
        <w:tblBorders>
          <w:top w:val="single" w:color="CFC8BB" w:sz="4"/>
          <w:left w:val="single" w:color="CFC8BB" w:sz="4"/>
          <w:bottom w:val="single" w:color="CFC8BB" w:sz="4"/>
          <w:right w:val="single" w:color="CFC8BB" w:sz="4"/>
          <w:insideH w:val="single" w:color="CFC8BB" w:sz="2"/>
          <w:insideV w:val="single" w:color="CFC8BB" w:sz="2"/>
        </w:tblBorders>
      </w:tblPr>
      <w:tblGrid>
        <w:gridCol w:w="4900"/>
        <w:gridCol w:w="4126"/>
      </w:tblGrid>
      <w:tr>
        <w:trPr>
          <w:tblHeader/>
        </w:trPr>
        <w:tc>
          <w:tcPr>
            <w:tcW w:type="dxa" w:w="4900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النشاط</w:t>
            </w:r>
          </w:p>
        </w:tc>
        <w:tc>
          <w:tcPr>
            <w:tcW w:type="dxa" w:w="4126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4900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ترخيص واستغلال حقوق المحتوى المرئي</w:t>
            </w:r>
          </w:p>
        </w:tc>
        <w:tc>
          <w:tcPr>
            <w:tcW w:type="dxa" w:w="4126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Licensing audiovisual content rights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إدارة حقوق الملكية الفكرية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Intellectual property rights management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بيع وشراء حقوق النشر والاستخدام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Trading copyright and usage rights</w:t>
            </w:r>
          </w:p>
        </w:tc>
      </w:tr>
    </w:tbl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٤. المنصة والتوزيع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4. Platform and distribution</w:t>
      </w:r>
    </w:p>
    <w:tbl>
      <w:tblPr>
        <w:bidiVisual/>
        <w:tblW w:type="dxa" w:w="9026"/>
        <w:tblBorders>
          <w:top w:val="single" w:color="CFC8BB" w:sz="4"/>
          <w:left w:val="single" w:color="CFC8BB" w:sz="4"/>
          <w:bottom w:val="single" w:color="CFC8BB" w:sz="4"/>
          <w:right w:val="single" w:color="CFC8BB" w:sz="4"/>
          <w:insideH w:val="single" w:color="CFC8BB" w:sz="2"/>
          <w:insideV w:val="single" w:color="CFC8BB" w:sz="2"/>
        </w:tblBorders>
      </w:tblPr>
      <w:tblGrid>
        <w:gridCol w:w="4900"/>
        <w:gridCol w:w="4126"/>
      </w:tblGrid>
      <w:tr>
        <w:trPr>
          <w:tblHeader/>
        </w:trPr>
        <w:tc>
          <w:tcPr>
            <w:tcW w:type="dxa" w:w="4900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النشاط</w:t>
            </w:r>
          </w:p>
        </w:tc>
        <w:tc>
          <w:tcPr>
            <w:tcW w:type="dxa" w:w="4126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4900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إنشاء وتشغيل وإدارة المنصات الإلكترونية</w:t>
            </w:r>
          </w:p>
        </w:tc>
        <w:tc>
          <w:tcPr>
            <w:tcW w:type="dxa" w:w="4126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Operating digital platforms</w:t>
            </w:r>
          </w:p>
        </w:tc>
      </w:tr>
      <w:tr>
        <w:tc>
          <w:tcPr>
            <w:tcW w:type="dxa" w:w="4900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بيع المنتجات الرقمية عبر الإنترنت</w:t>
            </w:r>
          </w:p>
        </w:tc>
        <w:tc>
          <w:tcPr>
            <w:tcW w:type="dxa" w:w="4126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Selling digital products online</w:t>
            </w:r>
          </w:p>
        </w:tc>
      </w:tr>
      <w:tr>
        <w:tc>
          <w:tcPr>
            <w:tcW w:type="dxa" w:w="4900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الوساطة الإلكترونية بين البائعين والمشترين</w:t>
            </w:r>
          </w:p>
        </w:tc>
        <w:tc>
          <w:tcPr>
            <w:tcW w:type="dxa" w:w="4126"/>
            <w:shd w:fill="F5F1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Marketplace intermediation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توزيع المحتوى الرقمي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Digital content distribution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استضافة وتخزين المحتوى الرقمي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Digital content hosting and storage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خدمات الاشتراكات الرقمية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Digital subscription services</w:t>
            </w:r>
          </w:p>
        </w:tc>
      </w:tr>
    </w:tbl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٥. الأرشفة والمكتبات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5. Archiving and libraries</w:t>
      </w:r>
    </w:p>
    <w:tbl>
      <w:tblPr>
        <w:bidiVisual/>
        <w:tblW w:type="dxa" w:w="9026"/>
        <w:tblBorders>
          <w:top w:val="single" w:color="CFC8BB" w:sz="4"/>
          <w:left w:val="single" w:color="CFC8BB" w:sz="4"/>
          <w:bottom w:val="single" w:color="CFC8BB" w:sz="4"/>
          <w:right w:val="single" w:color="CFC8BB" w:sz="4"/>
          <w:insideH w:val="single" w:color="CFC8BB" w:sz="2"/>
          <w:insideV w:val="single" w:color="CFC8BB" w:sz="2"/>
        </w:tblBorders>
      </w:tblPr>
      <w:tblGrid>
        <w:gridCol w:w="4900"/>
        <w:gridCol w:w="4126"/>
      </w:tblGrid>
      <w:tr>
        <w:trPr>
          <w:tblHeader/>
        </w:trPr>
        <w:tc>
          <w:tcPr>
            <w:tcW w:type="dxa" w:w="4900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4141A"/>
                <w:sz w:val="22"/>
                <w:szCs w:val="22"/>
                <w:rtl/>
              </w:rPr>
              <w:t xml:space="preserve">النشاط</w:t>
            </w:r>
          </w:p>
        </w:tc>
        <w:tc>
          <w:tcPr>
            <w:tcW w:type="dxa" w:w="4126"/>
            <w:shd w:fill="E9DC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141A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أرشفة وإدارة المكتبات الرقمية للمحتوى المرئي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Digital visual archive management</w:t>
            </w:r>
          </w:p>
        </w:tc>
      </w:tr>
      <w:tr>
        <w:tc>
          <w:tcPr>
            <w:tcW w:type="dxa" w:w="4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141A"/>
                <w:sz w:val="22"/>
                <w:szCs w:val="22"/>
                <w:rtl/>
              </w:rPr>
              <w:t xml:space="preserve">فهرسة وتصنيف المحتوى المرئي</w:t>
            </w:r>
          </w:p>
        </w:tc>
        <w:tc>
          <w:tcPr>
            <w:tcW w:type="dxa" w:w="4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370"/>
                <w:sz w:val="19"/>
                <w:szCs w:val="19"/>
              </w:rPr>
              <w:t xml:space="preserve">Cataloguing and classifying visual content</w:t>
            </w:r>
          </w:p>
        </w:tc>
      </w:tr>
    </w:tbl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الأنشطة الحرجة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The five that must not be omitted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4141A"/>
          <w:sz w:val="22"/>
          <w:szCs w:val="22"/>
          <w:rtl/>
        </w:rPr>
        <w:t xml:space="preserve">١. إنتاج المحتوى المرئي والمسموع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4141A"/>
          <w:sz w:val="22"/>
          <w:szCs w:val="22"/>
          <w:rtl/>
        </w:rPr>
        <w:t xml:space="preserve">٢. إنشاء وتشغيل وإدارة المنصات الإلكترونية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4141A"/>
          <w:sz w:val="22"/>
          <w:szCs w:val="22"/>
          <w:rtl/>
        </w:rPr>
        <w:t xml:space="preserve">٣. بيع المنتجات الرقمية عبر الإنترنت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4141A"/>
          <w:sz w:val="22"/>
          <w:szCs w:val="22"/>
          <w:rtl/>
        </w:rPr>
        <w:t xml:space="preserve">٤. ترخيص واستغلال حقوق المحتوى المرئي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4141A"/>
          <w:sz w:val="22"/>
          <w:szCs w:val="22"/>
          <w:rtl/>
        </w:rPr>
        <w:t xml:space="preserve">٥. الوساطة الإلكترونية بين البائعين والمشترين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666370"/>
          <w:sz w:val="20"/>
          <w:szCs w:val="20"/>
          <w:rtl/>
        </w:rPr>
        <w:t xml:space="preserve">البندان الرابع والخامس هما اللذان يُغفلان عادةً: الأول أساس بيع التراخيص، والثاني أساس السوق الذي يبيع فيه صنّاع المحتوى ويحصلون على نسبتهم.</w:t>
      </w:r>
    </w:p>
    <w:p>
      <w:pPr>
        <w:pStyle w:val="Heading1"/>
        <w:bidi/>
        <w:spacing w:after="60" w:before="320"/>
        <w:jc w:val="right"/>
      </w:pPr>
      <w:r>
        <w:rPr>
          <w:rFonts w:ascii="Arial" w:cs="Arial" w:eastAsia="Arial" w:hAnsi="Arial"/>
          <w:b/>
          <w:bCs/>
          <w:color w:val="14141A"/>
          <w:sz w:val="30"/>
          <w:szCs w:val="30"/>
          <w:rtl/>
        </w:rPr>
        <w:t xml:space="preserve">ملاحظات للمحامي</w:t>
      </w:r>
    </w:p>
    <w:p>
      <w:pPr>
        <w:spacing w:after="140"/>
        <w:jc w:val="left"/>
      </w:pPr>
      <w:r>
        <w:rPr>
          <w:rFonts w:ascii="Arial" w:cs="Arial" w:eastAsia="Arial" w:hAnsi="Arial"/>
          <w:i/>
          <w:iCs/>
          <w:color w:val="666370"/>
          <w:sz w:val="18"/>
          <w:szCs w:val="18"/>
        </w:rPr>
        <w:t xml:space="preserve">Notes for counsel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4141A"/>
          <w:sz w:val="20"/>
          <w:szCs w:val="20"/>
          <w:rtl/>
        </w:rPr>
        <w:t xml:space="preserve">١. الاحتفاظ بأموال الغير — إذا كانت الشركة ستحتفظ بمستحقات صنّاع المحتوى قبل صرفها لهم، يُرجى تحديد ما إذا كان ذلك يستلزم ترخيصاً إضافياً.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4141A"/>
          <w:sz w:val="20"/>
          <w:szCs w:val="20"/>
          <w:rtl/>
        </w:rPr>
        <w:t xml:space="preserve">٢. الذكاء الاصطناعي — إذا لم يوجد بند صريح، فإن «إنتاج المحتوى المرئي والمسموع» يغطيه؛ الأداة لا تُغيّر طبيعة النشاط.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color w:val="14141A"/>
          <w:sz w:val="20"/>
          <w:szCs w:val="20"/>
          <w:rtl/>
        </w:rPr>
        <w:t xml:space="preserve">٣. الضرائب — معظم العملاء خارج البلاد، والخدمات الرقمية المُصدَّرة قد تخضع لمعاملة ضريبية مختلفة.</w:t>
      </w:r>
    </w:p>
    <w:p>
      <w:pPr>
        <w:bidi/>
        <w:spacing w:after="0"/>
        <w:jc w:val="right"/>
      </w:pPr>
      <w:r>
        <w:rPr>
          <w:rFonts w:ascii="Arial" w:cs="Arial" w:eastAsia="Arial" w:hAnsi="Arial"/>
          <w:color w:val="14141A"/>
          <w:sz w:val="20"/>
          <w:szCs w:val="20"/>
          <w:rtl/>
        </w:rPr>
        <w:t xml:space="preserve">٤. أنشطة على الحدود لم تُدرَج — التصميم الجرافيكي والهوية البصرية، والتسويق الرقمي والإعلان. تُضاف إذا كان هناك احتمال بيعها كخدمة مستقلة.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2026-08-15T20:45:50.335Z</dcterms:created>
  <dcterms:modified xsi:type="dcterms:W3CDTF">2026-08-15T20:45:50.336Z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