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20420" w14:textId="77777777" w:rsidR="000970FB" w:rsidRPr="000970FB" w:rsidRDefault="000970FB" w:rsidP="000970FB">
      <w:pPr>
        <w:rPr>
          <w:b/>
          <w:bCs/>
        </w:rPr>
      </w:pPr>
      <w:r w:rsidRPr="000970FB">
        <w:rPr>
          <w:b/>
          <w:bCs/>
        </w:rPr>
        <w:t>À propos du jeu de données</w:t>
      </w:r>
    </w:p>
    <w:p w14:paraId="671A757C" w14:textId="77777777" w:rsidR="000970FB" w:rsidRPr="000970FB" w:rsidRDefault="000970FB" w:rsidP="000970FB">
      <w:r w:rsidRPr="000970FB">
        <w:t xml:space="preserve">Le jeu de données </w:t>
      </w:r>
      <w:r w:rsidRPr="000970FB">
        <w:rPr>
          <w:b/>
          <w:bCs/>
        </w:rPr>
        <w:t>Cost of International Education</w:t>
      </w:r>
      <w:r w:rsidRPr="000970FB">
        <w:t xml:space="preserve"> fournit une vue structurée et normalisée des principaux coûts supportés par les étudiants internationaux lorsqu’ils poursuivent des études à l’étranger.</w:t>
      </w:r>
    </w:p>
    <w:p w14:paraId="7D1A119A" w14:textId="77777777" w:rsidR="000970FB" w:rsidRPr="000970FB" w:rsidRDefault="000970FB" w:rsidP="000970FB">
      <w:r w:rsidRPr="000970FB">
        <w:t>Il comprend à la fois :</w:t>
      </w:r>
    </w:p>
    <w:p w14:paraId="6C222EF0" w14:textId="77777777" w:rsidR="000970FB" w:rsidRPr="000970FB" w:rsidRDefault="000970FB" w:rsidP="000970FB">
      <w:pPr>
        <w:numPr>
          <w:ilvl w:val="0"/>
          <w:numId w:val="3"/>
        </w:numPr>
      </w:pPr>
      <w:r w:rsidRPr="000970FB">
        <w:rPr>
          <w:b/>
          <w:bCs/>
        </w:rPr>
        <w:t>Informations géographiques</w:t>
      </w:r>
      <w:r w:rsidRPr="000970FB">
        <w:t xml:space="preserve"> :</w:t>
      </w:r>
    </w:p>
    <w:p w14:paraId="766F9FE6" w14:textId="77777777" w:rsidR="000970FB" w:rsidRPr="000970FB" w:rsidRDefault="000970FB" w:rsidP="000970FB">
      <w:pPr>
        <w:numPr>
          <w:ilvl w:val="1"/>
          <w:numId w:val="3"/>
        </w:numPr>
      </w:pPr>
      <w:r w:rsidRPr="000970FB">
        <w:rPr>
          <w:b/>
          <w:bCs/>
        </w:rPr>
        <w:t>Country</w:t>
      </w:r>
      <w:r w:rsidRPr="000970FB">
        <w:t xml:space="preserve"> : Nom du pays où se situe l’établissement (ex. : “Germany”, “Canada”), permettant d’analyser et de regrouper les coûts par contexte national.</w:t>
      </w:r>
    </w:p>
    <w:p w14:paraId="33563E5B" w14:textId="77777777" w:rsidR="000970FB" w:rsidRPr="000970FB" w:rsidRDefault="000970FB" w:rsidP="000970FB">
      <w:pPr>
        <w:numPr>
          <w:ilvl w:val="1"/>
          <w:numId w:val="3"/>
        </w:numPr>
      </w:pPr>
      <w:r w:rsidRPr="000970FB">
        <w:rPr>
          <w:b/>
          <w:bCs/>
        </w:rPr>
        <w:t>City</w:t>
      </w:r>
      <w:r w:rsidRPr="000970FB">
        <w:t xml:space="preserve"> : Ville ou zone urbaine où se trouve l’université (ex. : “Munich”, “Toronto”), utile pour comparer les variations de coûts à l’intérieur d’un même pays.</w:t>
      </w:r>
    </w:p>
    <w:p w14:paraId="0EA2F005" w14:textId="77777777" w:rsidR="000970FB" w:rsidRPr="000970FB" w:rsidRDefault="000970FB" w:rsidP="000970FB">
      <w:pPr>
        <w:numPr>
          <w:ilvl w:val="1"/>
          <w:numId w:val="3"/>
        </w:numPr>
      </w:pPr>
      <w:r w:rsidRPr="000970FB">
        <w:rPr>
          <w:b/>
          <w:bCs/>
        </w:rPr>
        <w:t>University</w:t>
      </w:r>
      <w:r w:rsidRPr="000970FB">
        <w:t xml:space="preserve"> : Nom complet et officiel de l’établissement d’enseignement supérieur (ex. : “Technical University of Munich”, “University of Toronto”), facilitant le benchmarking entre institutions spécifiques.</w:t>
      </w:r>
    </w:p>
    <w:p w14:paraId="1BDEA3D2" w14:textId="77777777" w:rsidR="000970FB" w:rsidRPr="000970FB" w:rsidRDefault="000970FB" w:rsidP="000970FB">
      <w:pPr>
        <w:numPr>
          <w:ilvl w:val="0"/>
          <w:numId w:val="3"/>
        </w:numPr>
      </w:pPr>
      <w:r w:rsidRPr="000970FB">
        <w:rPr>
          <w:b/>
          <w:bCs/>
        </w:rPr>
        <w:t>Détails sur le programme</w:t>
      </w:r>
      <w:r w:rsidRPr="000970FB">
        <w:t xml:space="preserve"> :</w:t>
      </w:r>
    </w:p>
    <w:p w14:paraId="473F6503" w14:textId="77777777" w:rsidR="000970FB" w:rsidRPr="000970FB" w:rsidRDefault="000970FB" w:rsidP="000970FB">
      <w:pPr>
        <w:numPr>
          <w:ilvl w:val="1"/>
          <w:numId w:val="3"/>
        </w:numPr>
      </w:pPr>
      <w:r w:rsidRPr="000970FB">
        <w:rPr>
          <w:b/>
          <w:bCs/>
        </w:rPr>
        <w:t>Program</w:t>
      </w:r>
      <w:r w:rsidRPr="000970FB">
        <w:t xml:space="preserve"> : Intitulé du cursus ou domaine d’étude (ex. : “Master of Computer Science”, “MBA”), permettant de distinguer les coûts par discipline.</w:t>
      </w:r>
    </w:p>
    <w:p w14:paraId="661306FE" w14:textId="77777777" w:rsidR="000970FB" w:rsidRPr="000970FB" w:rsidRDefault="000970FB" w:rsidP="000970FB">
      <w:pPr>
        <w:numPr>
          <w:ilvl w:val="1"/>
          <w:numId w:val="3"/>
        </w:numPr>
      </w:pPr>
      <w:r w:rsidRPr="000970FB">
        <w:rPr>
          <w:b/>
          <w:bCs/>
        </w:rPr>
        <w:t>Level</w:t>
      </w:r>
      <w:r w:rsidRPr="000970FB">
        <w:t xml:space="preserve"> : Niveau d’étude (ex. : “Undergraduate”, “Master’s”, “PhD”), afin d’évaluer les écarts de coûts selon le cycle académique.</w:t>
      </w:r>
    </w:p>
    <w:p w14:paraId="0300357D" w14:textId="77777777" w:rsidR="000970FB" w:rsidRPr="000970FB" w:rsidRDefault="000970FB" w:rsidP="000970FB">
      <w:pPr>
        <w:numPr>
          <w:ilvl w:val="1"/>
          <w:numId w:val="3"/>
        </w:numPr>
      </w:pPr>
      <w:r w:rsidRPr="000970FB">
        <w:rPr>
          <w:b/>
          <w:bCs/>
        </w:rPr>
        <w:t>Duration_Years</w:t>
      </w:r>
      <w:r w:rsidRPr="000970FB">
        <w:t xml:space="preserve"> : Durée totale du programme en années (valeur entière), utile pour estimer les coûts annuels ou comparer des cursus courts et longs.</w:t>
      </w:r>
    </w:p>
    <w:p w14:paraId="3A10AF83" w14:textId="77777777" w:rsidR="000970FB" w:rsidRPr="000970FB" w:rsidRDefault="000970FB" w:rsidP="000970FB">
      <w:pPr>
        <w:numPr>
          <w:ilvl w:val="0"/>
          <w:numId w:val="3"/>
        </w:numPr>
      </w:pPr>
      <w:r w:rsidRPr="000970FB">
        <w:rPr>
          <w:b/>
          <w:bCs/>
        </w:rPr>
        <w:t>Composantes de coûts</w:t>
      </w:r>
      <w:r w:rsidRPr="000970FB">
        <w:t xml:space="preserve"> :</w:t>
      </w:r>
    </w:p>
    <w:p w14:paraId="2D2A09CA" w14:textId="77777777" w:rsidR="000970FB" w:rsidRPr="000970FB" w:rsidRDefault="000970FB" w:rsidP="000970FB">
      <w:pPr>
        <w:numPr>
          <w:ilvl w:val="1"/>
          <w:numId w:val="3"/>
        </w:numPr>
      </w:pPr>
      <w:r w:rsidRPr="000970FB">
        <w:rPr>
          <w:b/>
          <w:bCs/>
        </w:rPr>
        <w:t>Tuition_USD</w:t>
      </w:r>
      <w:r w:rsidRPr="000970FB">
        <w:t xml:space="preserve"> : Frais de scolarité totaux pour l’ensemble du programme, convertis en dollars américains, incluant les coûts d’enseignement et de services institutionnels.</w:t>
      </w:r>
    </w:p>
    <w:p w14:paraId="40C642A7" w14:textId="77777777" w:rsidR="000970FB" w:rsidRPr="000970FB" w:rsidRDefault="000970FB" w:rsidP="000970FB">
      <w:pPr>
        <w:numPr>
          <w:ilvl w:val="1"/>
          <w:numId w:val="3"/>
        </w:numPr>
      </w:pPr>
      <w:r w:rsidRPr="000970FB">
        <w:rPr>
          <w:b/>
          <w:bCs/>
        </w:rPr>
        <w:t>Living_Cost_Index</w:t>
      </w:r>
      <w:r w:rsidRPr="000970FB">
        <w:t xml:space="preserve"> : Indice normalisé reflétant le coût de la vie quotidienne (nourriture, transport, services) avec New York City comme base 100, basé sur des bases de données mondiales du coût de la vie.</w:t>
      </w:r>
    </w:p>
    <w:p w14:paraId="10F7EA52" w14:textId="77777777" w:rsidR="000970FB" w:rsidRPr="000970FB" w:rsidRDefault="000970FB" w:rsidP="000970FB">
      <w:pPr>
        <w:numPr>
          <w:ilvl w:val="1"/>
          <w:numId w:val="3"/>
        </w:numPr>
      </w:pPr>
      <w:r w:rsidRPr="000970FB">
        <w:rPr>
          <w:b/>
          <w:bCs/>
        </w:rPr>
        <w:t>Rent_USD</w:t>
      </w:r>
      <w:r w:rsidRPr="000970FB">
        <w:t xml:space="preserve"> : Loyer mensuel moyen pour un logement étudiant, en USD, calculé à partir de données de prix du logement provenant de sources participatives.</w:t>
      </w:r>
    </w:p>
    <w:p w14:paraId="11E5039D" w14:textId="77777777" w:rsidR="000970FB" w:rsidRPr="000970FB" w:rsidRDefault="000970FB" w:rsidP="000970FB">
      <w:pPr>
        <w:numPr>
          <w:ilvl w:val="1"/>
          <w:numId w:val="3"/>
        </w:numPr>
      </w:pPr>
      <w:r w:rsidRPr="000970FB">
        <w:rPr>
          <w:b/>
          <w:bCs/>
        </w:rPr>
        <w:t>Visa_Fee_USD</w:t>
      </w:r>
      <w:r w:rsidRPr="000970FB">
        <w:t xml:space="preserve"> : Frais de dossier uniques pour l’obtention d’un visa étudiant international, en USD.</w:t>
      </w:r>
    </w:p>
    <w:p w14:paraId="19C85DE0" w14:textId="77777777" w:rsidR="000970FB" w:rsidRPr="000970FB" w:rsidRDefault="000970FB" w:rsidP="000970FB">
      <w:pPr>
        <w:numPr>
          <w:ilvl w:val="1"/>
          <w:numId w:val="3"/>
        </w:numPr>
      </w:pPr>
      <w:r w:rsidRPr="000970FB">
        <w:rPr>
          <w:b/>
          <w:bCs/>
        </w:rPr>
        <w:t>Insurance_USD</w:t>
      </w:r>
      <w:r w:rsidRPr="000970FB">
        <w:t xml:space="preserve"> : Coût annuel de l’assurance santé ou assurance étudiante, en USD, couvrant tout ou partie des frais médicaux pendant la durée des études à l’étranger.</w:t>
      </w:r>
    </w:p>
    <w:p w14:paraId="36C62AEC" w14:textId="77777777" w:rsidR="000970FB" w:rsidRPr="000970FB" w:rsidRDefault="000970FB" w:rsidP="000970FB">
      <w:pPr>
        <w:numPr>
          <w:ilvl w:val="0"/>
          <w:numId w:val="3"/>
        </w:numPr>
      </w:pPr>
      <w:r w:rsidRPr="000970FB">
        <w:rPr>
          <w:b/>
          <w:bCs/>
        </w:rPr>
        <w:t>Conversion monétaire</w:t>
      </w:r>
      <w:r w:rsidRPr="000970FB">
        <w:t xml:space="preserve"> :</w:t>
      </w:r>
    </w:p>
    <w:p w14:paraId="6B6983B0" w14:textId="77777777" w:rsidR="000970FB" w:rsidRPr="000970FB" w:rsidRDefault="000970FB" w:rsidP="000970FB">
      <w:pPr>
        <w:numPr>
          <w:ilvl w:val="1"/>
          <w:numId w:val="3"/>
        </w:numPr>
      </w:pPr>
      <w:r w:rsidRPr="000970FB">
        <w:rPr>
          <w:b/>
          <w:bCs/>
        </w:rPr>
        <w:t>Exchange_Rate</w:t>
      </w:r>
      <w:r w:rsidRPr="000970FB">
        <w:t xml:space="preserve"> : Nombre d’unités de la monnaie locale correspondant à un dollar américain au moment de la collecte des données, indispensable pour convertir les coûts locaux en USD et assurer la comparabilité entre pays.</w:t>
      </w:r>
    </w:p>
    <w:p w14:paraId="49EDDC9D" w14:textId="77777777" w:rsidR="000970FB" w:rsidRPr="000970FB" w:rsidRDefault="000970FB" w:rsidP="000970FB">
      <w:r w:rsidRPr="000970FB">
        <w:lastRenderedPageBreak/>
        <w:pict w14:anchorId="4039201E">
          <v:rect id="_x0000_i1045" style="width:0;height:1.5pt" o:hralign="center" o:hrstd="t" o:hr="t" fillcolor="#a0a0a0" stroked="f"/>
        </w:pict>
      </w:r>
    </w:p>
    <w:p w14:paraId="45355F9B" w14:textId="77777777" w:rsidR="000970FB" w:rsidRPr="000970FB" w:rsidRDefault="000970FB" w:rsidP="000970FB">
      <w:pPr>
        <w:rPr>
          <w:b/>
          <w:bCs/>
        </w:rPr>
      </w:pPr>
      <w:r w:rsidRPr="000970FB">
        <w:rPr>
          <w:b/>
          <w:bCs/>
        </w:rPr>
        <w:t>Utilisations possibles</w:t>
      </w:r>
    </w:p>
    <w:p w14:paraId="2BA19EB8" w14:textId="77777777" w:rsidR="000970FB" w:rsidRPr="000970FB" w:rsidRDefault="000970FB" w:rsidP="000970FB">
      <w:pPr>
        <w:numPr>
          <w:ilvl w:val="0"/>
          <w:numId w:val="4"/>
        </w:numPr>
      </w:pPr>
      <w:r w:rsidRPr="000970FB">
        <w:rPr>
          <w:b/>
          <w:bCs/>
        </w:rPr>
        <w:t>Comparaison internationale</w:t>
      </w:r>
      <w:r w:rsidRPr="000970FB">
        <w:t xml:space="preserve"> : Évaluer les différences de coûts entre pays, villes et universités.</w:t>
      </w:r>
    </w:p>
    <w:p w14:paraId="7252B169" w14:textId="77777777" w:rsidR="000970FB" w:rsidRPr="000970FB" w:rsidRDefault="000970FB" w:rsidP="000970FB">
      <w:pPr>
        <w:numPr>
          <w:ilvl w:val="0"/>
          <w:numId w:val="4"/>
        </w:numPr>
      </w:pPr>
      <w:r w:rsidRPr="000970FB">
        <w:rPr>
          <w:b/>
          <w:bCs/>
        </w:rPr>
        <w:t>Analyse par niveau d’étude</w:t>
      </w:r>
      <w:r w:rsidRPr="000970FB">
        <w:t xml:space="preserve"> : Identifier comment les coûts varient selon le type de diplôme ou la durée des études.</w:t>
      </w:r>
    </w:p>
    <w:p w14:paraId="696D0EAA" w14:textId="77777777" w:rsidR="000970FB" w:rsidRPr="000970FB" w:rsidRDefault="000970FB" w:rsidP="000970FB">
      <w:pPr>
        <w:numPr>
          <w:ilvl w:val="0"/>
          <w:numId w:val="4"/>
        </w:numPr>
      </w:pPr>
      <w:r w:rsidRPr="000970FB">
        <w:rPr>
          <w:b/>
          <w:bCs/>
        </w:rPr>
        <w:t>Planification budgétaire</w:t>
      </w:r>
      <w:r w:rsidRPr="000970FB">
        <w:t xml:space="preserve"> : Aider les étudiants à estimer le budget nécessaire pour étudier dans un pays ou un programme donné.</w:t>
      </w:r>
    </w:p>
    <w:p w14:paraId="17D883F9" w14:textId="77777777" w:rsidR="000970FB" w:rsidRPr="000970FB" w:rsidRDefault="000970FB" w:rsidP="000970FB">
      <w:pPr>
        <w:numPr>
          <w:ilvl w:val="0"/>
          <w:numId w:val="4"/>
        </w:numPr>
      </w:pPr>
      <w:r w:rsidRPr="000970FB">
        <w:rPr>
          <w:b/>
          <w:bCs/>
        </w:rPr>
        <w:t>Recherche académique</w:t>
      </w:r>
      <w:r w:rsidRPr="000970FB">
        <w:t xml:space="preserve"> : Étudier les tendances économiques mondiales liées à l’éducation et l’accessibilité financière.</w:t>
      </w:r>
    </w:p>
    <w:p w14:paraId="21A4A60B" w14:textId="77777777" w:rsidR="0030596A" w:rsidRDefault="0030596A"/>
    <w:sectPr w:rsidR="003059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13C09"/>
    <w:multiLevelType w:val="multilevel"/>
    <w:tmpl w:val="D072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374C9"/>
    <w:multiLevelType w:val="multilevel"/>
    <w:tmpl w:val="4B4A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63804"/>
    <w:multiLevelType w:val="multilevel"/>
    <w:tmpl w:val="48A69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3F6883"/>
    <w:multiLevelType w:val="multilevel"/>
    <w:tmpl w:val="6832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636854">
    <w:abstractNumId w:val="3"/>
  </w:num>
  <w:num w:numId="2" w16cid:durableId="1976913230">
    <w:abstractNumId w:val="1"/>
  </w:num>
  <w:num w:numId="3" w16cid:durableId="1330913765">
    <w:abstractNumId w:val="2"/>
  </w:num>
  <w:num w:numId="4" w16cid:durableId="2076469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0FB"/>
    <w:rsid w:val="00045E78"/>
    <w:rsid w:val="000970FB"/>
    <w:rsid w:val="00173517"/>
    <w:rsid w:val="0017659C"/>
    <w:rsid w:val="0030596A"/>
    <w:rsid w:val="00331FB1"/>
    <w:rsid w:val="003A44AD"/>
    <w:rsid w:val="00FA6D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56D3"/>
  <w15:chartTrackingRefBased/>
  <w15:docId w15:val="{D081125D-8BC1-4110-A637-915AD1EA5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970F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0970F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0970FB"/>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0970FB"/>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0970FB"/>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0970F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970F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970F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970F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70FB"/>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0970FB"/>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0970FB"/>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0970FB"/>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0970FB"/>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0970F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970F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970F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970FB"/>
    <w:rPr>
      <w:rFonts w:eastAsiaTheme="majorEastAsia" w:cstheme="majorBidi"/>
      <w:color w:val="272727" w:themeColor="text1" w:themeTint="D8"/>
    </w:rPr>
  </w:style>
  <w:style w:type="paragraph" w:styleId="Titre">
    <w:name w:val="Title"/>
    <w:basedOn w:val="Normal"/>
    <w:next w:val="Normal"/>
    <w:link w:val="TitreCar"/>
    <w:uiPriority w:val="10"/>
    <w:qFormat/>
    <w:rsid w:val="00097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970F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970F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970F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970FB"/>
    <w:pPr>
      <w:spacing w:before="160"/>
      <w:jc w:val="center"/>
    </w:pPr>
    <w:rPr>
      <w:i/>
      <w:iCs/>
      <w:color w:val="404040" w:themeColor="text1" w:themeTint="BF"/>
    </w:rPr>
  </w:style>
  <w:style w:type="character" w:customStyle="1" w:styleId="CitationCar">
    <w:name w:val="Citation Car"/>
    <w:basedOn w:val="Policepardfaut"/>
    <w:link w:val="Citation"/>
    <w:uiPriority w:val="29"/>
    <w:rsid w:val="000970FB"/>
    <w:rPr>
      <w:i/>
      <w:iCs/>
      <w:color w:val="404040" w:themeColor="text1" w:themeTint="BF"/>
    </w:rPr>
  </w:style>
  <w:style w:type="paragraph" w:styleId="Paragraphedeliste">
    <w:name w:val="List Paragraph"/>
    <w:basedOn w:val="Normal"/>
    <w:uiPriority w:val="34"/>
    <w:qFormat/>
    <w:rsid w:val="000970FB"/>
    <w:pPr>
      <w:ind w:left="720"/>
      <w:contextualSpacing/>
    </w:pPr>
  </w:style>
  <w:style w:type="character" w:styleId="Accentuationintense">
    <w:name w:val="Intense Emphasis"/>
    <w:basedOn w:val="Policepardfaut"/>
    <w:uiPriority w:val="21"/>
    <w:qFormat/>
    <w:rsid w:val="000970FB"/>
    <w:rPr>
      <w:i/>
      <w:iCs/>
      <w:color w:val="2E74B5" w:themeColor="accent1" w:themeShade="BF"/>
    </w:rPr>
  </w:style>
  <w:style w:type="paragraph" w:styleId="Citationintense">
    <w:name w:val="Intense Quote"/>
    <w:basedOn w:val="Normal"/>
    <w:next w:val="Normal"/>
    <w:link w:val="CitationintenseCar"/>
    <w:uiPriority w:val="30"/>
    <w:qFormat/>
    <w:rsid w:val="000970F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0970FB"/>
    <w:rPr>
      <w:i/>
      <w:iCs/>
      <w:color w:val="2E74B5" w:themeColor="accent1" w:themeShade="BF"/>
    </w:rPr>
  </w:style>
  <w:style w:type="character" w:styleId="Rfrenceintense">
    <w:name w:val="Intense Reference"/>
    <w:basedOn w:val="Policepardfaut"/>
    <w:uiPriority w:val="32"/>
    <w:qFormat/>
    <w:rsid w:val="000970F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428</Words>
  <Characters>2357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HOUNTONDJI</dc:creator>
  <cp:keywords/>
  <dc:description/>
  <cp:lastModifiedBy>Oscar HOUNTONDJI</cp:lastModifiedBy>
  <cp:revision>2</cp:revision>
  <dcterms:created xsi:type="dcterms:W3CDTF">2025-08-14T11:35:00Z</dcterms:created>
  <dcterms:modified xsi:type="dcterms:W3CDTF">2025-08-14T12:19:00Z</dcterms:modified>
</cp:coreProperties>
</file>