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6B" w:val="clear"/>
            <w:tcMar>
              <w:top w:type="dxa" w:w="180"/>
              <w:left w:type="dxa" w:w="360"/>
              <w:bottom w:type="dxa" w:w="180"/>
              <w:right w:type="dxa" w:w="360"/>
            </w:tcMar>
          </w:tcPr>
          <w:p>
            <w:pPr>
              <w:jc w:val="center"/>
            </w:pPr>
            <w:r>
              <w:rPr>
                <w:rFonts w:ascii="Arial" w:cs="Arial" w:eastAsia="Arial" w:hAnsi="Arial"/>
                <w:b/>
                <w:bCs/>
                <w:color w:val="FFFFFF"/>
                <w:sz w:val="56"/>
                <w:szCs w:val="56"/>
              </w:rPr>
              <w:t xml:space="preserve">CUSTOMER RETENTION &amp;</w:t>
            </w:r>
          </w:p>
          <w:p>
            <w:pPr>
              <w:jc w:val="center"/>
            </w:pPr>
            <w:r>
              <w:rPr>
                <w:rFonts w:ascii="Arial" w:cs="Arial" w:eastAsia="Arial" w:hAnsi="Arial"/>
                <w:b/>
                <w:bCs/>
                <w:color w:val="FFFFFF"/>
                <w:sz w:val="56"/>
                <w:szCs w:val="56"/>
              </w:rPr>
              <w:t xml:space="preserve">CHURN ANALYSIS REPORT</w:t>
            </w:r>
          </w:p>
          <w:p>
            <w:pPr>
              <w:spacing w:after="0" w:before="60"/>
            </w:pPr>
            <w:r>
              <w:t xml:space="preserve"/>
            </w:r>
          </w:p>
          <w:p>
            <w:pPr>
              <w:jc w:val="center"/>
            </w:pPr>
            <w:r>
              <w:rPr>
                <w:rFonts w:ascii="Arial" w:cs="Arial" w:eastAsia="Arial" w:hAnsi="Arial"/>
                <w:color w:val="A8C8E8"/>
                <w:sz w:val="24"/>
                <w:szCs w:val="24"/>
              </w:rPr>
              <w:t xml:space="preserve">Telco Customer Dataset  ·  Kaggle  ·  N = 7,032 Customers</w:t>
            </w:r>
          </w:p>
        </w:tc>
      </w:tr>
    </w:tbl>
    <w:p>
      <w:pPr>
        <w:spacing w:after="0" w:before="240"/>
      </w:pPr>
      <w:r>
        <w:t xml:space="preserve"/>
      </w:r>
    </w:p>
    <w:p>
      <w:pPr>
        <w:spacing w:after="60" w:before="60"/>
        <w:jc w:val="center"/>
      </w:pPr>
      <w:r>
        <w:rPr>
          <w:rFonts w:ascii="Arial" w:cs="Arial" w:eastAsia="Arial" w:hAnsi="Arial"/>
          <w:b/>
          <w:bCs/>
          <w:color w:val="555555"/>
          <w:sz w:val="26"/>
          <w:szCs w:val="26"/>
        </w:rPr>
        <w:t xml:space="preserve">Prepared by: Bidusha Shrestha</w:t>
      </w:r>
    </w:p>
    <w:p>
      <w:pPr>
        <w:spacing w:after="60" w:before="0"/>
        <w:jc w:val="center"/>
      </w:pPr>
      <w:r>
        <w:rPr>
          <w:rFonts w:ascii="Arial" w:cs="Arial" w:eastAsia="Arial" w:hAnsi="Arial"/>
          <w:color w:val="888888"/>
          <w:sz w:val="24"/>
          <w:szCs w:val="24"/>
        </w:rPr>
        <w:t xml:space="preserve">Date: May 6, 2026</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1"/>
              <w:left w:val="single" w:color="1A3C6B" w:sz="1"/>
              <w:bottom w:val="single" w:color="1A3C6B" w:sz="1"/>
              <w:right w:val="single" w:color="1A3C6B" w:sz="1"/>
            </w:tcBorders>
            <w:shd w:fill="D6E4F0" w:val="clear"/>
            <w:tcMar>
              <w:top w:type="dxa" w:w="140"/>
              <w:left w:type="dxa" w:w="240"/>
              <w:bottom w:type="dxa" w:w="140"/>
              <w:right w:type="dxa" w:w="240"/>
            </w:tcMar>
          </w:tcPr>
          <w:p>
            <w:pPr>
              <w:spacing w:after="80" w:before="0"/>
              <w:jc w:val="center"/>
            </w:pPr>
            <w:r>
              <w:rPr>
                <w:rFonts w:ascii="Arial" w:cs="Arial" w:eastAsia="Arial" w:hAnsi="Arial"/>
                <w:b/>
                <w:bCs/>
                <w:color w:val="1A3C6B"/>
                <w:sz w:val="28"/>
                <w:szCs w:val="28"/>
              </w:rPr>
              <w:t xml:space="preserve">EXECUTIVE SUMMARY</w:t>
            </w:r>
          </w:p>
          <w:p>
            <w:pPr>
              <w:spacing w:after="80" w:before="60"/>
              <w:jc w:val="left"/>
            </w:pPr>
            <w:r>
              <w:rPr>
                <w:rFonts w:ascii="Arial" w:cs="Arial" w:eastAsia="Arial" w:hAnsi="Arial"/>
                <w:b w:val="false"/>
                <w:bCs w:val="false"/>
                <w:i w:val="false"/>
                <w:iCs w:val="false"/>
                <w:color w:val="222222"/>
                <w:sz w:val="22"/>
                <w:szCs w:val="22"/>
              </w:rPr>
              <w:t xml:space="preserve">This report presents a comprehensive analysis of customer churn patterns, retention trends, and lifetime value drivers for a telecommunications company. Using the Telco Customer Churn dataset (7,032 customers, 21 variables), we identified the root causes of churn, segmented customers by risk level, and produced an actionable roadmap to improve retention and protect annual revenue.</w:t>
            </w:r>
          </w:p>
          <w:p>
            <w:pPr>
              <w:spacing w:after="0" w:before="40"/>
            </w:pPr>
            <w:r>
              <w:t xml:space="preserve"/>
            </w:r>
          </w:p>
          <w:p>
            <w:pPr>
              <w:spacing w:after="40" w:before="40"/>
            </w:pPr>
            <w:r>
              <w:rPr>
                <w:rFonts w:ascii="Arial" w:cs="Arial" w:eastAsia="Arial" w:hAnsi="Arial"/>
                <w:b/>
                <w:bCs/>
                <w:color w:val="C0392B"/>
                <w:sz w:val="22"/>
                <w:szCs w:val="22"/>
              </w:rPr>
              <w:t xml:space="preserve">Bottom Line: </w:t>
            </w:r>
            <w:r>
              <w:rPr>
                <w:rFonts w:ascii="Arial" w:cs="Arial" w:eastAsia="Arial" w:hAnsi="Arial"/>
                <w:sz w:val="22"/>
                <w:szCs w:val="22"/>
              </w:rPr>
              <w:t xml:space="preserve">26.6% of customers churn. The first 3 months are make-or-break. Month-to-month contracts are 15× riskier than two-year contracts. Targeted interventions can save ~605 customers and generate +$39K net revenue annually with a projected 97% ROI.</w:t>
            </w:r>
          </w:p>
        </w:tc>
      </w:tr>
    </w:tbl>
    <w:p>
      <w:pPr>
        <w:spacing w:after="0" w:before="240"/>
      </w:pPr>
      <w:r>
        <w:t xml:space="preserve"/>
      </w:r>
    </w:p>
    <w:p>
      <w:pPr>
        <w:spacing w:after="80" w:before="0"/>
      </w:pPr>
      <w:r>
        <w:rPr>
          <w:rFonts w:ascii="Arial" w:cs="Arial" w:eastAsia="Arial" w:hAnsi="Arial"/>
          <w:b/>
          <w:bCs/>
          <w:color w:val="1A3C6B"/>
          <w:sz w:val="22"/>
          <w:szCs w:val="2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FADBD8" w:val="clear"/>
            <w:tcMar>
              <w:top w:type="dxa" w:w="140"/>
              <w:left w:type="dxa" w:w="160"/>
              <w:bottom w:type="dxa" w:w="140"/>
              <w:right w:type="dxa" w:w="160"/>
            </w:tcMar>
            <w:vAlign w:val="center"/>
          </w:tcPr>
          <w:p>
            <w:pPr>
              <w:spacing w:after="40" w:before="0"/>
              <w:jc w:val="center"/>
            </w:pPr>
            <w:r>
              <w:rPr>
                <w:rFonts w:ascii="Arial" w:cs="Arial" w:eastAsia="Arial" w:hAnsi="Arial"/>
                <w:b/>
                <w:bCs/>
                <w:color w:val="C0392B"/>
                <w:sz w:val="52"/>
                <w:szCs w:val="52"/>
              </w:rPr>
              <w:t xml:space="preserve">26.6%</w:t>
            </w:r>
          </w:p>
          <w:p>
            <w:pPr>
              <w:spacing w:after="0" w:before="0"/>
              <w:jc w:val="center"/>
            </w:pPr>
            <w:r>
              <w:rPr>
                <w:rFonts w:ascii="Arial" w:cs="Arial" w:eastAsia="Arial" w:hAnsi="Arial"/>
                <w:color w:val="555555"/>
                <w:sz w:val="18"/>
                <w:szCs w:val="18"/>
              </w:rPr>
              <w:t xml:space="preserve">Overall Churn Rate</w:t>
            </w:r>
          </w:p>
        </w:tc>
        <w:tc>
          <w:tcPr>
            <w:tcW w:type="dxa" w:w="2340"/>
            <w:tcBorders>
              <w:top w:val="none"/>
              <w:left w:val="none"/>
              <w:bottom w:val="none"/>
              <w:right w:val="none"/>
            </w:tcBorders>
            <w:shd w:fill="D6E4F0" w:val="clear"/>
            <w:tcMar>
              <w:top w:type="dxa" w:w="140"/>
              <w:left w:type="dxa" w:w="160"/>
              <w:bottom w:type="dxa" w:w="140"/>
              <w:right w:type="dxa" w:w="160"/>
            </w:tcMar>
            <w:vAlign w:val="center"/>
          </w:tcPr>
          <w:p>
            <w:pPr>
              <w:spacing w:after="40" w:before="0"/>
              <w:jc w:val="center"/>
            </w:pPr>
            <w:r>
              <w:rPr>
                <w:rFonts w:ascii="Arial" w:cs="Arial" w:eastAsia="Arial" w:hAnsi="Arial"/>
                <w:b/>
                <w:bCs/>
                <w:color w:val="1A3C6B"/>
                <w:sz w:val="52"/>
                <w:szCs w:val="52"/>
              </w:rPr>
              <w:t xml:space="preserve">7,032</w:t>
            </w:r>
          </w:p>
          <w:p>
            <w:pPr>
              <w:spacing w:after="0" w:before="0"/>
              <w:jc w:val="center"/>
            </w:pPr>
            <w:r>
              <w:rPr>
                <w:rFonts w:ascii="Arial" w:cs="Arial" w:eastAsia="Arial" w:hAnsi="Arial"/>
                <w:color w:val="555555"/>
                <w:sz w:val="18"/>
                <w:szCs w:val="18"/>
              </w:rPr>
              <w:t xml:space="preserve">Total Customers</w:t>
            </w:r>
          </w:p>
        </w:tc>
        <w:tc>
          <w:tcPr>
            <w:tcW w:type="dxa" w:w="2340"/>
            <w:tcBorders>
              <w:top w:val="none"/>
              <w:left w:val="none"/>
              <w:bottom w:val="none"/>
              <w:right w:val="none"/>
            </w:tcBorders>
            <w:shd w:fill="D5F5E3" w:val="clear"/>
            <w:tcMar>
              <w:top w:type="dxa" w:w="140"/>
              <w:left w:type="dxa" w:w="160"/>
              <w:bottom w:type="dxa" w:w="140"/>
              <w:right w:type="dxa" w:w="160"/>
            </w:tcMar>
            <w:vAlign w:val="center"/>
          </w:tcPr>
          <w:p>
            <w:pPr>
              <w:spacing w:after="40" w:before="0"/>
              <w:jc w:val="center"/>
            </w:pPr>
            <w:r>
              <w:rPr>
                <w:rFonts w:ascii="Arial" w:cs="Arial" w:eastAsia="Arial" w:hAnsi="Arial"/>
                <w:b/>
                <w:bCs/>
                <w:color w:val="27AE60"/>
                <w:sz w:val="52"/>
                <w:szCs w:val="52"/>
              </w:rPr>
              <w:t xml:space="preserve">32.4 mo</w:t>
            </w:r>
          </w:p>
          <w:p>
            <w:pPr>
              <w:spacing w:after="0" w:before="0"/>
              <w:jc w:val="center"/>
            </w:pPr>
            <w:r>
              <w:rPr>
                <w:rFonts w:ascii="Arial" w:cs="Arial" w:eastAsia="Arial" w:hAnsi="Arial"/>
                <w:color w:val="555555"/>
                <w:sz w:val="18"/>
                <w:szCs w:val="18"/>
              </w:rPr>
              <w:t xml:space="preserve">Avg Customer Tenure</w:t>
            </w:r>
          </w:p>
        </w:tc>
        <w:tc>
          <w:tcPr>
            <w:tcW w:type="dxa" w:w="2340"/>
            <w:tcBorders>
              <w:top w:val="none"/>
              <w:left w:val="none"/>
              <w:bottom w:val="none"/>
              <w:right w:val="none"/>
            </w:tcBorders>
            <w:shd w:fill="FDEBD0" w:val="clear"/>
            <w:tcMar>
              <w:top w:type="dxa" w:w="140"/>
              <w:left w:type="dxa" w:w="160"/>
              <w:bottom w:type="dxa" w:w="140"/>
              <w:right w:type="dxa" w:w="160"/>
            </w:tcMar>
            <w:vAlign w:val="center"/>
          </w:tcPr>
          <w:p>
            <w:pPr>
              <w:spacing w:after="40" w:before="0"/>
              <w:jc w:val="center"/>
            </w:pPr>
            <w:r>
              <w:rPr>
                <w:rFonts w:ascii="Arial" w:cs="Arial" w:eastAsia="Arial" w:hAnsi="Arial"/>
                <w:b/>
                <w:bCs/>
                <w:color w:val="E67E22"/>
                <w:sz w:val="52"/>
                <w:szCs w:val="52"/>
              </w:rPr>
              <w:t xml:space="preserve">$64.80</w:t>
            </w:r>
          </w:p>
          <w:p>
            <w:pPr>
              <w:spacing w:after="0" w:before="0"/>
              <w:jc w:val="center"/>
            </w:pPr>
            <w:r>
              <w:rPr>
                <w:rFonts w:ascii="Arial" w:cs="Arial" w:eastAsia="Arial" w:hAnsi="Arial"/>
                <w:color w:val="555555"/>
                <w:sz w:val="18"/>
                <w:szCs w:val="18"/>
              </w:rPr>
              <w:t xml:space="preserve">Avg Monthly Charge</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1. Dataset Overview</w:t>
      </w:r>
    </w:p>
    <w:p>
      <w:pPr>
        <w:spacing w:after="80" w:before="60"/>
        <w:jc w:val="left"/>
      </w:pPr>
      <w:r>
        <w:rPr>
          <w:rFonts w:ascii="Arial" w:cs="Arial" w:eastAsia="Arial" w:hAnsi="Arial"/>
          <w:b w:val="false"/>
          <w:bCs w:val="false"/>
          <w:i w:val="false"/>
          <w:iCs w:val="false"/>
          <w:color w:val="222222"/>
          <w:sz w:val="22"/>
          <w:szCs w:val="22"/>
        </w:rPr>
        <w:t xml:space="preserve">The Telco Customer Churn dataset contains 7,032 customer records (11 rows removed due to missing TotalCharges) across 21 variables spanning demographics, services, billing, and churn status.</w:t>
      </w:r>
    </w:p>
    <w:p>
      <w:pPr>
        <w:spacing w:after="0" w:before="80"/>
      </w:pPr>
      <w:r>
        <w:t xml:space="preserve"/>
      </w:r>
    </w:p>
    <w:p>
      <w:pPr>
        <w:pStyle w:val="Heading2"/>
        <w:spacing w:after="120" w:before="240"/>
      </w:pPr>
      <w:r>
        <w:rPr>
          <w:rFonts w:ascii="Arial" w:cs="Arial" w:eastAsia="Arial" w:hAnsi="Arial"/>
          <w:b/>
          <w:bCs/>
          <w:color w:val="1A3C6B"/>
          <w:sz w:val="28"/>
          <w:szCs w:val="28"/>
        </w:rPr>
        <w:t xml:space="preserve">1.1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57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Total Customers (cleaned)</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7,032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Churned Customers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1,869  (26.6%)</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Retained Customers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5,163  (73.4%)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Avg Tenure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32.42 months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Avg Monthly Charges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$64.80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Avg Total Charges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$2,283</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Senior Citizens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1,142  (16.2%)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Variables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21  (demographics, services, billing, churn)</w:t>
            </w:r>
          </w:p>
        </w:tc>
      </w:tr>
    </w:tbl>
    <w:p>
      <w:pPr>
        <w:spacing w:after="0" w:before="120"/>
      </w:pPr>
      <w:r>
        <w:t xml:space="preserve"/>
      </w:r>
    </w:p>
    <w:p>
      <w:pPr>
        <w:pStyle w:val="Heading2"/>
        <w:spacing w:after="120" w:before="240"/>
      </w:pPr>
      <w:r>
        <w:rPr>
          <w:rFonts w:ascii="Arial" w:cs="Arial" w:eastAsia="Arial" w:hAnsi="Arial"/>
          <w:b/>
          <w:bCs/>
          <w:color w:val="1A3C6B"/>
          <w:sz w:val="28"/>
          <w:szCs w:val="28"/>
        </w:rPr>
        <w:t xml:space="preserve">1.2  Churn Distribution</w:t>
      </w:r>
    </w:p>
    <w:p>
      <w:pPr>
        <w:spacing w:after="80" w:before="60"/>
        <w:jc w:val="left"/>
      </w:pPr>
      <w:r>
        <w:rPr>
          <w:rFonts w:ascii="Arial" w:cs="Arial" w:eastAsia="Arial" w:hAnsi="Arial"/>
          <w:b w:val="false"/>
          <w:bCs w:val="false"/>
          <w:i w:val="false"/>
          <w:iCs w:val="false"/>
          <w:color w:val="222222"/>
          <w:sz w:val="22"/>
          <w:szCs w:val="22"/>
        </w:rPr>
        <w:t xml:space="preserve">The dataset exhibits moderate class imbalance. Roughly 1 in 4 customers has churned — a significant business risk that demands immediate attention.</w:t>
      </w:r>
    </w:p>
    <w:p>
      <w:pPr>
        <w:spacing w:after="0" w:before="60"/>
      </w:pPr>
      <w:r>
        <w:t xml:space="preserve"/>
      </w:r>
    </w:p>
    <w:p>
      <w:pPr>
        <w:spacing w:after="60" w:before="120"/>
      </w:pPr>
      <w:r>
        <w:rPr>
          <w:rFonts w:ascii="Arial" w:cs="Arial" w:eastAsia="Arial" w:hAnsi="Arial"/>
          <w:b/>
          <w:bCs/>
          <w:color w:val="555555"/>
          <w:sz w:val="22"/>
          <w:szCs w:val="22"/>
        </w:rPr>
        <w:t xml:space="preserve">Churn Status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960"/>
      </w:tblGrid>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Retained (No Churn)</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642"/>
              <w:gridCol w:w="958"/>
            </w:tblGrid>
            <w:tr>
              <w:tc>
                <w:tcPr>
                  <w:tcW w:type="dxa" w:w="2642"/>
                  <w:tcBorders>
                    <w:top w:val="none"/>
                    <w:left w:val="none"/>
                    <w:bottom w:val="none"/>
                    <w:right w:val="none"/>
                  </w:tcBorders>
                  <w:shd w:fill="1A3C6B" w:val="clear"/>
                  <w:tcMar>
                    <w:top w:type="dxa" w:w="40"/>
                    <w:left w:type="dxa" w:w="0"/>
                    <w:bottom w:type="dxa" w:w="40"/>
                    <w:right w:type="dxa" w:w="0"/>
                  </w:tcMar>
                </w:tcPr>
                <w:p>
                  <w:r>
                    <w:t xml:space="preserve"/>
                  </w:r>
                </w:p>
              </w:tc>
              <w:tc>
                <w:tcPr>
                  <w:tcW w:type="dxa" w:w="958"/>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1A3C6B"/>
                <w:sz w:val="20"/>
                <w:szCs w:val="20"/>
              </w:rPr>
              <w:t xml:space="preserve">73.4%</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Churned (Yes)</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958"/>
              <w:gridCol w:w="2642"/>
            </w:tblGrid>
            <w:tr>
              <w:tc>
                <w:tcPr>
                  <w:tcW w:type="dxa" w:w="958"/>
                  <w:tcBorders>
                    <w:top w:val="none"/>
                    <w:left w:val="none"/>
                    <w:bottom w:val="none"/>
                    <w:right w:val="none"/>
                  </w:tcBorders>
                  <w:shd w:fill="1A3C6B" w:val="clear"/>
                  <w:tcMar>
                    <w:top w:type="dxa" w:w="40"/>
                    <w:left w:type="dxa" w:w="0"/>
                    <w:bottom w:type="dxa" w:w="40"/>
                    <w:right w:type="dxa" w:w="0"/>
                  </w:tcMar>
                </w:tcPr>
                <w:p>
                  <w:r>
                    <w:t xml:space="preserve"/>
                  </w:r>
                </w:p>
              </w:tc>
              <w:tc>
                <w:tcPr>
                  <w:tcW w:type="dxa" w:w="2642"/>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1A3C6B"/>
                <w:sz w:val="20"/>
                <w:szCs w:val="20"/>
              </w:rPr>
              <w:t xml:space="preserve">26.6%</w:t>
            </w:r>
          </w:p>
        </w:tc>
      </w:tr>
    </w:tbl>
    <w:p>
      <w:pPr>
        <w:spacing w:after="0" w:before="120"/>
      </w:pPr>
      <w:r>
        <w:t xml:space="preserve"/>
      </w:r>
    </w:p>
    <w:p>
      <w:pPr>
        <w:pStyle w:val="Heading1"/>
        <w:pBdr>
          <w:bottom w:val="single" w:color="1A3C6B" w:sz="6" w:space="6"/>
        </w:pBdr>
        <w:spacing w:after="160" w:before="320"/>
      </w:pPr>
      <w:r>
        <w:rPr>
          <w:rFonts w:ascii="Arial" w:cs="Arial" w:eastAsia="Arial" w:hAnsi="Arial"/>
          <w:b/>
          <w:bCs/>
          <w:color w:val="1A3C6B"/>
          <w:sz w:val="36"/>
          <w:szCs w:val="36"/>
        </w:rPr>
        <w:t xml:space="preserve">2. Customer Tenure &amp; Lifetime Analysis</w:t>
      </w:r>
    </w:p>
    <w:p>
      <w:pPr>
        <w:spacing w:after="80" w:before="60"/>
        <w:jc w:val="left"/>
      </w:pPr>
      <w:r>
        <w:rPr>
          <w:rFonts w:ascii="Arial" w:cs="Arial" w:eastAsia="Arial" w:hAnsi="Arial"/>
          <w:b w:val="false"/>
          <w:bCs w:val="false"/>
          <w:i w:val="false"/>
          <w:iCs w:val="false"/>
          <w:color w:val="222222"/>
          <w:sz w:val="22"/>
          <w:szCs w:val="22"/>
        </w:rPr>
        <w:t xml:space="preserve">Tenure is the single most predictive variable for churn (correlation = −0.35). Customers who stay longer are dramatically less likely to leave, revealing a critical onboarding problem in the first three months.</w:t>
      </w:r>
    </w:p>
    <w:p>
      <w:pPr>
        <w:spacing w:after="0" w:before="80"/>
      </w:pPr>
      <w:r>
        <w:t xml:space="preserve"/>
      </w:r>
    </w:p>
    <w:p>
      <w:pPr>
        <w:pStyle w:val="Heading2"/>
        <w:spacing w:after="120" w:before="240"/>
      </w:pPr>
      <w:r>
        <w:rPr>
          <w:rFonts w:ascii="Arial" w:cs="Arial" w:eastAsia="Arial" w:hAnsi="Arial"/>
          <w:b/>
          <w:bCs/>
          <w:color w:val="1A3C6B"/>
          <w:sz w:val="28"/>
          <w:szCs w:val="28"/>
        </w:rPr>
        <w:t xml:space="preserve">2.1  Tenure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6E4F0" w:val="clear"/>
            <w:tcMar>
              <w:top w:type="dxa" w:w="140"/>
              <w:left w:type="dxa" w:w="160"/>
              <w:bottom w:type="dxa" w:w="140"/>
              <w:right w:type="dxa" w:w="160"/>
            </w:tcMar>
            <w:vAlign w:val="center"/>
          </w:tcPr>
          <w:p>
            <w:pPr>
              <w:spacing w:after="40" w:before="0"/>
              <w:jc w:val="center"/>
            </w:pPr>
            <w:r>
              <w:rPr>
                <w:rFonts w:ascii="Arial" w:cs="Arial" w:eastAsia="Arial" w:hAnsi="Arial"/>
                <w:b/>
                <w:bCs/>
                <w:color w:val="1A3C6B"/>
                <w:sz w:val="52"/>
                <w:szCs w:val="52"/>
              </w:rPr>
              <w:t xml:space="preserve">32.4 mo</w:t>
            </w:r>
          </w:p>
          <w:p>
            <w:pPr>
              <w:spacing w:after="0" w:before="0"/>
              <w:jc w:val="center"/>
            </w:pPr>
            <w:r>
              <w:rPr>
                <w:rFonts w:ascii="Arial" w:cs="Arial" w:eastAsia="Arial" w:hAnsi="Arial"/>
                <w:color w:val="555555"/>
                <w:sz w:val="18"/>
                <w:szCs w:val="18"/>
              </w:rPr>
              <w:t xml:space="preserve">Mean Tenure</w:t>
            </w:r>
          </w:p>
        </w:tc>
        <w:tc>
          <w:tcPr>
            <w:tcW w:type="dxa" w:w="2340"/>
            <w:tcBorders>
              <w:top w:val="none"/>
              <w:left w:val="none"/>
              <w:bottom w:val="none"/>
              <w:right w:val="none"/>
            </w:tcBorders>
            <w:shd w:fill="D6E4F0" w:val="clear"/>
            <w:tcMar>
              <w:top w:type="dxa" w:w="140"/>
              <w:left w:type="dxa" w:w="160"/>
              <w:bottom w:type="dxa" w:w="140"/>
              <w:right w:type="dxa" w:w="160"/>
            </w:tcMar>
            <w:vAlign w:val="center"/>
          </w:tcPr>
          <w:p>
            <w:pPr>
              <w:spacing w:after="40" w:before="0"/>
              <w:jc w:val="center"/>
            </w:pPr>
            <w:r>
              <w:rPr>
                <w:rFonts w:ascii="Arial" w:cs="Arial" w:eastAsia="Arial" w:hAnsi="Arial"/>
                <w:b/>
                <w:bCs/>
                <w:color w:val="1A3C6B"/>
                <w:sz w:val="52"/>
                <w:szCs w:val="52"/>
              </w:rPr>
              <w:t xml:space="preserve">29 mo</w:t>
            </w:r>
          </w:p>
          <w:p>
            <w:pPr>
              <w:spacing w:after="0" w:before="0"/>
              <w:jc w:val="center"/>
            </w:pPr>
            <w:r>
              <w:rPr>
                <w:rFonts w:ascii="Arial" w:cs="Arial" w:eastAsia="Arial" w:hAnsi="Arial"/>
                <w:color w:val="555555"/>
                <w:sz w:val="18"/>
                <w:szCs w:val="18"/>
              </w:rPr>
              <w:t xml:space="preserve">Median Tenure</w:t>
            </w:r>
          </w:p>
        </w:tc>
        <w:tc>
          <w:tcPr>
            <w:tcW w:type="dxa" w:w="2340"/>
            <w:tcBorders>
              <w:top w:val="none"/>
              <w:left w:val="none"/>
              <w:bottom w:val="none"/>
              <w:right w:val="none"/>
            </w:tcBorders>
            <w:shd w:fill="FADBD8" w:val="clear"/>
            <w:tcMar>
              <w:top w:type="dxa" w:w="140"/>
              <w:left w:type="dxa" w:w="160"/>
              <w:bottom w:type="dxa" w:w="140"/>
              <w:right w:type="dxa" w:w="160"/>
            </w:tcMar>
            <w:vAlign w:val="center"/>
          </w:tcPr>
          <w:p>
            <w:pPr>
              <w:spacing w:after="40" w:before="0"/>
              <w:jc w:val="center"/>
            </w:pPr>
            <w:r>
              <w:rPr>
                <w:rFonts w:ascii="Arial" w:cs="Arial" w:eastAsia="Arial" w:hAnsi="Arial"/>
                <w:b/>
                <w:bCs/>
                <w:color w:val="C0392B"/>
                <w:sz w:val="52"/>
                <w:szCs w:val="52"/>
              </w:rPr>
              <w:t xml:space="preserve">1 mo</w:t>
            </w:r>
          </w:p>
          <w:p>
            <w:pPr>
              <w:spacing w:after="0" w:before="0"/>
              <w:jc w:val="center"/>
            </w:pPr>
            <w:r>
              <w:rPr>
                <w:rFonts w:ascii="Arial" w:cs="Arial" w:eastAsia="Arial" w:hAnsi="Arial"/>
                <w:color w:val="555555"/>
                <w:sz w:val="18"/>
                <w:szCs w:val="18"/>
              </w:rPr>
              <w:t xml:space="preserve">Min Tenure</w:t>
            </w:r>
          </w:p>
        </w:tc>
        <w:tc>
          <w:tcPr>
            <w:tcW w:type="dxa" w:w="2340"/>
            <w:tcBorders>
              <w:top w:val="none"/>
              <w:left w:val="none"/>
              <w:bottom w:val="none"/>
              <w:right w:val="none"/>
            </w:tcBorders>
            <w:shd w:fill="D5F5E3" w:val="clear"/>
            <w:tcMar>
              <w:top w:type="dxa" w:w="140"/>
              <w:left w:type="dxa" w:w="160"/>
              <w:bottom w:type="dxa" w:w="140"/>
              <w:right w:type="dxa" w:w="160"/>
            </w:tcMar>
            <w:vAlign w:val="center"/>
          </w:tcPr>
          <w:p>
            <w:pPr>
              <w:spacing w:after="40" w:before="0"/>
              <w:jc w:val="center"/>
            </w:pPr>
            <w:r>
              <w:rPr>
                <w:rFonts w:ascii="Arial" w:cs="Arial" w:eastAsia="Arial" w:hAnsi="Arial"/>
                <w:b/>
                <w:bCs/>
                <w:color w:val="27AE60"/>
                <w:sz w:val="52"/>
                <w:szCs w:val="52"/>
              </w:rPr>
              <w:t xml:space="preserve">72 mo</w:t>
            </w:r>
          </w:p>
          <w:p>
            <w:pPr>
              <w:spacing w:after="0" w:before="0"/>
              <w:jc w:val="center"/>
            </w:pPr>
            <w:r>
              <w:rPr>
                <w:rFonts w:ascii="Arial" w:cs="Arial" w:eastAsia="Arial" w:hAnsi="Arial"/>
                <w:color w:val="555555"/>
                <w:sz w:val="18"/>
                <w:szCs w:val="18"/>
              </w:rPr>
              <w:t xml:space="preserve">Max Tenure</w:t>
            </w:r>
          </w:p>
        </w:tc>
      </w:tr>
    </w:tbl>
    <w:p>
      <w:pPr>
        <w:spacing w:after="0" w:before="80"/>
      </w:pPr>
      <w:r>
        <w:t xml:space="preserve"/>
      </w:r>
    </w:p>
    <w:p>
      <w:pPr>
        <w:pStyle w:val="Heading2"/>
        <w:spacing w:after="120" w:before="240"/>
      </w:pPr>
      <w:r>
        <w:rPr>
          <w:rFonts w:ascii="Arial" w:cs="Arial" w:eastAsia="Arial" w:hAnsi="Arial"/>
          <w:b/>
          <w:bCs/>
          <w:color w:val="1A3C6B"/>
          <w:sz w:val="28"/>
          <w:szCs w:val="28"/>
        </w:rPr>
        <w:t xml:space="preserve">2.2  Early vs. Long-Term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Group</w:t>
            </w:r>
          </w:p>
        </w:tc>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8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Early-Stage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6 months</w:t>
            </w:r>
          </w:p>
        </w:tc>
        <w:tc>
          <w:tcPr>
            <w:tcW w:type="dxa" w:w="2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53.33%</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Long-Term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&gt; 24 months</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14.04%</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2.3  Churn Rate by Customer Lifetime Segment</w:t>
      </w:r>
    </w:p>
    <w:p>
      <w:pPr>
        <w:spacing w:after="0" w:before="40"/>
      </w:pPr>
      <w:r>
        <w:t xml:space="preserve"/>
      </w:r>
    </w:p>
    <w:p>
      <w:pPr>
        <w:spacing w:after="60" w:before="120"/>
      </w:pPr>
      <w:r>
        <w:rPr>
          <w:rFonts w:ascii="Arial" w:cs="Arial" w:eastAsia="Arial" w:hAnsi="Arial"/>
          <w:b/>
          <w:bCs/>
          <w:color w:val="555555"/>
          <w:sz w:val="22"/>
          <w:szCs w:val="22"/>
        </w:rPr>
        <w:t xml:space="preserve">Churn Rate % by Tenure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960"/>
      </w:tblGrid>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Very Short  (&lt; 3 months)</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273"/>
              <w:gridCol w:w="327"/>
            </w:tblGrid>
            <w:tr>
              <w:tc>
                <w:tcPr>
                  <w:tcW w:type="dxa" w:w="3273"/>
                  <w:tcBorders>
                    <w:top w:val="none"/>
                    <w:left w:val="none"/>
                    <w:bottom w:val="none"/>
                    <w:right w:val="none"/>
                  </w:tcBorders>
                  <w:shd w:fill="C0392B" w:val="clear"/>
                  <w:tcMar>
                    <w:top w:type="dxa" w:w="40"/>
                    <w:left w:type="dxa" w:w="0"/>
                    <w:bottom w:type="dxa" w:w="40"/>
                    <w:right w:type="dxa" w:w="0"/>
                  </w:tcMar>
                </w:tcPr>
                <w:p>
                  <w:r>
                    <w:t xml:space="preserve"/>
                  </w:r>
                </w:p>
              </w:tc>
              <w:tc>
                <w:tcPr>
                  <w:tcW w:type="dxa" w:w="327"/>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59.1%</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Short  (3–12 months)</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276"/>
              <w:gridCol w:w="1324"/>
            </w:tblGrid>
            <w:tr>
              <w:tc>
                <w:tcPr>
                  <w:tcW w:type="dxa" w:w="2276"/>
                  <w:tcBorders>
                    <w:top w:val="none"/>
                    <w:left w:val="none"/>
                    <w:bottom w:val="none"/>
                    <w:right w:val="none"/>
                  </w:tcBorders>
                  <w:shd w:fill="C0392B" w:val="clear"/>
                  <w:tcMar>
                    <w:top w:type="dxa" w:w="40"/>
                    <w:left w:type="dxa" w:w="0"/>
                    <w:bottom w:type="dxa" w:w="40"/>
                    <w:right w:type="dxa" w:w="0"/>
                  </w:tcMar>
                </w:tcPr>
                <w:p>
                  <w:r>
                    <w:t xml:space="preserve"/>
                  </w:r>
                </w:p>
              </w:tc>
              <w:tc>
                <w:tcPr>
                  <w:tcW w:type="dxa" w:w="1324"/>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41.1%</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Medium  (12–24 months)</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634"/>
              <w:gridCol w:w="1966"/>
            </w:tblGrid>
            <w:tr>
              <w:tc>
                <w:tcPr>
                  <w:tcW w:type="dxa" w:w="1634"/>
                  <w:tcBorders>
                    <w:top w:val="none"/>
                    <w:left w:val="none"/>
                    <w:bottom w:val="none"/>
                    <w:right w:val="none"/>
                  </w:tcBorders>
                  <w:shd w:fill="C0392B" w:val="clear"/>
                  <w:tcMar>
                    <w:top w:type="dxa" w:w="40"/>
                    <w:left w:type="dxa" w:w="0"/>
                    <w:bottom w:type="dxa" w:w="40"/>
                    <w:right w:type="dxa" w:w="0"/>
                  </w:tcMar>
                </w:tcPr>
                <w:p>
                  <w:r>
                    <w:t xml:space="preserve"/>
                  </w:r>
                </w:p>
              </w:tc>
              <w:tc>
                <w:tcPr>
                  <w:tcW w:type="dxa" w:w="1966"/>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29.5%</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Long  (24+ months)</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792"/>
              <w:gridCol w:w="2808"/>
            </w:tblGrid>
            <w:tr>
              <w:tc>
                <w:tcPr>
                  <w:tcW w:type="dxa" w:w="792"/>
                  <w:tcBorders>
                    <w:top w:val="none"/>
                    <w:left w:val="none"/>
                    <w:bottom w:val="none"/>
                    <w:right w:val="none"/>
                  </w:tcBorders>
                  <w:shd w:fill="C0392B" w:val="clear"/>
                  <w:tcMar>
                    <w:top w:type="dxa" w:w="40"/>
                    <w:left w:type="dxa" w:w="0"/>
                    <w:bottom w:type="dxa" w:w="40"/>
                    <w:right w:type="dxa" w:w="0"/>
                  </w:tcMar>
                </w:tcPr>
                <w:p>
                  <w:r>
                    <w:t xml:space="preserve"/>
                  </w:r>
                </w:p>
              </w:tc>
              <w:tc>
                <w:tcPr>
                  <w:tcW w:type="dxa" w:w="2808"/>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14.3%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5F5E3" w:val="clear"/>
            <w:tcMar>
              <w:top w:type="dxa" w:w="100"/>
              <w:left w:type="dxa" w:w="200"/>
              <w:bottom w:type="dxa" w:w="100"/>
              <w:right w:type="dxa" w:w="200"/>
            </w:tcMar>
          </w:tcPr>
          <w:p>
            <w:r>
              <w:rPr>
                <w:rFonts w:ascii="Arial" w:cs="Arial" w:eastAsia="Arial" w:hAnsi="Arial"/>
                <w:b/>
                <w:bCs/>
                <w:color w:val="27AE60"/>
                <w:sz w:val="22"/>
                <w:szCs w:val="22"/>
              </w:rPr>
              <w:t xml:space="preserve">Key Insight: </w:t>
            </w:r>
            <w:r>
              <w:rPr>
                <w:rFonts w:ascii="Arial" w:cs="Arial" w:eastAsia="Arial" w:hAnsi="Arial"/>
                <w:sz w:val="22"/>
                <w:szCs w:val="22"/>
              </w:rPr>
              <w:t xml:space="preserve">Churn rate drops by 74% between the "Very Short" and "Long" segments. Every month a customer stays increases their likelihood of permanent retention. The first 90 days are the highest-leverage intervention window in the entire customer lifecycle.</w:t>
            </w:r>
          </w:p>
        </w:tc>
      </w:tr>
    </w:tbl>
    <w:p>
      <w:pPr>
        <w:spacing w:after="0" w:before="120"/>
      </w:pPr>
      <w:r>
        <w:t xml:space="preserve"/>
      </w:r>
    </w:p>
    <w:p>
      <w:pPr>
        <w:pStyle w:val="Heading1"/>
        <w:pBdr>
          <w:bottom w:val="single" w:color="1A3C6B" w:sz="6" w:space="6"/>
        </w:pBdr>
        <w:spacing w:after="160" w:before="320"/>
      </w:pPr>
      <w:r>
        <w:rPr>
          <w:rFonts w:ascii="Arial" w:cs="Arial" w:eastAsia="Arial" w:hAnsi="Arial"/>
          <w:b/>
          <w:bCs/>
          <w:color w:val="1A3C6B"/>
          <w:sz w:val="36"/>
          <w:szCs w:val="36"/>
        </w:rPr>
        <w:t xml:space="preserve">3. Cohort Analysis &amp; Retention Curves</w:t>
      </w:r>
    </w:p>
    <w:p>
      <w:pPr>
        <w:spacing w:after="80" w:before="60"/>
        <w:jc w:val="left"/>
      </w:pPr>
      <w:r>
        <w:rPr>
          <w:rFonts w:ascii="Arial" w:cs="Arial" w:eastAsia="Arial" w:hAnsi="Arial"/>
          <w:b w:val="false"/>
          <w:bCs w:val="false"/>
          <w:i w:val="false"/>
          <w:iCs w:val="false"/>
          <w:color w:val="222222"/>
          <w:sz w:val="22"/>
          <w:szCs w:val="22"/>
        </w:rPr>
        <w:t xml:space="preserve">Customers were grouped into four signup cohorts. Earlier cohorts show significantly higher retention, confirming that newer customers are more at risk — either due to product changes, competitive pressure, or a weaker onboarding experience in recent periods.</w:t>
      </w:r>
    </w:p>
    <w:p>
      <w:pPr>
        <w:spacing w:after="0" w:before="80"/>
      </w:pPr>
      <w:r>
        <w:t xml:space="preserve"/>
      </w:r>
    </w:p>
    <w:p>
      <w:pPr>
        <w:pStyle w:val="Heading2"/>
        <w:spacing w:after="120" w:before="240"/>
      </w:pPr>
      <w:r>
        <w:rPr>
          <w:rFonts w:ascii="Arial" w:cs="Arial" w:eastAsia="Arial" w:hAnsi="Arial"/>
          <w:b/>
          <w:bCs/>
          <w:color w:val="1A3C6B"/>
          <w:sz w:val="28"/>
          <w:szCs w:val="28"/>
        </w:rPr>
        <w:t xml:space="preserve">3.1  Cohort Churn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Signup Cohort</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Churned</w:t>
            </w:r>
          </w:p>
        </w:tc>
        <w:tc>
          <w:tcPr>
            <w:tcW w:type="dxa" w:w="29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2020-01  (Oldest)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3,001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358</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21.6%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2021-01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294</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2021-06  (Newest)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2,175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1,037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47.7%</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3.2  Average Retention Rate by Cohort</w:t>
      </w:r>
    </w:p>
    <w:p>
      <w:pPr>
        <w:spacing w:after="0" w:before="40"/>
      </w:pPr>
      <w:r>
        <w:t xml:space="preserve"/>
      </w:r>
    </w:p>
    <w:p>
      <w:pPr>
        <w:spacing w:after="60" w:before="120"/>
      </w:pPr>
      <w:r>
        <w:rPr>
          <w:rFonts w:ascii="Arial" w:cs="Arial" w:eastAsia="Arial" w:hAnsi="Arial"/>
          <w:b/>
          <w:bCs/>
          <w:color w:val="555555"/>
          <w:sz w:val="22"/>
          <w:szCs w:val="22"/>
        </w:rPr>
        <w:t xml:space="preserve">Average Retention Rate % by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960"/>
      </w:tblGrid>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2020-01  (Oldest)</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100"/>
              <w:gridCol w:w="500"/>
            </w:tblGrid>
            <w:tr>
              <w:tc>
                <w:tcPr>
                  <w:tcW w:type="dxa" w:w="3100"/>
                  <w:tcBorders>
                    <w:top w:val="none"/>
                    <w:left w:val="none"/>
                    <w:bottom w:val="none"/>
                    <w:right w:val="none"/>
                  </w:tcBorders>
                  <w:shd w:fill="27AE60" w:val="clear"/>
                  <w:tcMar>
                    <w:top w:type="dxa" w:w="40"/>
                    <w:left w:type="dxa" w:w="0"/>
                    <w:bottom w:type="dxa" w:w="40"/>
                    <w:right w:type="dxa" w:w="0"/>
                  </w:tcMar>
                </w:tcPr>
                <w:p>
                  <w:r>
                    <w:t xml:space="preserve"/>
                  </w:r>
                </w:p>
              </w:tc>
              <w:tc>
                <w:tcPr>
                  <w:tcW w:type="dxa" w:w="500"/>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27AE60"/>
                <w:sz w:val="20"/>
                <w:szCs w:val="20"/>
              </w:rPr>
              <w:t xml:space="preserve">86.1%</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2020-06</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819"/>
              <w:gridCol w:w="781"/>
            </w:tblGrid>
            <w:tr>
              <w:tc>
                <w:tcPr>
                  <w:tcW w:type="dxa" w:w="2819"/>
                  <w:tcBorders>
                    <w:top w:val="none"/>
                    <w:left w:val="none"/>
                    <w:bottom w:val="none"/>
                    <w:right w:val="none"/>
                  </w:tcBorders>
                  <w:shd w:fill="27AE60" w:val="clear"/>
                  <w:tcMar>
                    <w:top w:type="dxa" w:w="40"/>
                    <w:left w:type="dxa" w:w="0"/>
                    <w:bottom w:type="dxa" w:w="40"/>
                    <w:right w:type="dxa" w:w="0"/>
                  </w:tcMar>
                </w:tcPr>
                <w:p>
                  <w:r>
                    <w:t xml:space="preserve"/>
                  </w:r>
                </w:p>
              </w:tc>
              <w:tc>
                <w:tcPr>
                  <w:tcW w:type="dxa" w:w="781"/>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27AE60"/>
                <w:sz w:val="20"/>
                <w:szCs w:val="20"/>
              </w:rPr>
              <w:t xml:space="preserve">78.3%</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2021-01</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574"/>
              <w:gridCol w:w="1026"/>
            </w:tblGrid>
            <w:tr>
              <w:tc>
                <w:tcPr>
                  <w:tcW w:type="dxa" w:w="2574"/>
                  <w:tcBorders>
                    <w:top w:val="none"/>
                    <w:left w:val="none"/>
                    <w:bottom w:val="none"/>
                    <w:right w:val="none"/>
                  </w:tcBorders>
                  <w:shd w:fill="27AE60" w:val="clear"/>
                  <w:tcMar>
                    <w:top w:type="dxa" w:w="40"/>
                    <w:left w:type="dxa" w:w="0"/>
                    <w:bottom w:type="dxa" w:w="40"/>
                    <w:right w:type="dxa" w:w="0"/>
                  </w:tcMar>
                </w:tcPr>
                <w:p>
                  <w:r>
                    <w:t xml:space="preserve"/>
                  </w:r>
                </w:p>
              </w:tc>
              <w:tc>
                <w:tcPr>
                  <w:tcW w:type="dxa" w:w="1026"/>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27AE60"/>
                <w:sz w:val="20"/>
                <w:szCs w:val="20"/>
              </w:rPr>
              <w:t xml:space="preserve">71.5%</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2021-06  (Newest)</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081"/>
              <w:gridCol w:w="1519"/>
            </w:tblGrid>
            <w:tr>
              <w:tc>
                <w:tcPr>
                  <w:tcW w:type="dxa" w:w="2081"/>
                  <w:tcBorders>
                    <w:top w:val="none"/>
                    <w:left w:val="none"/>
                    <w:bottom w:val="none"/>
                    <w:right w:val="none"/>
                  </w:tcBorders>
                  <w:shd w:fill="27AE60" w:val="clear"/>
                  <w:tcMar>
                    <w:top w:type="dxa" w:w="40"/>
                    <w:left w:type="dxa" w:w="0"/>
                    <w:bottom w:type="dxa" w:w="40"/>
                    <w:right w:type="dxa" w:w="0"/>
                  </w:tcMar>
                </w:tcPr>
                <w:p>
                  <w:r>
                    <w:t xml:space="preserve"/>
                  </w:r>
                </w:p>
              </w:tc>
              <w:tc>
                <w:tcPr>
                  <w:tcW w:type="dxa" w:w="1519"/>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27AE60"/>
                <w:sz w:val="20"/>
                <w:szCs w:val="20"/>
              </w:rPr>
              <w:t xml:space="preserve">57.8%</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3.3  Cohort Retention Rates by Tenure Bin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Cohort</w:t>
            </w:r>
          </w:p>
        </w:tc>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Tenure Bin</w:t>
            </w:r>
          </w:p>
        </w:tc>
        <w:tc>
          <w:tcPr>
            <w:tcW w:type="dxa" w:w="33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Retention Rate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2020-01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49–72 months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90.5%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37–48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2020-06</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25–36 months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78.4%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2021-01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13–24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71.3%</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2021-06</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7–12 months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64.1%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2021-06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0–6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46.7%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BD0" w:val="clear"/>
            <w:tcMar>
              <w:top w:type="dxa" w:w="100"/>
              <w:left w:type="dxa" w:w="200"/>
              <w:bottom w:type="dxa" w:w="100"/>
              <w:right w:type="dxa" w:w="200"/>
            </w:tcMar>
          </w:tcPr>
          <w:p>
            <w:r>
              <w:rPr>
                <w:rFonts w:ascii="Arial" w:cs="Arial" w:eastAsia="Arial" w:hAnsi="Arial"/>
                <w:b/>
                <w:bCs/>
                <w:color w:val="E67E22"/>
                <w:sz w:val="22"/>
                <w:szCs w:val="22"/>
              </w:rPr>
              <w:t xml:space="preserve">Trend Alert: </w:t>
            </w:r>
            <w:r>
              <w:rPr>
                <w:rFonts w:ascii="Arial" w:cs="Arial" w:eastAsia="Arial" w:hAnsi="Arial"/>
                <w:sz w:val="22"/>
                <w:szCs w:val="22"/>
              </w:rPr>
              <w:t xml:space="preserve">The 2021-06 cohort shows a 46.7% retention rate in the first 6 months — less than half of customers are being retained. This cohort requires urgent diagnosis and targeted intervention.</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4. Churn Drivers &amp; Root Cause Analysis</w:t>
      </w:r>
    </w:p>
    <w:p>
      <w:pPr>
        <w:spacing w:after="80" w:before="60"/>
        <w:jc w:val="left"/>
      </w:pPr>
      <w:r>
        <w:rPr>
          <w:rFonts w:ascii="Arial" w:cs="Arial" w:eastAsia="Arial" w:hAnsi="Arial"/>
          <w:b w:val="false"/>
          <w:bCs w:val="false"/>
          <w:i w:val="false"/>
          <w:iCs w:val="false"/>
          <w:color w:val="222222"/>
          <w:sz w:val="22"/>
          <w:szCs w:val="22"/>
        </w:rPr>
        <w:t xml:space="preserve">Multiple factors drive churn. The analysis covers correlation analysis, contract type, demographic characteristics, monthly charges, and service attributes.</w:t>
      </w:r>
    </w:p>
    <w:p>
      <w:pPr>
        <w:spacing w:after="0" w:before="80"/>
      </w:pPr>
      <w:r>
        <w:t xml:space="preserve"/>
      </w:r>
    </w:p>
    <w:p>
      <w:pPr>
        <w:pStyle w:val="Heading2"/>
        <w:spacing w:after="120" w:before="240"/>
      </w:pPr>
      <w:r>
        <w:rPr>
          <w:rFonts w:ascii="Arial" w:cs="Arial" w:eastAsia="Arial" w:hAnsi="Arial"/>
          <w:b/>
          <w:bCs/>
          <w:color w:val="1A3C6B"/>
          <w:sz w:val="28"/>
          <w:szCs w:val="28"/>
        </w:rPr>
        <w:t xml:space="preserve">4.1  Correlation with Churn (Numeric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7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Correlation (r)</w:t>
            </w:r>
          </w:p>
        </w:tc>
        <w:tc>
          <w:tcPr>
            <w:tcW w:type="dxa" w:w="17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4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Tenure</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−0.354</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Negative</w:t>
            </w:r>
          </w:p>
        </w:tc>
        <w:tc>
          <w:tcPr>
            <w:tcW w:type="dxa" w:w="3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Longer tenure = much less churn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Charges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Negative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Higher total spend = lower churn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Monthly Charges</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+0.193</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Positive</w:t>
            </w:r>
          </w:p>
        </w:tc>
        <w:tc>
          <w:tcPr>
            <w:tcW w:type="dxa" w:w="3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Higher monthly bill = more churn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Senior Citizen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Positive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Senior status = higher churn risk</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4.2  Contract Type — The #1 Controllable Driver</w:t>
      </w:r>
    </w:p>
    <w:p>
      <w:pPr>
        <w:spacing w:after="80" w:before="60"/>
        <w:jc w:val="left"/>
      </w:pPr>
      <w:r>
        <w:rPr>
          <w:rFonts w:ascii="Arial" w:cs="Arial" w:eastAsia="Arial" w:hAnsi="Arial"/>
          <w:b w:val="false"/>
          <w:bCs w:val="false"/>
          <w:i w:val="false"/>
          <w:iCs w:val="false"/>
          <w:color w:val="222222"/>
          <w:sz w:val="22"/>
          <w:szCs w:val="22"/>
        </w:rPr>
        <w:t xml:space="preserve">Contract type is the most powerful retention lever. Month-to-month customers churn at 15× the rate of two-year contract holders.</w:t>
      </w:r>
    </w:p>
    <w:p>
      <w:pPr>
        <w:spacing w:after="0" w:before="60"/>
      </w:pPr>
      <w:r>
        <w:t xml:space="preserve"/>
      </w:r>
    </w:p>
    <w:p>
      <w:pPr>
        <w:spacing w:after="60" w:before="120"/>
      </w:pPr>
      <w:r>
        <w:rPr>
          <w:rFonts w:ascii="Arial" w:cs="Arial" w:eastAsia="Arial" w:hAnsi="Arial"/>
          <w:b/>
          <w:bCs/>
          <w:color w:val="555555"/>
          <w:sz w:val="22"/>
          <w:szCs w:val="22"/>
        </w:rPr>
        <w:t xml:space="preserve">Churn Rate % by Contract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960"/>
      </w:tblGrid>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Month-to-Month</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074"/>
              <w:gridCol w:w="526"/>
            </w:tblGrid>
            <w:tr>
              <w:tc>
                <w:tcPr>
                  <w:tcW w:type="dxa" w:w="3074"/>
                  <w:tcBorders>
                    <w:top w:val="none"/>
                    <w:left w:val="none"/>
                    <w:bottom w:val="none"/>
                    <w:right w:val="none"/>
                  </w:tcBorders>
                  <w:shd w:fill="C0392B" w:val="clear"/>
                  <w:tcMar>
                    <w:top w:type="dxa" w:w="40"/>
                    <w:left w:type="dxa" w:w="0"/>
                    <w:bottom w:type="dxa" w:w="40"/>
                    <w:right w:type="dxa" w:w="0"/>
                  </w:tcMar>
                </w:tcPr>
                <w:p>
                  <w:r>
                    <w:t xml:space="preserve"/>
                  </w:r>
                </w:p>
              </w:tc>
              <w:tc>
                <w:tcPr>
                  <w:tcW w:type="dxa" w:w="526"/>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42.7%</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One Year</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814"/>
              <w:gridCol w:w="2786"/>
            </w:tblGrid>
            <w:tr>
              <w:tc>
                <w:tcPr>
                  <w:tcW w:type="dxa" w:w="814"/>
                  <w:tcBorders>
                    <w:top w:val="none"/>
                    <w:left w:val="none"/>
                    <w:bottom w:val="none"/>
                    <w:right w:val="none"/>
                  </w:tcBorders>
                  <w:shd w:fill="C0392B" w:val="clear"/>
                  <w:tcMar>
                    <w:top w:type="dxa" w:w="40"/>
                    <w:left w:type="dxa" w:w="0"/>
                    <w:bottom w:type="dxa" w:w="40"/>
                    <w:right w:type="dxa" w:w="0"/>
                  </w:tcMar>
                </w:tcPr>
                <w:p>
                  <w:r>
                    <w:t xml:space="preserve"/>
                  </w:r>
                </w:p>
              </w:tc>
              <w:tc>
                <w:tcPr>
                  <w:tcW w:type="dxa" w:w="2786"/>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11.3%</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Two Year</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205"/>
              <w:gridCol w:w="3395"/>
            </w:tblGrid>
            <w:tr>
              <w:tc>
                <w:tcPr>
                  <w:tcW w:type="dxa" w:w="205"/>
                  <w:tcBorders>
                    <w:top w:val="none"/>
                    <w:left w:val="none"/>
                    <w:bottom w:val="none"/>
                    <w:right w:val="none"/>
                  </w:tcBorders>
                  <w:shd w:fill="C0392B" w:val="clear"/>
                  <w:tcMar>
                    <w:top w:type="dxa" w:w="40"/>
                    <w:left w:type="dxa" w:w="0"/>
                    <w:bottom w:type="dxa" w:w="40"/>
                    <w:right w:type="dxa" w:w="0"/>
                  </w:tcMar>
                </w:tcPr>
                <w:p>
                  <w:r>
                    <w:t xml:space="preserve"/>
                  </w:r>
                </w:p>
              </w:tc>
              <w:tc>
                <w:tcPr>
                  <w:tcW w:type="dxa" w:w="3395"/>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C0392B"/>
                <w:sz w:val="20"/>
                <w:szCs w:val="20"/>
              </w:rPr>
              <w:t xml:space="preserve">2.85%</w:t>
            </w:r>
          </w:p>
        </w:tc>
      </w:tr>
    </w:tbl>
    <w:p>
      <w:pPr>
        <w:spacing w:after="0" w:before="80"/>
      </w:pPr>
      <w:r>
        <w:t xml:space="preserve"/>
      </w:r>
    </w:p>
    <w:p>
      <w:pPr>
        <w:pStyle w:val="Heading2"/>
        <w:spacing w:after="120" w:before="240"/>
      </w:pPr>
      <w:r>
        <w:rPr>
          <w:rFonts w:ascii="Arial" w:cs="Arial" w:eastAsia="Arial" w:hAnsi="Arial"/>
          <w:b/>
          <w:bCs/>
          <w:color w:val="1A3C6B"/>
          <w:sz w:val="28"/>
          <w:szCs w:val="28"/>
        </w:rPr>
        <w:t xml:space="preserve">4.3  Demographic Factors</w:t>
      </w:r>
    </w:p>
    <w:p>
      <w:pPr>
        <w:spacing w:after="80" w:before="60"/>
        <w:jc w:val="left"/>
      </w:pPr>
      <w:r>
        <w:rPr>
          <w:rFonts w:ascii="Arial" w:cs="Arial" w:eastAsia="Arial" w:hAnsi="Arial"/>
          <w:b w:val="false"/>
          <w:bCs w:val="false"/>
          <w:i w:val="false"/>
          <w:iCs w:val="false"/>
          <w:color w:val="222222"/>
          <w:sz w:val="22"/>
          <w:szCs w:val="22"/>
        </w:rPr>
        <w:t xml:space="preserve">Senior citizens (16.2% of the customer base) churn at nearly double the rate of non-seniors, suggesting unmet support needs or pricing sensitivity.</w:t>
      </w:r>
    </w:p>
    <w:p>
      <w:pPr>
        <w:spacing w:after="0" w:before="60"/>
      </w:pPr>
      <w:r>
        <w:t xml:space="preserve"/>
      </w:r>
    </w:p>
    <w:p>
      <w:pPr>
        <w:spacing w:after="60" w:before="120"/>
      </w:pPr>
      <w:r>
        <w:rPr>
          <w:rFonts w:ascii="Arial" w:cs="Arial" w:eastAsia="Arial" w:hAnsi="Arial"/>
          <w:b/>
          <w:bCs/>
          <w:color w:val="555555"/>
          <w:sz w:val="22"/>
          <w:szCs w:val="22"/>
        </w:rPr>
        <w:t xml:space="preserve">Churn Rate % by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960"/>
      </w:tblGrid>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Senior Citizen</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002"/>
              <w:gridCol w:w="598"/>
            </w:tblGrid>
            <w:tr>
              <w:tc>
                <w:tcPr>
                  <w:tcW w:type="dxa" w:w="3002"/>
                  <w:tcBorders>
                    <w:top w:val="none"/>
                    <w:left w:val="none"/>
                    <w:bottom w:val="none"/>
                    <w:right w:val="none"/>
                  </w:tcBorders>
                  <w:shd w:fill="6C3483" w:val="clear"/>
                  <w:tcMar>
                    <w:top w:type="dxa" w:w="40"/>
                    <w:left w:type="dxa" w:w="0"/>
                    <w:bottom w:type="dxa" w:w="40"/>
                    <w:right w:type="dxa" w:w="0"/>
                  </w:tcMar>
                </w:tcPr>
                <w:p>
                  <w:r>
                    <w:t xml:space="preserve"/>
                  </w:r>
                </w:p>
              </w:tc>
              <w:tc>
                <w:tcPr>
                  <w:tcW w:type="dxa" w:w="598"/>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6C3483"/>
                <w:sz w:val="20"/>
                <w:szCs w:val="20"/>
              </w:rPr>
              <w:t xml:space="preserve">41.7%</w:t>
            </w:r>
          </w:p>
        </w:tc>
      </w:tr>
      <w:tr>
        <w:tc>
          <w:tcPr>
            <w:tcW w:type="dxa" w:w="2800"/>
            <w:tcBorders>
              <w:top w:val="none"/>
              <w:left w:val="none"/>
              <w:bottom w:val="none"/>
              <w:right w:val="none"/>
            </w:tcBorders>
            <w:tcMar>
              <w:top w:type="dxa" w:w="40"/>
              <w:left w:type="dxa" w:w="60"/>
              <w:bottom w:type="dxa" w:w="40"/>
              <w:right w:type="dxa" w:w="60"/>
            </w:tcMar>
          </w:tcPr>
          <w:p>
            <w:r>
              <w:rPr>
                <w:rFonts w:ascii="Arial" w:cs="Arial" w:eastAsia="Arial" w:hAnsi="Arial"/>
                <w:sz w:val="19"/>
                <w:szCs w:val="19"/>
              </w:rPr>
              <w:t xml:space="preserve">Non-Senior</w:t>
            </w:r>
          </w:p>
        </w:tc>
        <w:tc>
          <w:tcPr>
            <w:tcW w:type="dxa" w:w="3600"/>
            <w:tcBorders>
              <w:top w:val="none"/>
              <w:left w:val="none"/>
              <w:bottom w:val="none"/>
              <w:right w:val="none"/>
            </w:tcBorders>
            <w:tcMar>
              <w:top w:type="dxa" w:w="40"/>
              <w:left w:type="dxa" w:w="0"/>
              <w:bottom w:type="dxa" w:w="40"/>
              <w:right w:type="dxa" w:w="0"/>
            </w:tcMar>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699"/>
              <w:gridCol w:w="1901"/>
            </w:tblGrid>
            <w:tr>
              <w:tc>
                <w:tcPr>
                  <w:tcW w:type="dxa" w:w="1699"/>
                  <w:tcBorders>
                    <w:top w:val="none"/>
                    <w:left w:val="none"/>
                    <w:bottom w:val="none"/>
                    <w:right w:val="none"/>
                  </w:tcBorders>
                  <w:shd w:fill="6C3483" w:val="clear"/>
                  <w:tcMar>
                    <w:top w:type="dxa" w:w="40"/>
                    <w:left w:type="dxa" w:w="0"/>
                    <w:bottom w:type="dxa" w:w="40"/>
                    <w:right w:type="dxa" w:w="0"/>
                  </w:tcMar>
                </w:tcPr>
                <w:p>
                  <w:r>
                    <w:t xml:space="preserve"/>
                  </w:r>
                </w:p>
              </w:tc>
              <w:tc>
                <w:tcPr>
                  <w:tcW w:type="dxa" w:w="1901"/>
                  <w:tcBorders>
                    <w:top w:val="none"/>
                    <w:left w:val="none"/>
                    <w:bottom w:val="none"/>
                    <w:right w:val="none"/>
                  </w:tcBorders>
                  <w:shd w:fill="F2F3F4" w:val="clear"/>
                  <w:tcMar>
                    <w:top w:type="dxa" w:w="40"/>
                    <w:left w:type="dxa" w:w="0"/>
                    <w:bottom w:type="dxa" w:w="40"/>
                    <w:right w:type="dxa" w:w="0"/>
                  </w:tcMar>
                </w:tcPr>
                <w:p>
                  <w:r>
                    <w:t xml:space="preserve"/>
                  </w:r>
                </w:p>
              </w:tc>
            </w:tr>
          </w:tbl>
          <w:p/>
        </w:tc>
        <w:tc>
          <w:tcPr>
            <w:tcW w:type="dxa" w:w="960"/>
            <w:tcBorders>
              <w:top w:val="none"/>
              <w:left w:val="none"/>
              <w:bottom w:val="none"/>
              <w:right w:val="none"/>
            </w:tcBorders>
            <w:tcMar>
              <w:top w:type="dxa" w:w="40"/>
              <w:left w:type="dxa" w:w="60"/>
              <w:bottom w:type="dxa" w:w="40"/>
              <w:right w:type="dxa" w:w="60"/>
            </w:tcMar>
          </w:tcPr>
          <w:p>
            <w:pPr>
              <w:jc w:val="right"/>
            </w:pPr>
            <w:r>
              <w:rPr>
                <w:rFonts w:ascii="Arial" w:cs="Arial" w:eastAsia="Arial" w:hAnsi="Arial"/>
                <w:b/>
                <w:bCs/>
                <w:color w:val="6C3483"/>
                <w:sz w:val="20"/>
                <w:szCs w:val="20"/>
              </w:rPr>
              <w:t xml:space="preserve">23.6%</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4.4  Monthly Charges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Churned customers — avg monthly charge</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$74.44</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Retained customers — avg monthly charge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$61.31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Difference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+$13.13  (21.4% more)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Statistical significance (t-test p-value)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 &lt; 0.0001  ✓  SIGNIFICANT</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5. Customer Segmentation &amp; Risk Analysis</w:t>
      </w:r>
    </w:p>
    <w:p>
      <w:pPr>
        <w:spacing w:after="80" w:before="60"/>
        <w:jc w:val="left"/>
      </w:pPr>
      <w:r>
        <w:rPr>
          <w:rFonts w:ascii="Arial" w:cs="Arial" w:eastAsia="Arial" w:hAnsi="Arial"/>
          <w:b w:val="false"/>
          <w:bCs w:val="false"/>
          <w:i w:val="false"/>
          <w:iCs w:val="false"/>
          <w:color w:val="222222"/>
          <w:sz w:val="22"/>
          <w:szCs w:val="22"/>
        </w:rPr>
        <w:t xml:space="preserve">Customers were scored across three risk factors: short tenure (≤ 6 months), high monthly charges (above median), and month-to-month contract. The resulting risk score drives targeted retention efforts.</w:t>
      </w:r>
    </w:p>
    <w:p>
      <w:pPr>
        <w:spacing w:after="0" w:before="80"/>
      </w:pPr>
      <w:r>
        <w:t xml:space="preserve"/>
      </w:r>
    </w:p>
    <w:p>
      <w:pPr>
        <w:pStyle w:val="Heading2"/>
        <w:spacing w:after="120" w:before="240"/>
      </w:pPr>
      <w:r>
        <w:rPr>
          <w:rFonts w:ascii="Arial" w:cs="Arial" w:eastAsia="Arial" w:hAnsi="Arial"/>
          <w:b/>
          <w:bCs/>
          <w:color w:val="1A3C6B"/>
          <w:sz w:val="28"/>
          <w:szCs w:val="28"/>
        </w:rPr>
        <w:t xml:space="preserve">5.1  Risk Factor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c>
          <w:tcPr>
            <w:tcW w:type="dxa" w:w="3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Factor</w:t>
            </w:r>
          </w:p>
        </w:tc>
        <w:tc>
          <w:tcPr>
            <w:tcW w:type="dxa" w:w="3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20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Short Tenure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Customer tenure ≤ 6 months</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Charges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 charges &gt; median ($70.35)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Contract Type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Month-to-month contract</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5.2  Risk Segmentation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Base</w:t>
            </w:r>
          </w:p>
        </w:tc>
        <w:tc>
          <w:tcPr>
            <w:tcW w:type="dxa" w:w="32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Churn Rate</w:t>
            </w:r>
          </w:p>
        </w:tc>
      </w:tr>
      <w:tr>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392B"/>
                <w:sz w:val="21"/>
                <w:szCs w:val="21"/>
              </w:rPr>
              <w:t xml:space="preserve">🔴  High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523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7.4%</w:t>
            </w:r>
          </w:p>
        </w:tc>
        <w:tc>
          <w:tcPr>
            <w:tcW w:type="dxa" w:w="32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1"/>
                <w:szCs w:val="21"/>
              </w:rPr>
              <w:t xml:space="preserve">74.0%</w:t>
            </w:r>
          </w:p>
        </w:tc>
      </w:tr>
      <w:tr>
        <w:tc>
          <w:tcPr>
            <w:tcW w:type="dxa" w:w="2500"/>
            <w:tcBorders>
              <w:top w:val="single" w:color="CCCCCC" w:sz="1"/>
              <w:left w:val="single" w:color="CCCCCC" w:sz="1"/>
              <w:bottom w:val="single" w:color="CCCCCC" w:sz="1"/>
              <w:right w:val="single" w:color="CCCCCC" w:sz="1"/>
            </w:tcBorders>
            <w:shd w:fill="FEF3E7" w:val="clear"/>
            <w:tcMar>
              <w:top w:type="dxa" w:w="80"/>
              <w:left w:type="dxa" w:w="120"/>
              <w:bottom w:type="dxa" w:w="80"/>
              <w:right w:type="dxa" w:w="120"/>
            </w:tcMar>
          </w:tcPr>
          <w:p>
            <w:r>
              <w:rPr>
                <w:rFonts w:ascii="Arial" w:cs="Arial" w:eastAsia="Arial" w:hAnsi="Arial"/>
                <w:b/>
                <w:bCs/>
                <w:color w:val="E67E22"/>
                <w:sz w:val="21"/>
                <w:szCs w:val="21"/>
              </w:rPr>
              <w:t xml:space="preserve">🟠  Medium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2,414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34.3%</w:t>
            </w:r>
          </w:p>
        </w:tc>
        <w:tc>
          <w:tcPr>
            <w:tcW w:type="dxa" w:w="32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1"/>
                <w:szCs w:val="21"/>
              </w:rPr>
              <w:t xml:space="preserve">45.0%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856404"/>
                <w:sz w:val="21"/>
                <w:szCs w:val="21"/>
              </w:rPr>
              <w:t xml:space="preserve">🟡  Low-Medium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2,461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35.0%</w:t>
            </w:r>
          </w:p>
        </w:tc>
        <w:tc>
          <w:tcPr>
            <w:tcW w:type="dxa" w:w="3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1"/>
                <w:szCs w:val="21"/>
              </w:rPr>
              <w:t xml:space="preserve">13.9%</w:t>
            </w:r>
          </w:p>
        </w:tc>
      </w:tr>
      <w:tr>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Arial" w:cs="Arial" w:eastAsia="Arial" w:hAnsi="Arial"/>
                <w:b/>
                <w:bCs/>
                <w:color w:val="27AE60"/>
                <w:sz w:val="21"/>
                <w:szCs w:val="21"/>
              </w:rPr>
              <w:t xml:space="preserve">🟢  Low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1,634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23.2%</w:t>
            </w:r>
          </w:p>
        </w:tc>
        <w:tc>
          <w:tcPr>
            <w:tcW w:type="dxa" w:w="32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1"/>
                <w:szCs w:val="21"/>
              </w:rPr>
              <w:t xml:space="preserve">3.24%</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5.3  High-Value vs. Standard Customers</w:t>
      </w:r>
    </w:p>
    <w:p>
      <w:pPr>
        <w:spacing w:after="80" w:before="60"/>
        <w:jc w:val="left"/>
      </w:pPr>
      <w:r>
        <w:rPr>
          <w:rFonts w:ascii="Arial" w:cs="Arial" w:eastAsia="Arial" w:hAnsi="Arial"/>
          <w:b w:val="false"/>
          <w:bCs w:val="false"/>
          <w:i w:val="false"/>
          <w:iCs w:val="false"/>
          <w:color w:val="222222"/>
          <w:sz w:val="22"/>
          <w:szCs w:val="22"/>
        </w:rPr>
        <w:t xml:space="preserve">High-value customers (top 20% by monthly charges, ≥ $95.80/month) show a disproportionately higher churn rate. Losing these customers has an outsized revenue impact.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100"/>
        <w:gridCol w:w="1660"/>
      </w:tblGrid>
      <w:tr>
        <w:tc>
          <w:tcPr>
            <w:tcW w:type="dxa" w:w="26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21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Monthly Charge</w:t>
            </w:r>
          </w:p>
        </w:tc>
        <w:tc>
          <w:tcPr>
            <w:tcW w:type="dxa" w:w="16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Tenure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High-Value (Top 20%)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1,408</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32.8%</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$103.00</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46.7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5,624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$55.20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28.8 months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F5EEF8" w:val="clear"/>
            <w:tcMar>
              <w:top w:type="dxa" w:w="100"/>
              <w:left w:type="dxa" w:w="200"/>
              <w:bottom w:type="dxa" w:w="100"/>
              <w:right w:type="dxa" w:w="200"/>
            </w:tcMar>
          </w:tcPr>
          <w:p>
            <w:r>
              <w:rPr>
                <w:rFonts w:ascii="Arial" w:cs="Arial" w:eastAsia="Arial" w:hAnsi="Arial"/>
                <w:b/>
                <w:bCs/>
                <w:color w:val="6C3483"/>
                <w:sz w:val="22"/>
                <w:szCs w:val="22"/>
              </w:rPr>
              <w:t xml:space="preserve">Revenue Risk: </w:t>
            </w:r>
            <w:r>
              <w:rPr>
                <w:rFonts w:ascii="Arial" w:cs="Arial" w:eastAsia="Arial" w:hAnsi="Arial"/>
                <w:sz w:val="22"/>
                <w:szCs w:val="22"/>
              </w:rPr>
              <w:t xml:space="preserve">High-value customers pay 87% more per month and have 62% longer tenure — yet churn 31% more often than standard customers. Prioritising their retention delivers the highest revenue protection per action taken.</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6. Key Findings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  Critical Findings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W w:type="dxa" w:w="43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Implication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Overall Churn Rate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26.6% of all customers churn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 in 4 customers at active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Customer Crisis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59.1% churn rate for &lt; 3 months tenure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First 90 days decide lifetime value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Short-Tenure Risk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41.1% churn rate at 3–12 months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High risk persists well past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Contract Leverage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Month-to-month: 42.7% vs 2-year: 2.85%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Contracts are the #1 retention lock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Senior Vulnerability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41.7% vs 23.6% for non-seniors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Seniors need dedicated support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Tenure Stability Cliff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Churn drops to 14.3% after 24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Surviving past 2 years = loyal customer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Pricing Sensitivity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Churned customers pay $13/mo more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Price-value gap drives exit decisions</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Risk Segmentation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Tenure</w:t>
            </w:r>
          </w:p>
        </w:tc>
        <w:tc>
          <w:tcPr>
            <w:tcW w:type="dxa" w:w="168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w:t>
            </w:r>
          </w:p>
        </w:tc>
        <w:tc>
          <w:tcPr>
            <w:tcW w:type="dxa" w:w="268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Very High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 3 months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59.1%</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 Risk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3–12 months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41.1%</w:t>
            </w:r>
          </w:p>
        </w:tc>
        <w:tc>
          <w:tcPr>
            <w:tcW w:type="dxa" w:w="2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URGENT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Risk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12–24 months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29.5%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MONITOR</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7AE60"/>
                <w:sz w:val="20"/>
                <w:szCs w:val="20"/>
              </w:rPr>
              <w:t xml:space="preserve">Low Risk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24+ months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27AE60"/>
                <w:sz w:val="20"/>
                <w:szCs w:val="20"/>
              </w:rPr>
              <w:t xml:space="preserve">14.3%</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27AE60"/>
                <w:sz w:val="20"/>
                <w:szCs w:val="20"/>
              </w:rPr>
              <w:t xml:space="preserve">STABLE</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7. Actionable Recommendations</w:t>
      </w:r>
    </w:p>
    <w:p>
      <w:pPr>
        <w:spacing w:after="80" w:before="60"/>
        <w:jc w:val="left"/>
      </w:pPr>
      <w:r>
        <w:rPr>
          <w:rFonts w:ascii="Arial" w:cs="Arial" w:eastAsia="Arial" w:hAnsi="Arial"/>
          <w:b w:val="false"/>
          <w:bCs w:val="false"/>
          <w:i w:val="false"/>
          <w:iCs w:val="false"/>
          <w:color w:val="222222"/>
          <w:sz w:val="22"/>
          <w:szCs w:val="22"/>
        </w:rPr>
        <w:t xml:space="preserve">Based on the analysis, six prioritised interventions are recommended. Two high-priority actions address the root causes of churn and together represent the majority of the projected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  HIGH PRIORITY — Implement within 60 days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ADBD8" w:val="clear"/>
            <w:tcMar>
              <w:top w:type="dxa" w:w="120"/>
              <w:left w:type="dxa" w:w="180"/>
              <w:bottom w:type="dxa" w:w="120"/>
              <w:right w:type="dxa" w:w="180"/>
            </w:tcMar>
            <w:vAlign w:val="top"/>
          </w:tcPr>
          <w:p>
            <w:pPr>
              <w:spacing w:after="60" w:before="0"/>
            </w:pPr>
            <w:r>
              <w:rPr>
                <w:rFonts w:ascii="Arial" w:cs="Arial" w:eastAsia="Arial" w:hAnsi="Arial"/>
                <w:b/>
                <w:bCs/>
                <w:color w:val="C0392B"/>
                <w:sz w:val="23"/>
                <w:szCs w:val="23"/>
              </w:rPr>
              <w:t xml:space="preserve">1.  30-Day Onboarding Programme</w:t>
            </w:r>
          </w:p>
          <w:p>
            <w:pPr>
              <w:spacing w:after="40" w:before="0"/>
            </w:pPr>
            <w:r>
              <w:rPr>
                <w:rFonts w:ascii="Arial" w:cs="Arial" w:eastAsia="Arial" w:hAnsi="Arial"/>
                <w:color w:val="666666"/>
                <w:sz w:val="20"/>
                <w:szCs w:val="20"/>
              </w:rPr>
              <w:t xml:space="preserve">Target: All new customers</w:t>
            </w:r>
          </w:p>
          <w:p>
            <w:pPr>
              <w:spacing w:after="80" w:before="60"/>
              <w:jc w:val="left"/>
            </w:pPr>
            <w:r>
              <w:rPr>
                <w:rFonts w:ascii="Arial" w:cs="Arial" w:eastAsia="Arial" w:hAnsi="Arial"/>
                <w:b w:val="false"/>
                <w:bCs w:val="false"/>
                <w:i w:val="false"/>
                <w:iCs w:val="false"/>
                <w:color w:val="222222"/>
                <w:sz w:val="22"/>
                <w:szCs w:val="22"/>
              </w:rPr>
              <w:t xml:space="preserve">Design a structured 30-day onboarding sequence with proactive check-ins at Day 7, Day 14, and Day 30. Assign a dedicated success touchpoint for new sign-ups.</w:t>
            </w:r>
          </w:p>
          <w:p>
            <w:pPr>
              <w:spacing w:after="0" w:before="60"/>
            </w:pPr>
            <w:r>
              <w:rPr>
                <w:rFonts w:ascii="Arial" w:cs="Arial" w:eastAsia="Arial" w:hAnsi="Arial"/>
                <w:b/>
                <w:bCs/>
                <w:sz w:val="20"/>
                <w:szCs w:val="20"/>
              </w:rPr>
              <w:t xml:space="preserve">Expected Impact: </w:t>
            </w:r>
            <w:r>
              <w:rPr>
                <w:rFonts w:ascii="Arial" w:cs="Arial" w:eastAsia="Arial" w:hAnsi="Arial"/>
                <w:sz w:val="20"/>
                <w:szCs w:val="20"/>
              </w:rPr>
              <w:t xml:space="preserve">Reduce early churn by 20–30%</w:t>
            </w:r>
          </w:p>
        </w:tc>
        <w:tc>
          <w:tcPr>
            <w:tcW w:type="dxa" w:w="4680"/>
            <w:tcBorders>
              <w:top w:val="single" w:color="C0392B" w:sz="1"/>
              <w:left w:val="single" w:color="C0392B" w:sz="1"/>
              <w:bottom w:val="single" w:color="C0392B" w:sz="1"/>
              <w:right w:val="single" w:color="C0392B" w:sz="1"/>
            </w:tcBorders>
            <w:shd w:fill="FADBD8" w:val="clear"/>
            <w:tcMar>
              <w:top w:type="dxa" w:w="120"/>
              <w:left w:type="dxa" w:w="180"/>
              <w:bottom w:type="dxa" w:w="120"/>
              <w:right w:type="dxa" w:w="180"/>
            </w:tcMar>
            <w:vAlign w:val="top"/>
          </w:tcPr>
          <w:p>
            <w:pPr>
              <w:spacing w:after="60" w:before="0"/>
            </w:pPr>
            <w:r>
              <w:rPr>
                <w:rFonts w:ascii="Arial" w:cs="Arial" w:eastAsia="Arial" w:hAnsi="Arial"/>
                <w:b/>
                <w:bCs/>
                <w:color w:val="C0392B"/>
                <w:sz w:val="23"/>
                <w:szCs w:val="23"/>
              </w:rPr>
              <w:t xml:space="preserve">2.  Contract Upgrade Incentive</w:t>
            </w:r>
          </w:p>
          <w:p>
            <w:pPr>
              <w:spacing w:after="40" w:before="0"/>
            </w:pPr>
            <w:r>
              <w:rPr>
                <w:rFonts w:ascii="Arial" w:cs="Arial" w:eastAsia="Arial" w:hAnsi="Arial"/>
                <w:color w:val="666666"/>
                <w:sz w:val="20"/>
                <w:szCs w:val="20"/>
              </w:rPr>
              <w:t xml:space="preserve">Target: Month-to-month customers</w:t>
            </w:r>
          </w:p>
          <w:p>
            <w:pPr>
              <w:spacing w:after="80" w:before="60"/>
              <w:jc w:val="left"/>
            </w:pPr>
            <w:r>
              <w:rPr>
                <w:rFonts w:ascii="Arial" w:cs="Arial" w:eastAsia="Arial" w:hAnsi="Arial"/>
                <w:b w:val="false"/>
                <w:bCs w:val="false"/>
                <w:i w:val="false"/>
                <w:iCs w:val="false"/>
                <w:color w:val="222222"/>
                <w:sz w:val="22"/>
                <w:szCs w:val="22"/>
              </w:rPr>
              <w:t xml:space="preserve">Offer discounted annual plans (10–15% discount) during months 2–4. Deploy automated nudges, targeted email campaigns, and in-app upgrade prompts.</w:t>
            </w:r>
          </w:p>
          <w:p>
            <w:pPr>
              <w:spacing w:after="0" w:before="60"/>
            </w:pPr>
            <w:r>
              <w:rPr>
                <w:rFonts w:ascii="Arial" w:cs="Arial" w:eastAsia="Arial" w:hAnsi="Arial"/>
                <w:b/>
                <w:bCs/>
                <w:sz w:val="20"/>
                <w:szCs w:val="20"/>
              </w:rPr>
              <w:t xml:space="preserve">Expected Impact: </w:t>
            </w:r>
            <w:r>
              <w:rPr>
                <w:rFonts w:ascii="Arial" w:cs="Arial" w:eastAsia="Arial" w:hAnsi="Arial"/>
                <w:sz w:val="20"/>
                <w:szCs w:val="20"/>
              </w:rPr>
              <w:t xml:space="preserve">Lock in retention improvement of 25–35%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7E22"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  MEDIUM PRIORITY — Implement within 90 days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vAlign w:val="top"/>
          </w:tcPr>
          <w:p>
            <w:pPr>
              <w:spacing w:after="60" w:before="0"/>
            </w:pPr>
            <w:r>
              <w:rPr>
                <w:rFonts w:ascii="Arial" w:cs="Arial" w:eastAsia="Arial" w:hAnsi="Arial"/>
                <w:b/>
                <w:bCs/>
                <w:color w:val="E67E22"/>
                <w:sz w:val="23"/>
                <w:szCs w:val="23"/>
              </w:rPr>
              <w:t xml:space="preserve">3.  Loyalty Rewards Programme</w:t>
            </w:r>
          </w:p>
          <w:p>
            <w:pPr>
              <w:spacing w:after="40" w:before="0"/>
            </w:pPr>
            <w:r>
              <w:rPr>
                <w:rFonts w:ascii="Arial" w:cs="Arial" w:eastAsia="Arial" w:hAnsi="Arial"/>
                <w:color w:val="666666"/>
                <w:sz w:val="20"/>
                <w:szCs w:val="20"/>
              </w:rPr>
              <w:t xml:space="preserve">Target: 12+ month customers</w:t>
            </w:r>
          </w:p>
          <w:p>
            <w:pPr>
              <w:spacing w:after="80" w:before="60"/>
              <w:jc w:val="left"/>
            </w:pPr>
            <w:r>
              <w:rPr>
                <w:rFonts w:ascii="Arial" w:cs="Arial" w:eastAsia="Arial" w:hAnsi="Arial"/>
                <w:b w:val="false"/>
                <w:bCs w:val="false"/>
                <w:i w:val="false"/>
                <w:iCs w:val="false"/>
                <w:color w:val="222222"/>
                <w:sz w:val="22"/>
                <w:szCs w:val="22"/>
              </w:rPr>
              <w:t xml:space="preserve">Introduce milestone rewards at 12, 24, and 36 months. Offer service upgrades, billing credits, or exclusive features to long-term customers to deepen loyalty.</w:t>
            </w:r>
          </w:p>
          <w:p>
            <w:pPr>
              <w:spacing w:after="0" w:before="60"/>
            </w:pPr>
            <w:r>
              <w:rPr>
                <w:rFonts w:ascii="Arial" w:cs="Arial" w:eastAsia="Arial" w:hAnsi="Arial"/>
                <w:b/>
                <w:bCs/>
                <w:sz w:val="20"/>
                <w:szCs w:val="20"/>
              </w:rPr>
              <w:t xml:space="preserve">Expected Impact: </w:t>
            </w:r>
            <w:r>
              <w:rPr>
                <w:rFonts w:ascii="Arial" w:cs="Arial" w:eastAsia="Arial" w:hAnsi="Arial"/>
                <w:sz w:val="20"/>
                <w:szCs w:val="20"/>
              </w:rPr>
              <w:t xml:space="preserve">Improve retention by 10–15%</w:t>
            </w:r>
          </w:p>
        </w:tc>
        <w:tc>
          <w:tcPr>
            <w:tcW w:type="dxa" w:w="4680"/>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vAlign w:val="top"/>
          </w:tcPr>
          <w:p>
            <w:pPr>
              <w:spacing w:after="60" w:before="0"/>
            </w:pPr>
            <w:r>
              <w:rPr>
                <w:rFonts w:ascii="Arial" w:cs="Arial" w:eastAsia="Arial" w:hAnsi="Arial"/>
                <w:b/>
                <w:bCs/>
                <w:color w:val="E67E22"/>
                <w:sz w:val="23"/>
                <w:szCs w:val="23"/>
              </w:rPr>
              <w:t xml:space="preserve">4.  Pricing Review for High-Charge Customers</w:t>
            </w:r>
          </w:p>
          <w:p>
            <w:pPr>
              <w:spacing w:after="40" w:before="0"/>
            </w:pPr>
            <w:r>
              <w:rPr>
                <w:rFonts w:ascii="Arial" w:cs="Arial" w:eastAsia="Arial" w:hAnsi="Arial"/>
                <w:color w:val="666666"/>
                <w:sz w:val="20"/>
                <w:szCs w:val="20"/>
              </w:rPr>
              <w:t xml:space="preserve">Target: Top 20% by monthly charges</w:t>
            </w:r>
          </w:p>
          <w:p>
            <w:pPr>
              <w:spacing w:after="80" w:before="60"/>
              <w:jc w:val="left"/>
            </w:pPr>
            <w:r>
              <w:rPr>
                <w:rFonts w:ascii="Arial" w:cs="Arial" w:eastAsia="Arial" w:hAnsi="Arial"/>
                <w:b w:val="false"/>
                <w:bCs w:val="false"/>
                <w:i w:val="false"/>
                <w:iCs w:val="false"/>
                <w:color w:val="222222"/>
                <w:sz w:val="22"/>
                <w:szCs w:val="22"/>
              </w:rPr>
              <w:t xml:space="preserve">Audit service bundles for high-charge customers. Introduce a "retention rate" or transparent value justification to counter pricing objections that drive churn.</w:t>
            </w:r>
          </w:p>
          <w:p>
            <w:pPr>
              <w:spacing w:after="0" w:before="60"/>
            </w:pPr>
            <w:r>
              <w:rPr>
                <w:rFonts w:ascii="Arial" w:cs="Arial" w:eastAsia="Arial" w:hAnsi="Arial"/>
                <w:b/>
                <w:bCs/>
                <w:sz w:val="20"/>
                <w:szCs w:val="20"/>
              </w:rPr>
              <w:t xml:space="preserve">Expected Impact: </w:t>
            </w:r>
            <w:r>
              <w:rPr>
                <w:rFonts w:ascii="Arial" w:cs="Arial" w:eastAsia="Arial" w:hAnsi="Arial"/>
                <w:sz w:val="20"/>
                <w:szCs w:val="20"/>
              </w:rPr>
              <w:t xml:space="preserve">Prevent price-driven churn in top segment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6B"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  ONGOING PRIORITY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800"/>
        <w:gridCol w:w="1560"/>
      </w:tblGrid>
      <w:tr>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c>
          <w:tcPr>
            <w:tcW w:type="dxa" w:w="15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Quarterly success reviews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High-value customers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Strengthen relationships &amp; reduce silent churn</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 surveys for all churners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Churned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Reveal real-world churn reasons for roadmap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Senior citizen support track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Senior segment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Reduce 41.7% senior churn rate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30 days</w:t>
            </w:r>
          </w:p>
        </w:tc>
      </w:tr>
    </w:tbl>
    <w:p>
      <w:r>
        <w:br w:type="page"/>
      </w:r>
    </w:p>
    <w:p>
      <w:pPr>
        <w:pStyle w:val="Heading1"/>
        <w:pBdr>
          <w:bottom w:val="single" w:color="1A3C6B" w:sz="6" w:space="6"/>
        </w:pBdr>
        <w:spacing w:after="160" w:before="320"/>
      </w:pPr>
      <w:r>
        <w:rPr>
          <w:rFonts w:ascii="Arial" w:cs="Arial" w:eastAsia="Arial" w:hAnsi="Arial"/>
          <w:b/>
          <w:bCs/>
          <w:color w:val="1A3C6B"/>
          <w:sz w:val="36"/>
          <w:szCs w:val="36"/>
        </w:rPr>
        <w:t xml:space="preserve">8. Financial Impact Projection</w:t>
      </w:r>
    </w:p>
    <w:p>
      <w:pPr>
        <w:spacing w:after="80" w:before="60"/>
        <w:jc w:val="left"/>
      </w:pPr>
      <w:r>
        <w:rPr>
          <w:rFonts w:ascii="Arial" w:cs="Arial" w:eastAsia="Arial" w:hAnsi="Arial"/>
          <w:b w:val="false"/>
          <w:bCs w:val="false"/>
          <w:i w:val="false"/>
          <w:iCs w:val="false"/>
          <w:color w:val="222222"/>
          <w:sz w:val="22"/>
          <w:szCs w:val="22"/>
        </w:rPr>
        <w:t xml:space="preserve">Assuming successful implementation of the high- and medium-priority recommendations, the projected financial return over 12 months is compelling.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Current annual churn (customers)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~1,865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annual churn (post-interventions)</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~1,260</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Customers retained</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~605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revenue per customer / 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$65</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Annual revenue impact</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+$39,325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programme cost</w:t>
            </w:r>
          </w:p>
        </w:tc>
        <w:tc>
          <w:tcPr>
            <w:tcW w:type="dxa" w:w="3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~$20,000</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Net benefit — Year 1</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+$19,325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Projected ROI — Year 1</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~97%</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5F5E3" w:val="clear"/>
            <w:tcMar>
              <w:top w:type="dxa" w:w="140"/>
              <w:left w:type="dxa" w:w="160"/>
              <w:bottom w:type="dxa" w:w="140"/>
              <w:right w:type="dxa" w:w="160"/>
            </w:tcMar>
            <w:vAlign w:val="center"/>
          </w:tcPr>
          <w:p>
            <w:pPr>
              <w:spacing w:after="40" w:before="0"/>
              <w:jc w:val="center"/>
            </w:pPr>
            <w:r>
              <w:rPr>
                <w:rFonts w:ascii="Arial" w:cs="Arial" w:eastAsia="Arial" w:hAnsi="Arial"/>
                <w:b/>
                <w:bCs/>
                <w:color w:val="27AE60"/>
                <w:sz w:val="52"/>
                <w:szCs w:val="52"/>
              </w:rPr>
              <w:t xml:space="preserve">~605</w:t>
            </w:r>
          </w:p>
          <w:p>
            <w:pPr>
              <w:spacing w:after="0" w:before="0"/>
              <w:jc w:val="center"/>
            </w:pPr>
            <w:r>
              <w:rPr>
                <w:rFonts w:ascii="Arial" w:cs="Arial" w:eastAsia="Arial" w:hAnsi="Arial"/>
                <w:color w:val="555555"/>
                <w:sz w:val="18"/>
                <w:szCs w:val="18"/>
              </w:rPr>
              <w:t xml:space="preserve">Customers Saved / Year</w:t>
            </w:r>
          </w:p>
        </w:tc>
        <w:tc>
          <w:tcPr>
            <w:tcW w:type="dxa" w:w="2340"/>
            <w:tcBorders>
              <w:top w:val="none"/>
              <w:left w:val="none"/>
              <w:bottom w:val="none"/>
              <w:right w:val="none"/>
            </w:tcBorders>
            <w:shd w:fill="D5F5E3" w:val="clear"/>
            <w:tcMar>
              <w:top w:type="dxa" w:w="140"/>
              <w:left w:type="dxa" w:w="160"/>
              <w:bottom w:type="dxa" w:w="140"/>
              <w:right w:type="dxa" w:w="160"/>
            </w:tcMar>
            <w:vAlign w:val="center"/>
          </w:tcPr>
          <w:p>
            <w:pPr>
              <w:spacing w:after="40" w:before="0"/>
              <w:jc w:val="center"/>
            </w:pPr>
            <w:r>
              <w:rPr>
                <w:rFonts w:ascii="Arial" w:cs="Arial" w:eastAsia="Arial" w:hAnsi="Arial"/>
                <w:b/>
                <w:bCs/>
                <w:color w:val="27AE60"/>
                <w:sz w:val="52"/>
                <w:szCs w:val="52"/>
              </w:rPr>
              <w:t xml:space="preserve">+$39K</w:t>
            </w:r>
          </w:p>
          <w:p>
            <w:pPr>
              <w:spacing w:after="0" w:before="0"/>
              <w:jc w:val="center"/>
            </w:pPr>
            <w:r>
              <w:rPr>
                <w:rFonts w:ascii="Arial" w:cs="Arial" w:eastAsia="Arial" w:hAnsi="Arial"/>
                <w:color w:val="555555"/>
                <w:sz w:val="18"/>
                <w:szCs w:val="18"/>
              </w:rPr>
              <w:t xml:space="preserve">Annual Revenue Recovered</w:t>
            </w:r>
          </w:p>
        </w:tc>
        <w:tc>
          <w:tcPr>
            <w:tcW w:type="dxa" w:w="2340"/>
            <w:tcBorders>
              <w:top w:val="none"/>
              <w:left w:val="none"/>
              <w:bottom w:val="none"/>
              <w:right w:val="none"/>
            </w:tcBorders>
            <w:shd w:fill="D6E4F0" w:val="clear"/>
            <w:tcMar>
              <w:top w:type="dxa" w:w="140"/>
              <w:left w:type="dxa" w:w="160"/>
              <w:bottom w:type="dxa" w:w="140"/>
              <w:right w:type="dxa" w:w="160"/>
            </w:tcMar>
            <w:vAlign w:val="center"/>
          </w:tcPr>
          <w:p>
            <w:pPr>
              <w:spacing w:after="40" w:before="0"/>
              <w:jc w:val="center"/>
            </w:pPr>
            <w:r>
              <w:rPr>
                <w:rFonts w:ascii="Arial" w:cs="Arial" w:eastAsia="Arial" w:hAnsi="Arial"/>
                <w:b/>
                <w:bCs/>
                <w:color w:val="1A3C6B"/>
                <w:sz w:val="52"/>
                <w:szCs w:val="52"/>
              </w:rPr>
              <w:t xml:space="preserve">~97%</w:t>
            </w:r>
          </w:p>
          <w:p>
            <w:pPr>
              <w:spacing w:after="0" w:before="0"/>
              <w:jc w:val="center"/>
            </w:pPr>
            <w:r>
              <w:rPr>
                <w:rFonts w:ascii="Arial" w:cs="Arial" w:eastAsia="Arial" w:hAnsi="Arial"/>
                <w:color w:val="555555"/>
                <w:sz w:val="18"/>
                <w:szCs w:val="18"/>
              </w:rPr>
              <w:t xml:space="preserve">Projected Year-1 ROI</w:t>
            </w:r>
          </w:p>
        </w:tc>
        <w:tc>
          <w:tcPr>
            <w:tcW w:type="dxa" w:w="2340"/>
            <w:tcBorders>
              <w:top w:val="none"/>
              <w:left w:val="none"/>
              <w:bottom w:val="none"/>
              <w:right w:val="none"/>
            </w:tcBorders>
            <w:shd w:fill="FDEBD0" w:val="clear"/>
            <w:tcMar>
              <w:top w:type="dxa" w:w="140"/>
              <w:left w:type="dxa" w:w="160"/>
              <w:bottom w:type="dxa" w:w="140"/>
              <w:right w:type="dxa" w:w="160"/>
            </w:tcMar>
            <w:vAlign w:val="center"/>
          </w:tcPr>
          <w:p>
            <w:pPr>
              <w:spacing w:after="40" w:before="0"/>
              <w:jc w:val="center"/>
            </w:pPr>
            <w:r>
              <w:rPr>
                <w:rFonts w:ascii="Arial" w:cs="Arial" w:eastAsia="Arial" w:hAnsi="Arial"/>
                <w:b/>
                <w:bCs/>
                <w:color w:val="E67E22"/>
                <w:sz w:val="52"/>
                <w:szCs w:val="52"/>
              </w:rPr>
              <w:t xml:space="preserve">$20K</w:t>
            </w:r>
          </w:p>
          <w:p>
            <w:pPr>
              <w:spacing w:after="0" w:before="0"/>
              <w:jc w:val="center"/>
            </w:pPr>
            <w:r>
              <w:rPr>
                <w:rFonts w:ascii="Arial" w:cs="Arial" w:eastAsia="Arial" w:hAnsi="Arial"/>
                <w:color w:val="555555"/>
                <w:sz w:val="18"/>
                <w:szCs w:val="18"/>
              </w:rPr>
              <w:t xml:space="preserve">Estimated Programme Cost</w:t>
            </w:r>
          </w:p>
        </w:tc>
      </w:tr>
    </w:tbl>
    <w:p>
      <w:pPr>
        <w:spacing w:after="0" w:before="120"/>
      </w:pPr>
      <w:r>
        <w:t xml:space="preserve"/>
      </w:r>
    </w:p>
    <w:p>
      <w:pPr>
        <w:pStyle w:val="Heading1"/>
        <w:pBdr>
          <w:bottom w:val="single" w:color="1A3C6B" w:sz="6" w:space="6"/>
        </w:pBdr>
        <w:spacing w:after="160" w:before="320"/>
      </w:pPr>
      <w:r>
        <w:rPr>
          <w:rFonts w:ascii="Arial" w:cs="Arial" w:eastAsia="Arial" w:hAnsi="Arial"/>
          <w:b/>
          <w:bCs/>
          <w:color w:val="1A3C6B"/>
          <w:sz w:val="36"/>
          <w:szCs w:val="36"/>
        </w:rPr>
        <w:t xml:space="preserve">9. Conclusion &amp; Next Steps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6B" w:sz="1"/>
              <w:left w:val="single" w:color="1A3C6B" w:sz="1"/>
              <w:bottom w:val="single" w:color="1A3C6B" w:sz="1"/>
              <w:right w:val="single" w:color="1A3C6B" w:sz="1"/>
            </w:tcBorders>
            <w:shd w:fill="D6E4F0" w:val="clear"/>
            <w:tcMar>
              <w:top w:type="dxa" w:w="140"/>
              <w:left w:type="dxa" w:w="240"/>
              <w:bottom w:type="dxa" w:w="140"/>
              <w:right w:type="dxa" w:w="240"/>
            </w:tcMar>
          </w:tcPr>
          <w:p>
            <w:pPr>
              <w:spacing w:after="80" w:before="0"/>
              <w:jc w:val="center"/>
            </w:pPr>
            <w:r>
              <w:rPr>
                <w:rFonts w:ascii="Arial" w:cs="Arial" w:eastAsia="Arial" w:hAnsi="Arial"/>
                <w:b/>
                <w:bCs/>
                <w:color w:val="1A3C6B"/>
                <w:sz w:val="26"/>
                <w:szCs w:val="26"/>
              </w:rPr>
              <w:t xml:space="preserve">Bottom Line for Stakeholders</w:t>
            </w:r>
          </w:p>
          <w:p>
            <w:pPr>
              <w:spacing w:after="80" w:before="60"/>
              <w:jc w:val="left"/>
            </w:pPr>
            <w:r>
              <w:rPr>
                <w:rFonts w:ascii="Arial" w:cs="Arial" w:eastAsia="Arial" w:hAnsi="Arial"/>
                <w:b w:val="false"/>
                <w:bCs w:val="false"/>
                <w:i w:val="false"/>
                <w:iCs w:val="false"/>
                <w:color w:val="222222"/>
                <w:sz w:val="22"/>
                <w:szCs w:val="22"/>
              </w:rPr>
              <w:t xml:space="preserve">This analysis reveals clear churn patterns with actionable, high-ROI intervention points. The first three months of a customer relationship are the single highest-leverage window for reducing churn. Fixing onboarding and incentivising annual contracts are the two actions that will deliver the greatest measurable impact with the least investment.</w:t>
            </w:r>
          </w:p>
          <w:p>
            <w:pPr>
              <w:spacing w:after="0" w:before="40"/>
            </w:pPr>
            <w:r>
              <w:t xml:space="preserve"/>
            </w:r>
          </w:p>
          <w:p>
            <w:pPr>
              <w:spacing w:after="80" w:before="60"/>
              <w:jc w:val="left"/>
            </w:pPr>
            <w:r>
              <w:rPr>
                <w:rFonts w:ascii="Arial" w:cs="Arial" w:eastAsia="Arial" w:hAnsi="Arial"/>
                <w:b w:val="false"/>
                <w:bCs w:val="false"/>
                <w:i w:val="false"/>
                <w:iCs w:val="false"/>
                <w:color w:val="222222"/>
                <w:sz w:val="22"/>
                <w:szCs w:val="22"/>
              </w:rPr>
              <w:t xml:space="preserve">Customers who survive past the 24-month mark are highly stable — the goal of every retention initiative should be to bridge customers across that threshold.</w:t>
            </w:r>
          </w:p>
        </w:tc>
      </w:tr>
    </w:tbl>
    <w:p>
      <w:pPr>
        <w:spacing w:after="0" w:before="100"/>
      </w:pPr>
      <w:r>
        <w:t xml:space="preserve"/>
      </w:r>
    </w:p>
    <w:p>
      <w:pPr>
        <w:pStyle w:val="Heading2"/>
        <w:spacing w:after="120" w:before="240"/>
      </w:pPr>
      <w:r>
        <w:rPr>
          <w:rFonts w:ascii="Arial" w:cs="Arial" w:eastAsia="Arial" w:hAnsi="Arial"/>
          <w:b/>
          <w:bCs/>
          <w:color w:val="1A3C6B"/>
          <w:sz w:val="28"/>
          <w:szCs w:val="28"/>
        </w:rPr>
        <w:t xml:space="preserve">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560"/>
        <w:gridCol w:w="2200"/>
      </w:tblGrid>
      <w:tr>
        <w:tc>
          <w:tcPr>
            <w:tcW w:type="dxa" w:w="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56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Implement 30-day structured onboarding programme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Product / CS Team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Launch annual contract upgrade incentive campaign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Marketing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60 days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Begin monthly cohort retention tracking dashboard</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Analytics Team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Design and deploy A/B tests for retention offers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Growth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45 days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Establish monthly stakeholder retention report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Analytics / PM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Ongoing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 up exit survey for all churning customers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CS / Product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Immediate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2F3F4" w:val="clear"/>
            <w:tcMar>
              <w:top w:type="dxa" w:w="80"/>
              <w:left w:type="dxa" w:w="200"/>
              <w:bottom w:type="dxa" w:w="80"/>
              <w:right w:type="dxa" w:w="200"/>
            </w:tcMar>
          </w:tcPr>
          <w:p>
            <w:pPr>
              <w:jc w:val="center"/>
            </w:pPr>
            <w:r>
              <w:rPr>
                <w:rFonts w:ascii="Arial" w:cs="Arial" w:eastAsia="Arial" w:hAnsi="Arial"/>
                <w:color w:val="888888"/>
                <w:sz w:val="18"/>
                <w:szCs w:val="18"/>
              </w:rPr>
              <w:t xml:space="preserve">Note: Financial projections are estimates based on observed churn rates and industry benchmarks. Actual results will depend on programme execution, market conditions, and customer response rates. All analysis is based on the Telco Customer Churn dataset (Kaggle).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pPr>
    <w:r>
      <w:t xml:space="preserve"/>
    </w:r>
  </w:p>
  <w:p>
    <w:pP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none"/>
            <w:right w:val="none"/>
          </w:tcBorders>
        </w:tcPr>
        <w:p>
          <w:r>
            <w:rPr>
              <w:rFonts w:ascii="Arial" w:cs="Arial" w:eastAsia="Arial" w:hAnsi="Arial"/>
              <w:b/>
              <w:bCs/>
              <w:color w:val="1A3C6B"/>
              <w:sz w:val="18"/>
              <w:szCs w:val="18"/>
            </w:rPr>
            <w:t xml:space="preserve">CUSTOMER RETENTION &amp; CHURN ANALYSIS REPORT</w:t>
          </w:r>
        </w:p>
      </w:tc>
      <w:tc>
        <w:tcPr>
          <w:tcW w:type="dxa" w:w="3080"/>
          <w:tcBorders>
            <w:top w:val="none"/>
            <w:left w:val="none"/>
            <w:bottom w:val="none"/>
            <w:right w:val="none"/>
          </w:tcBorders>
        </w:tcPr>
        <w:p>
          <w:pPr>
            <w:jc w:val="right"/>
          </w:pPr>
          <w:r>
            <w:rPr>
              <w:rFonts w:ascii="Arial" w:cs="Arial" w:eastAsia="Arial" w:hAnsi="Arial"/>
              <w:color w:val="888888"/>
              <w:sz w:val="17"/>
              <w:szCs w:val="17"/>
            </w:rPr>
            <w:t xml:space="preserve">Telco Customer Dataset  |  May 2026</w:t>
          </w:r>
        </w:p>
      </w:tc>
    </w:tr>
  </w:tbl>
  <w:p>
    <w:pPr>
      <w:pBdr>
        <w:bottom w:val="single" w:color="1A3C6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2026-05-08T08:35:58.005Z</dcterms:created>
  <dcterms:modified xsi:type="dcterms:W3CDTF">2026-05-08T08:35:58.018Z</dcterms:modified>
</cp:coreProperties>
</file>

<file path=docProps/custom.xml><?xml version="1.0" encoding="utf-8"?>
<Properties xmlns="http://schemas.openxmlformats.org/officeDocument/2006/custom-properties" xmlns:vt="http://schemas.openxmlformats.org/officeDocument/2006/docPropsVTypes"/>
</file>