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47C" w:val="clear"/>
            <w:tcMar>
              <w:top w:type="dxa" w:w="480"/>
              <w:left w:type="dxa" w:w="560"/>
              <w:bottom w:type="dxa" w:w="480"/>
              <w:right w:type="dxa" w:w="560"/>
            </w:tcMar>
          </w:tcPr>
          <w:p>
            <w:pPr>
              <w:spacing w:after="120"/>
            </w:pPr>
            <w:r>
              <w:rPr>
                <w:rFonts w:ascii="Arial" w:cs="Arial" w:eastAsia="Arial" w:hAnsi="Arial"/>
                <w:color w:val="85B7EB"/>
                <w:spacing w:val="60"/>
                <w:sz w:val="18"/>
                <w:szCs w:val="18"/>
              </w:rPr>
              <w:t xml:space="preserve">FUTURE INTERNS - FUTURE_DS_03</w:t>
            </w:r>
          </w:p>
          <w:p>
            <w:pPr>
              <w:spacing w:after="80"/>
            </w:pPr>
            <w:r>
              <w:rPr>
                <w:rFonts w:ascii="Arial" w:cs="Arial" w:eastAsia="Arial" w:hAnsi="Arial"/>
                <w:b/>
                <w:bCs/>
                <w:color w:val="FFFFFF"/>
                <w:sz w:val="60"/>
                <w:szCs w:val="60"/>
              </w:rPr>
              <w:t xml:space="preserve">Bank Marketing Funnel Analysis</w:t>
            </w:r>
          </w:p>
          <w:p>
            <w:pPr>
              <w:spacing w:after="200"/>
            </w:pPr>
            <w:r>
              <w:rPr>
                <w:rFonts w:ascii="Arial" w:cs="Arial" w:eastAsia="Arial" w:hAnsi="Arial"/>
                <w:color w:val="B5D4F4"/>
                <w:sz w:val="36"/>
                <w:szCs w:val="36"/>
              </w:rPr>
              <w:t xml:space="preserve">Full Conversion Audit Report</w:t>
            </w:r>
          </w:p>
          <w:p>
            <w:pPr>
              <w:spacing w:after="240"/>
            </w:pPr>
            <w:r>
              <w:rPr>
                <w:rFonts w:ascii="Arial" w:cs="Arial" w:eastAsia="Arial" w:hAnsi="Arial"/>
                <w:color w:val="B5D4F4"/>
                <w:sz w:val="22"/>
                <w:szCs w:val="22"/>
              </w:rPr>
              <w:t xml:space="preserve">A full conversion audit on 4,119 real customer interactions from a Portuguese bank telemarketing campaign - identifying revenue leakage and prescribing data-backed fixes.</w:t>
            </w:r>
          </w:p>
          <w:p>
            <w:r>
              <w:rPr>
                <w:rFonts w:ascii="Arial" w:cs="Arial" w:eastAsia="Arial" w:hAnsi="Arial"/>
                <w:b/>
                <w:bCs/>
                <w:color w:val="85B7EB"/>
                <w:sz w:val="20"/>
                <w:szCs w:val="20"/>
              </w:rPr>
              <w:t xml:space="preserve">Dataset: </w:t>
            </w:r>
            <w:r>
              <w:rPr>
                <w:rFonts w:ascii="Arial" w:cs="Arial" w:eastAsia="Arial" w:hAnsi="Arial"/>
                <w:color w:val="B5D4F4"/>
                <w:sz w:val="20"/>
                <w:szCs w:val="20"/>
              </w:rPr>
              <w:t xml:space="preserve">UCI Bank Marketing (2008-2010)   </w:t>
            </w:r>
            <w:r>
              <w:rPr>
                <w:rFonts w:ascii="Arial" w:cs="Arial" w:eastAsia="Arial" w:hAnsi="Arial"/>
                <w:b/>
                <w:bCs/>
                <w:color w:val="85B7EB"/>
                <w:sz w:val="20"/>
                <w:szCs w:val="20"/>
              </w:rPr>
              <w:t xml:space="preserve">Author: </w:t>
            </w:r>
            <w:r>
              <w:rPr>
                <w:rFonts w:ascii="Arial" w:cs="Arial" w:eastAsia="Arial" w:hAnsi="Arial"/>
                <w:color w:val="B5D4F4"/>
                <w:sz w:val="20"/>
                <w:szCs w:val="20"/>
              </w:rPr>
              <w:t xml:space="preserve">Bidusha Shrestha   </w:t>
            </w:r>
            <w:r>
              <w:rPr>
                <w:rFonts w:ascii="Arial" w:cs="Arial" w:eastAsia="Arial" w:hAnsi="Arial"/>
                <w:b/>
                <w:bCs/>
                <w:color w:val="85B7EB"/>
                <w:sz w:val="20"/>
                <w:szCs w:val="20"/>
              </w:rPr>
              <w:t xml:space="preserve">Tools: </w:t>
            </w:r>
            <w:r>
              <w:rPr>
                <w:rFonts w:ascii="Arial" w:cs="Arial" w:eastAsia="Arial" w:hAnsi="Arial"/>
                <w:color w:val="B5D4F4"/>
                <w:sz w:val="20"/>
                <w:szCs w:val="20"/>
              </w:rPr>
              <w:t xml:space="preserve">Python, pandas, plotly, Streamlit</w:t>
            </w:r>
          </w:p>
        </w:tc>
      </w:tr>
    </w:tbl>
    <w:p>
      <w:pPr>
        <w:spacing w:after="0" w:before="400"/>
      </w:pPr>
    </w:p>
    <w:p>
      <w:pPr>
        <w:spacing w:after="100" w:before="300"/>
      </w:pPr>
      <w:r>
        <w:rPr>
          <w:rFonts w:ascii="Arial" w:cs="Arial" w:eastAsia="Arial" w:hAnsi="Arial"/>
          <w:b/>
          <w:bCs/>
          <w:color w:val="185FA5"/>
          <w:spacing w:val="40"/>
          <w:sz w:val="18"/>
          <w:szCs w:val="18"/>
        </w:rPr>
        <w:t xml:space="preserve">EXECUTIVE SUMMARY</w:t>
      </w:r>
    </w:p>
    <w:p>
      <w:pPr>
        <w:pBdr>
          <w:bottom w:val="single" w:color="185FA5" w:sz="6" w:space="1"/>
        </w:pBdr>
        <w:spacing w:after="200" w:before="200"/>
      </w:pPr>
    </w:p>
    <w:p>
      <w:pPr>
        <w:spacing w:after="80" w:before="120"/>
      </w:pPr>
      <w:r>
        <w:rPr>
          <w:rFonts w:ascii="Arial" w:cs="Arial" w:eastAsia="Arial" w:hAnsi="Arial"/>
          <w:b w:val="false"/>
          <w:bCs w:val="false"/>
          <w:color w:val="333333"/>
          <w:sz w:val="22"/>
          <w:szCs w:val="22"/>
        </w:rPr>
        <w:t xml:space="preserve">This report presents a full marketing funnel audit on the UCI Bank Marketing dataset, which contains 4,119 records from a Portuguese bank telemarketing campaigns conducted between May 2008 and November 2010. The campaign goal was to persuade customers to subscribe to a term deposit product.</w:t>
      </w:r>
    </w:p>
    <w:p>
      <w:pPr>
        <w:spacing w:after="80" w:before="80"/>
      </w:pPr>
      <w:r>
        <w:rPr>
          <w:rFonts w:ascii="Arial" w:cs="Arial" w:eastAsia="Arial" w:hAnsi="Arial"/>
          <w:b w:val="false"/>
          <w:bCs w:val="false"/>
          <w:color w:val="333333"/>
          <w:sz w:val="22"/>
          <w:szCs w:val="22"/>
        </w:rPr>
        <w:t xml:space="preserve">The analysis identifies exact drop-off points, measures which contact channels and customer segments perform best, and translates findings into concrete business recommendations with calculated revenue impact. The estimated annual revenue opportunity from implementing all recommendations is EUR 350,000 to EUR 550,000.</w:t>
      </w:r>
    </w:p>
    <w:p>
      <w:pPr>
        <w:spacing w:after="0" w:before="200"/>
      </w:pPr>
    </w:p>
    <w:p>
      <w:pPr>
        <w:spacing w:after="100" w:before="300"/>
      </w:pPr>
      <w:r>
        <w:rPr>
          <w:rFonts w:ascii="Arial" w:cs="Arial" w:eastAsia="Arial" w:hAnsi="Arial"/>
          <w:b/>
          <w:bCs/>
          <w:color w:val="185FA5"/>
          <w:spacing w:val="40"/>
          <w:sz w:val="18"/>
          <w:szCs w:val="18"/>
        </w:rPr>
        <w:t xml:space="preserve">TOP-LEVEL METRICS</w:t>
      </w:r>
    </w:p>
    <w:p>
      <w:pPr>
        <w:pBdr>
          <w:bottom w:val="single" w:color="185FA5" w:sz="6"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pPr>
              <w:spacing w:after="40"/>
            </w:pPr>
            <w:r>
              <w:rPr>
                <w:rFonts w:ascii="Arial" w:cs="Arial" w:eastAsia="Arial" w:hAnsi="Arial"/>
                <w:color w:val="555555"/>
                <w:sz w:val="18"/>
                <w:szCs w:val="18"/>
              </w:rPr>
              <w:t xml:space="preserve">Total Contacts</w:t>
            </w:r>
          </w:p>
          <w:p>
            <w:pPr>
              <w:spacing w:after="40"/>
            </w:pPr>
            <w:r>
              <w:rPr>
                <w:rFonts w:ascii="Arial" w:cs="Arial" w:eastAsia="Arial" w:hAnsi="Arial"/>
                <w:b/>
                <w:bCs/>
                <w:color w:val="0C447C"/>
                <w:sz w:val="32"/>
                <w:szCs w:val="32"/>
              </w:rPr>
              <w:t xml:space="preserve">4,119</w:t>
            </w:r>
          </w:p>
          <w:p>
            <w:r>
              <w:rPr>
                <w:rFonts w:ascii="Arial" w:cs="Arial" w:eastAsia="Arial" w:hAnsi="Arial"/>
                <w:b w:val="false"/>
                <w:bCs w:val="false"/>
                <w:color w:val="777777"/>
                <w:sz w:val="18"/>
                <w:szCs w:val="18"/>
              </w:rPr>
              <w:t xml:space="preserve">May 2008 - Nov 2010</w:t>
            </w:r>
          </w:p>
        </w:tc>
        <w:tc>
          <w:tcPr>
            <w:tcW w:type="dxa" w:w="234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pPr>
              <w:spacing w:after="40"/>
            </w:pPr>
            <w:r>
              <w:rPr>
                <w:rFonts w:ascii="Arial" w:cs="Arial" w:eastAsia="Arial" w:hAnsi="Arial"/>
                <w:color w:val="555555"/>
                <w:sz w:val="18"/>
                <w:szCs w:val="18"/>
              </w:rPr>
              <w:t xml:space="preserve">Conversions</w:t>
            </w:r>
          </w:p>
          <w:p>
            <w:pPr>
              <w:spacing w:after="40"/>
            </w:pPr>
            <w:r>
              <w:rPr>
                <w:rFonts w:ascii="Arial" w:cs="Arial" w:eastAsia="Arial" w:hAnsi="Arial"/>
                <w:b/>
                <w:bCs/>
                <w:color w:val="0C447C"/>
                <w:sz w:val="32"/>
                <w:szCs w:val="32"/>
              </w:rPr>
              <w:t xml:space="preserve">451</w:t>
            </w:r>
          </w:p>
          <w:p>
            <w:r>
              <w:rPr>
                <w:rFonts w:ascii="Arial" w:cs="Arial" w:eastAsia="Arial" w:hAnsi="Arial"/>
                <w:b w:val="false"/>
                <w:bCs w:val="false"/>
                <w:color w:val="777777"/>
                <w:sz w:val="18"/>
                <w:szCs w:val="18"/>
              </w:rPr>
              <w:t xml:space="preserve">Term deposits signed</w:t>
            </w:r>
          </w:p>
        </w:tc>
        <w:tc>
          <w:tcPr>
            <w:tcW w:type="dxa" w:w="234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pPr>
              <w:spacing w:after="40"/>
            </w:pPr>
            <w:r>
              <w:rPr>
                <w:rFonts w:ascii="Arial" w:cs="Arial" w:eastAsia="Arial" w:hAnsi="Arial"/>
                <w:color w:val="555555"/>
                <w:sz w:val="18"/>
                <w:szCs w:val="18"/>
              </w:rPr>
              <w:t xml:space="preserve">Conversion Rate</w:t>
            </w:r>
          </w:p>
          <w:p>
            <w:pPr>
              <w:spacing w:after="40"/>
            </w:pPr>
            <w:r>
              <w:rPr>
                <w:rFonts w:ascii="Arial" w:cs="Arial" w:eastAsia="Arial" w:hAnsi="Arial"/>
                <w:b/>
                <w:bCs/>
                <w:color w:val="0C447C"/>
                <w:sz w:val="32"/>
                <w:szCs w:val="32"/>
              </w:rPr>
              <w:t xml:space="preserve">10.9%</w:t>
            </w:r>
          </w:p>
          <w:p>
            <w:r>
              <w:rPr>
                <w:rFonts w:ascii="Arial" w:cs="Arial" w:eastAsia="Arial" w:hAnsi="Arial"/>
                <w:b/>
                <w:bCs/>
                <w:color w:val="3B6D11"/>
                <w:sz w:val="18"/>
                <w:szCs w:val="18"/>
              </w:rPr>
              <w:t xml:space="preserve">vs 8.1% industry avg</w:t>
            </w:r>
          </w:p>
        </w:tc>
        <w:tc>
          <w:tcPr>
            <w:tcW w:type="dxa" w:w="234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pPr>
              <w:spacing w:after="40"/>
            </w:pPr>
            <w:r>
              <w:rPr>
                <w:rFonts w:ascii="Arial" w:cs="Arial" w:eastAsia="Arial" w:hAnsi="Arial"/>
                <w:color w:val="555555"/>
                <w:sz w:val="18"/>
                <w:szCs w:val="18"/>
              </w:rPr>
              <w:t xml:space="preserve">Drop-off Rate</w:t>
            </w:r>
          </w:p>
          <w:p>
            <w:pPr>
              <w:spacing w:after="40"/>
            </w:pPr>
            <w:r>
              <w:rPr>
                <w:rFonts w:ascii="Arial" w:cs="Arial" w:eastAsia="Arial" w:hAnsi="Arial"/>
                <w:b/>
                <w:bCs/>
                <w:color w:val="0C447C"/>
                <w:sz w:val="32"/>
                <w:szCs w:val="32"/>
              </w:rPr>
              <w:t xml:space="preserve">89.1%</w:t>
            </w:r>
          </w:p>
          <w:p>
            <w:r>
              <w:rPr>
                <w:rFonts w:ascii="Arial" w:cs="Arial" w:eastAsia="Arial" w:hAnsi="Arial"/>
                <w:b w:val="false"/>
                <w:bCs w:val="false"/>
                <w:color w:val="777777"/>
                <w:sz w:val="18"/>
                <w:szCs w:val="18"/>
              </w:rPr>
              <w:t xml:space="preserve">Revenue being lost</w:t>
            </w:r>
          </w:p>
        </w:tc>
      </w:tr>
    </w:tbl>
    <w:p>
      <w:pPr>
        <w:spacing w:after="0" w:before="200"/>
      </w:pPr>
    </w:p>
    <w:p>
      <w:pPr>
        <w:spacing w:after="100" w:before="300"/>
      </w:pPr>
      <w:r>
        <w:rPr>
          <w:rFonts w:ascii="Arial" w:cs="Arial" w:eastAsia="Arial" w:hAnsi="Arial"/>
          <w:b/>
          <w:bCs/>
          <w:color w:val="185FA5"/>
          <w:spacing w:val="40"/>
          <w:sz w:val="18"/>
          <w:szCs w:val="18"/>
        </w:rPr>
        <w:t xml:space="preserve">CONVERSION FUNNEL</w:t>
      </w:r>
    </w:p>
    <w:p>
      <w:pPr>
        <w:pBdr>
          <w:bottom w:val="single" w:color="185FA5" w:sz="6" w:space="1"/>
        </w:pBdr>
        <w:spacing w:after="200" w:before="200"/>
      </w:pPr>
    </w:p>
    <w:p>
      <w:pPr>
        <w:spacing w:after="80" w:before="120"/>
      </w:pPr>
      <w:r>
        <w:rPr>
          <w:rFonts w:ascii="Arial" w:cs="Arial" w:eastAsia="Arial" w:hAnsi="Arial"/>
          <w:b w:val="false"/>
          <w:bCs w:val="false"/>
          <w:color w:val="333333"/>
          <w:sz w:val="22"/>
          <w:szCs w:val="22"/>
        </w:rPr>
        <w:t xml:space="preserve">The funnel shows that while nearly all contacted customers connect (99.9% engagement), 89.1% never convert. The campaign 10.9% conversion rate beats the 8.1% industry average, but the gap remains substantial.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rPr>
          <w:tblHeader/>
        </w:trPr>
        <w:tc>
          <w:tcPr>
            <w:tcW w:type="dxa" w:w="36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Funnel Stage</w:t>
            </w:r>
          </w:p>
        </w:tc>
        <w:tc>
          <w:tcPr>
            <w:tcW w:type="dxa" w:w="16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Rate</w:t>
            </w:r>
          </w:p>
        </w:tc>
        <w:tc>
          <w:tcPr>
            <w:tcW w:type="dxa" w:w="256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Contacted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4,119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All campaign outreach</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Engaged (call connected)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4,118</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99.9%</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&lt;0.1% drop</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Converted (deposit signed)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33333"/>
                <w:sz w:val="20"/>
                <w:szCs w:val="20"/>
              </w:rPr>
              <w:t xml:space="preserve">451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E24B4A"/>
                <w:sz w:val="20"/>
                <w:szCs w:val="20"/>
              </w:rPr>
              <w:t xml:space="preserve">10.9%</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E24B4A"/>
                <w:sz w:val="20"/>
                <w:szCs w:val="20"/>
              </w:rPr>
              <w:t xml:space="preserve">89.1% drop-off - critical gap</w:t>
            </w:r>
          </w:p>
        </w:tc>
      </w:tr>
    </w:tbl>
    <w:p>
      <w:pPr>
        <w:spacing w:after="0" w:before="280"/>
      </w:pPr>
    </w:p>
    <w:p>
      <w:pPr>
        <w:pStyle w:val="Heading1"/>
      </w:pPr>
      <w:r>
        <w:rPr>
          <w:rFonts w:ascii="Arial" w:cs="Arial" w:eastAsia="Arial" w:hAnsi="Arial"/>
          <w:b/>
          <w:bCs/>
          <w:color w:val="0C447C"/>
          <w:sz w:val="40"/>
          <w:szCs w:val="40"/>
        </w:rPr>
        <w:t xml:space="preserve">Key Findings</w:t>
      </w:r>
    </w:p>
    <w:p>
      <w:pPr>
        <w:pBdr>
          <w:bottom w:val="single" w:color="185FA5" w:sz="6"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single" w:color="185FA5" w:sz="12"/>
              <w:bottom w:val="none" w:color="FFFFFF" w:sz="0"/>
              <w:right w:val="none" w:color="FFFFFF" w:sz="0"/>
            </w:tcBorders>
            <w:shd w:fill="E6F1FB" w:val="clear"/>
            <w:tcMar>
              <w:top w:type="dxa" w:w="80"/>
              <w:left w:type="dxa" w:w="80"/>
              <w:bottom w:type="dxa" w:w="80"/>
              <w:right w:type="dxa" w:w="120"/>
            </w:tcMar>
          </w:tcPr>
          <w:p/>
        </w:tc>
        <w:tc>
          <w:tcPr>
            <w:tcW w:type="dxa" w:w="9080"/>
            <w:tcBorders>
              <w:top w:val="none" w:color="FFFFFF" w:sz="0"/>
              <w:left w:val="none" w:color="FFFFFF" w:sz="0"/>
              <w:bottom w:val="single" w:color="CCCCCC" w:sz="1"/>
              <w:right w:val="none" w:color="FFFFFF" w:sz="0"/>
            </w:tcBorders>
            <w:shd w:fill="FFFFFF" w:val="clear"/>
            <w:tcMar>
              <w:top w:type="dxa" w:w="120"/>
              <w:left w:type="dxa" w:w="200"/>
              <w:bottom w:type="dxa" w:w="120"/>
              <w:right w:type="dxa" w:w="120"/>
            </w:tcMar>
          </w:tcPr>
          <w:p>
            <w:pPr>
              <w:spacing w:after="40"/>
            </w:pPr>
            <w:r>
              <w:rPr>
                <w:rFonts w:ascii="Arial" w:cs="Arial" w:eastAsia="Arial" w:hAnsi="Arial"/>
                <w:b/>
                <w:bCs/>
                <w:color w:val="185FA5"/>
                <w:spacing w:val="40"/>
                <w:sz w:val="17"/>
                <w:szCs w:val="17"/>
              </w:rPr>
              <w:t xml:space="preserve">FINDING 01</w:t>
            </w:r>
          </w:p>
          <w:p>
            <w:pPr>
              <w:spacing w:after="80"/>
            </w:pPr>
            <w:r>
              <w:rPr>
                <w:rFonts w:ascii="Arial" w:cs="Arial" w:eastAsia="Arial" w:hAnsi="Arial"/>
                <w:b/>
                <w:bCs/>
                <w:color w:val="0C447C"/>
                <w:sz w:val="24"/>
                <w:szCs w:val="24"/>
              </w:rPr>
              <w:t xml:space="preserve">Contact channel creates a 3x conversion gap</w:t>
            </w:r>
          </w:p>
          <w:p>
            <w:pPr>
              <w:spacing w:after="60"/>
            </w:pPr>
            <w:r>
              <w:rPr>
                <w:rFonts w:ascii="Arial" w:cs="Arial" w:eastAsia="Arial" w:hAnsi="Arial"/>
                <w:color w:val="444444"/>
                <w:sz w:val="21"/>
                <w:szCs w:val="21"/>
              </w:rPr>
              <w:t xml:space="preserve">Cellular contacts convert at 14.7% while telephone contacts convert at only 4.9% - a nearly three times difference. This gap is driven by the same product, same agents, and same scripts. The only variable is the channel. Budget allocation between the two channels does not currently reflect this performance difference.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single" w:color="185FA5" w:sz="12"/>
              <w:bottom w:val="none" w:color="FFFFFF" w:sz="0"/>
              <w:right w:val="none" w:color="FFFFFF" w:sz="0"/>
            </w:tcBorders>
            <w:shd w:fill="E6F1FB" w:val="clear"/>
            <w:tcMar>
              <w:top w:type="dxa" w:w="80"/>
              <w:left w:type="dxa" w:w="80"/>
              <w:bottom w:type="dxa" w:w="80"/>
              <w:right w:type="dxa" w:w="120"/>
            </w:tcMar>
          </w:tcPr>
          <w:p/>
        </w:tc>
        <w:tc>
          <w:tcPr>
            <w:tcW w:type="dxa" w:w="9080"/>
            <w:tcBorders>
              <w:top w:val="none" w:color="FFFFFF" w:sz="0"/>
              <w:left w:val="none" w:color="FFFFFF" w:sz="0"/>
              <w:bottom w:val="single" w:color="CCCCCC" w:sz="1"/>
              <w:right w:val="none" w:color="FFFFFF" w:sz="0"/>
            </w:tcBorders>
            <w:shd w:fill="FFFFFF" w:val="clear"/>
            <w:tcMar>
              <w:top w:type="dxa" w:w="120"/>
              <w:left w:type="dxa" w:w="200"/>
              <w:bottom w:type="dxa" w:w="120"/>
              <w:right w:type="dxa" w:w="120"/>
            </w:tcMar>
          </w:tcPr>
          <w:p>
            <w:pPr>
              <w:spacing w:after="40"/>
            </w:pPr>
            <w:r>
              <w:rPr>
                <w:rFonts w:ascii="Arial" w:cs="Arial" w:eastAsia="Arial" w:hAnsi="Arial"/>
                <w:b/>
                <w:bCs/>
                <w:color w:val="185FA5"/>
                <w:spacing w:val="40"/>
                <w:sz w:val="17"/>
                <w:szCs w:val="17"/>
              </w:rPr>
              <w:t xml:space="preserve">FINDING 02</w:t>
            </w:r>
          </w:p>
          <w:p>
            <w:pPr>
              <w:spacing w:after="80"/>
            </w:pPr>
            <w:r>
              <w:rPr>
                <w:rFonts w:ascii="Arial" w:cs="Arial" w:eastAsia="Arial" w:hAnsi="Arial"/>
                <w:b/>
                <w:bCs/>
                <w:color w:val="0C447C"/>
                <w:sz w:val="24"/>
                <w:szCs w:val="24"/>
              </w:rPr>
              <w:t xml:space="preserve">Conversion collapses after the 3rd contact attempt</w:t>
            </w:r>
          </w:p>
          <w:p>
            <w:pPr>
              <w:spacing w:after="60"/>
            </w:pPr>
            <w:r>
              <w:rPr>
                <w:rFonts w:ascii="Arial" w:cs="Arial" w:eastAsia="Arial" w:hAnsi="Arial"/>
                <w:color w:val="444444"/>
                <w:sz w:val="21"/>
                <w:szCs w:val="21"/>
              </w:rPr>
              <w:t xml:space="preserve">Conversion rate starts at 13% on the first contact and declines steadily with each subsequent attempt. By touch 8 or more, conversion falls to just 3%. Every call beyond touch 3 costs agent time and budget while returning almost no additional conversions. This represents a significant and preventable waste.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single" w:color="185FA5" w:sz="12"/>
              <w:bottom w:val="none" w:color="FFFFFF" w:sz="0"/>
              <w:right w:val="none" w:color="FFFFFF" w:sz="0"/>
            </w:tcBorders>
            <w:shd w:fill="E6F1FB" w:val="clear"/>
            <w:tcMar>
              <w:top w:type="dxa" w:w="80"/>
              <w:left w:type="dxa" w:w="80"/>
              <w:bottom w:type="dxa" w:w="80"/>
              <w:right w:type="dxa" w:w="120"/>
            </w:tcMar>
          </w:tcPr>
          <w:p/>
        </w:tc>
        <w:tc>
          <w:tcPr>
            <w:tcW w:type="dxa" w:w="9080"/>
            <w:tcBorders>
              <w:top w:val="none" w:color="FFFFFF" w:sz="0"/>
              <w:left w:val="none" w:color="FFFFFF" w:sz="0"/>
              <w:bottom w:val="single" w:color="CCCCCC" w:sz="1"/>
              <w:right w:val="none" w:color="FFFFFF" w:sz="0"/>
            </w:tcBorders>
            <w:shd w:fill="FFFFFF" w:val="clear"/>
            <w:tcMar>
              <w:top w:type="dxa" w:w="120"/>
              <w:left w:type="dxa" w:w="200"/>
              <w:bottom w:type="dxa" w:w="120"/>
              <w:right w:type="dxa" w:w="120"/>
            </w:tcMar>
          </w:tcPr>
          <w:p>
            <w:pPr>
              <w:spacing w:after="40"/>
            </w:pPr>
            <w:r>
              <w:rPr>
                <w:rFonts w:ascii="Arial" w:cs="Arial" w:eastAsia="Arial" w:hAnsi="Arial"/>
                <w:b/>
                <w:bCs/>
                <w:color w:val="185FA5"/>
                <w:spacing w:val="40"/>
                <w:sz w:val="17"/>
                <w:szCs w:val="17"/>
              </w:rPr>
              <w:t xml:space="preserve">FINDING 03</w:t>
            </w:r>
          </w:p>
          <w:p>
            <w:pPr>
              <w:spacing w:after="80"/>
            </w:pPr>
            <w:r>
              <w:rPr>
                <w:rFonts w:ascii="Arial" w:cs="Arial" w:eastAsia="Arial" w:hAnsi="Arial"/>
                <w:b/>
                <w:bCs/>
                <w:color w:val="0C447C"/>
                <w:sz w:val="24"/>
                <w:szCs w:val="24"/>
              </w:rPr>
              <w:t xml:space="preserve">Call duration is the single strongest predictor of conversion</w:t>
            </w:r>
          </w:p>
          <w:p>
            <w:pPr>
              <w:spacing w:after="60"/>
            </w:pPr>
            <w:r>
              <w:rPr>
                <w:rFonts w:ascii="Arial" w:cs="Arial" w:eastAsia="Arial" w:hAnsi="Arial"/>
                <w:color w:val="444444"/>
                <w:sz w:val="21"/>
                <w:szCs w:val="21"/>
              </w:rPr>
              <w:t xml:space="preserve">No other variable in the dataset predicts conversion as powerfully as how long the call lasts. Calls under one minute convert at 2%. Calls over ten minutes convert at 64% - a 32x difference. Agents who prioritise call volume over call quality are systematically destroying conversion potential across the entire campaign.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single" w:color="185FA5" w:sz="12"/>
              <w:bottom w:val="none" w:color="FFFFFF" w:sz="0"/>
              <w:right w:val="none" w:color="FFFFFF" w:sz="0"/>
            </w:tcBorders>
            <w:shd w:fill="E6F1FB" w:val="clear"/>
            <w:tcMar>
              <w:top w:type="dxa" w:w="80"/>
              <w:left w:type="dxa" w:w="80"/>
              <w:bottom w:type="dxa" w:w="80"/>
              <w:right w:type="dxa" w:w="120"/>
            </w:tcMar>
          </w:tcPr>
          <w:p/>
        </w:tc>
        <w:tc>
          <w:tcPr>
            <w:tcW w:type="dxa" w:w="9080"/>
            <w:tcBorders>
              <w:top w:val="none" w:color="FFFFFF" w:sz="0"/>
              <w:left w:val="none" w:color="FFFFFF" w:sz="0"/>
              <w:bottom w:val="single" w:color="CCCCCC" w:sz="1"/>
              <w:right w:val="none" w:color="FFFFFF" w:sz="0"/>
            </w:tcBorders>
            <w:shd w:fill="FFFFFF" w:val="clear"/>
            <w:tcMar>
              <w:top w:type="dxa" w:w="120"/>
              <w:left w:type="dxa" w:w="200"/>
              <w:bottom w:type="dxa" w:w="120"/>
              <w:right w:type="dxa" w:w="120"/>
            </w:tcMar>
          </w:tcPr>
          <w:p>
            <w:pPr>
              <w:spacing w:after="40"/>
            </w:pPr>
            <w:r>
              <w:rPr>
                <w:rFonts w:ascii="Arial" w:cs="Arial" w:eastAsia="Arial" w:hAnsi="Arial"/>
                <w:b/>
                <w:bCs/>
                <w:color w:val="185FA5"/>
                <w:spacing w:val="40"/>
                <w:sz w:val="17"/>
                <w:szCs w:val="17"/>
              </w:rPr>
              <w:t xml:space="preserve">FINDING 04</w:t>
            </w:r>
          </w:p>
          <w:p>
            <w:pPr>
              <w:spacing w:after="80"/>
            </w:pPr>
            <w:r>
              <w:rPr>
                <w:rFonts w:ascii="Arial" w:cs="Arial" w:eastAsia="Arial" w:hAnsi="Arial"/>
                <w:b/>
                <w:bCs/>
                <w:color w:val="0C447C"/>
                <w:sz w:val="24"/>
                <w:szCs w:val="24"/>
              </w:rPr>
              <w:t xml:space="preserve">High-value demographic segments are under-prioritised</w:t>
            </w:r>
          </w:p>
          <w:p>
            <w:pPr>
              <w:spacing w:after="60"/>
            </w:pPr>
            <w:r>
              <w:rPr>
                <w:rFonts w:ascii="Arial" w:cs="Arial" w:eastAsia="Arial" w:hAnsi="Arial"/>
                <w:color w:val="444444"/>
                <w:sz w:val="21"/>
                <w:szCs w:val="21"/>
              </w:rPr>
              <w:t xml:space="preserve">Customers aged 55 and above convert at 18%, and university-educated customers convert at 14% - both well above the 10.9% overall average. These profiles are not currently surfaced first in outreach queues, meaning the highest-converting prospects receive the same priority as the lowest.</w:t>
            </w:r>
          </w:p>
        </w:tc>
      </w:tr>
    </w:tbl>
    <w:p>
      <w:pPr>
        <w:spacing w:after="0" w:before="280"/>
      </w:pPr>
    </w:p>
    <w:p>
      <w:pPr>
        <w:pStyle w:val="Heading1"/>
      </w:pPr>
      <w:r>
        <w:rPr>
          <w:rFonts w:ascii="Arial" w:cs="Arial" w:eastAsia="Arial" w:hAnsi="Arial"/>
          <w:b/>
          <w:bCs/>
          <w:color w:val="0C447C"/>
          <w:sz w:val="40"/>
          <w:szCs w:val="40"/>
        </w:rPr>
        <w:t xml:space="preserve">Channel Performance</w:t>
      </w:r>
    </w:p>
    <w:p>
      <w:pPr>
        <w:pBdr>
          <w:bottom w:val="single" w:color="185FA5" w:sz="6" w:space="1"/>
        </w:pBdr>
        <w:spacing w:after="200" w:before="200"/>
      </w:pPr>
    </w:p>
    <w:p>
      <w:pPr>
        <w:spacing w:after="80" w:before="120"/>
      </w:pPr>
      <w:r>
        <w:rPr>
          <w:rFonts w:ascii="Arial" w:cs="Arial" w:eastAsia="Arial" w:hAnsi="Arial"/>
          <w:b w:val="false"/>
          <w:bCs w:val="false"/>
          <w:color w:val="333333"/>
          <w:sz w:val="22"/>
          <w:szCs w:val="22"/>
        </w:rPr>
        <w:t xml:space="preserve">Cellular contact consistently outperforms telephone by nearly 3x. This is the single fastest lever available - requiring no product changes, no script rewrites, and no new hires.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Contact Method</w:t>
            </w:r>
          </w:p>
        </w:tc>
        <w:tc>
          <w:tcPr>
            <w:tcW w:type="dxa" w:w="25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Conversion Rate</w:t>
            </w:r>
          </w:p>
        </w:tc>
        <w:tc>
          <w:tcPr>
            <w:tcW w:type="dxa" w:w="25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vs Overall Average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Cellular</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14.7%</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B6D11"/>
                <w:sz w:val="20"/>
                <w:szCs w:val="20"/>
              </w:rPr>
              <w:t xml:space="preserve">+35% above average</w:t>
            </w:r>
          </w:p>
        </w:tc>
      </w:tr>
      <w:tr>
        <w:tc>
          <w:tcPr>
            <w:tcW w:type="dxa" w:w="4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Telephone</w:t>
            </w:r>
          </w:p>
        </w:tc>
        <w:tc>
          <w:tcPr>
            <w:tcW w:type="dxa" w:w="2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E24B4A"/>
                <w:sz w:val="20"/>
                <w:szCs w:val="20"/>
              </w:rPr>
              <w:t xml:space="preserve">4.9%</w:t>
            </w:r>
          </w:p>
        </w:tc>
        <w:tc>
          <w:tcPr>
            <w:tcW w:type="dxa" w:w="2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E24B4A"/>
                <w:sz w:val="20"/>
                <w:szCs w:val="20"/>
              </w:rPr>
              <w:t xml:space="preserve">-55% below average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Gap (Cellular advantage)</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C447C"/>
                <w:sz w:val="20"/>
                <w:szCs w:val="20"/>
              </w:rPr>
              <w:t xml:space="preserve">~3x uplift</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
            </w:r>
          </w:p>
        </w:tc>
      </w:tr>
    </w:tbl>
    <w:p>
      <w:pPr>
        <w:spacing w:after="0" w:before="200"/>
      </w:pPr>
    </w:p>
    <w:p>
      <w:pPr>
        <w:pStyle w:val="Heading1"/>
      </w:pPr>
      <w:r>
        <w:rPr>
          <w:rFonts w:ascii="Arial" w:cs="Arial" w:eastAsia="Arial" w:hAnsi="Arial"/>
          <w:b/>
          <w:bCs/>
          <w:color w:val="0C447C"/>
          <w:sz w:val="40"/>
          <w:szCs w:val="40"/>
        </w:rPr>
        <w:t xml:space="preserve">Contact Frequency Analysis</w:t>
      </w:r>
    </w:p>
    <w:p>
      <w:pPr>
        <w:pBdr>
          <w:bottom w:val="single" w:color="185FA5" w:sz="6" w:space="1"/>
        </w:pBdr>
        <w:spacing w:after="200" w:before="200"/>
      </w:pPr>
    </w:p>
    <w:p>
      <w:pPr>
        <w:spacing w:after="80" w:before="120"/>
      </w:pPr>
      <w:r>
        <w:rPr>
          <w:rFonts w:ascii="Arial" w:cs="Arial" w:eastAsia="Arial" w:hAnsi="Arial"/>
          <w:b w:val="false"/>
          <w:bCs w:val="false"/>
          <w:color w:val="333333"/>
          <w:sz w:val="22"/>
          <w:szCs w:val="22"/>
        </w:rPr>
        <w:t xml:space="preserve">Conversion returns diminish rapidly beyond the 3rd contact attempt. The data makes a clear case for a hard cap on campaign touches to eliminate wasted agent time and budget.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Contact Attempts</w:t>
            </w:r>
          </w:p>
        </w:tc>
        <w:tc>
          <w:tcPr>
            <w:tcW w:type="dxa" w:w="28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Conversion Rate</w:t>
            </w:r>
          </w:p>
        </w:tc>
        <w:tc>
          <w:tcPr>
            <w:tcW w:type="dxa" w:w="28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Trend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1st contact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13%</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Strong start</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2nd contact</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12%</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Slight decline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3rd contact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33333"/>
                <w:sz w:val="20"/>
                <w:szCs w:val="20"/>
              </w:rPr>
              <w:t xml:space="preserve">11%</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185FA5"/>
                <w:sz w:val="20"/>
                <w:szCs w:val="20"/>
              </w:rPr>
              <w:t xml:space="preserve">Recommended cut-off</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4th contact</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9%</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Diminishing returns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5th contact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Declining</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6th contact</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6%</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Declining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7th contact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Marginal</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E24B4A"/>
                <w:sz w:val="20"/>
                <w:szCs w:val="20"/>
              </w:rPr>
              <w:t xml:space="preserve">8th+ contact</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E24B4A"/>
                <w:sz w:val="20"/>
                <w:szCs w:val="20"/>
              </w:rPr>
              <w:t xml:space="preserve">3%</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E24B4A"/>
                <w:sz w:val="20"/>
                <w:szCs w:val="20"/>
              </w:rPr>
              <w:t xml:space="preserve">Budget waste zone</w:t>
            </w:r>
          </w:p>
        </w:tc>
      </w:tr>
    </w:tbl>
    <w:p>
      <w:pPr>
        <w:spacing w:after="0" w:before="200"/>
      </w:pPr>
    </w:p>
    <w:p>
      <w:pPr>
        <w:pStyle w:val="Heading1"/>
      </w:pPr>
      <w:r>
        <w:rPr>
          <w:rFonts w:ascii="Arial" w:cs="Arial" w:eastAsia="Arial" w:hAnsi="Arial"/>
          <w:b/>
          <w:bCs/>
          <w:color w:val="0C447C"/>
          <w:sz w:val="40"/>
          <w:szCs w:val="40"/>
        </w:rPr>
        <w:t xml:space="preserve">Call Duration Analysis</w:t>
      </w:r>
    </w:p>
    <w:p>
      <w:pPr>
        <w:pBdr>
          <w:bottom w:val="single" w:color="185FA5" w:sz="6" w:space="1"/>
        </w:pBdr>
        <w:spacing w:after="200" w:before="200"/>
      </w:pPr>
    </w:p>
    <w:p>
      <w:pPr>
        <w:spacing w:after="80" w:before="120"/>
      </w:pPr>
      <w:r>
        <w:rPr>
          <w:rFonts w:ascii="Arial" w:cs="Arial" w:eastAsia="Arial" w:hAnsi="Arial"/>
          <w:b w:val="false"/>
          <w:bCs w:val="false"/>
          <w:color w:val="333333"/>
          <w:sz w:val="22"/>
          <w:szCs w:val="22"/>
        </w:rPr>
        <w:t xml:space="preserve">Call duration is the strongest single predictor of conversion in the entire dataset. There is a 32x difference in conversion rate between calls under 1 minute and calls over 10 minutes.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4080"/>
      </w:tblGrid>
      <w:tr>
        <w:trPr>
          <w:tblHeader/>
        </w:trPr>
        <w:tc>
          <w:tcPr>
            <w:tcW w:type="dxa" w:w="30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Call Duration</w:t>
            </w:r>
          </w:p>
        </w:tc>
        <w:tc>
          <w:tcPr>
            <w:tcW w:type="dxa" w:w="22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Conversion Rate</w:t>
            </w:r>
          </w:p>
        </w:tc>
        <w:tc>
          <w:tcPr>
            <w:tcW w:type="dxa" w:w="40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Relative Performance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E24B4A"/>
                <w:sz w:val="20"/>
                <w:szCs w:val="20"/>
              </w:rPr>
              <w:t xml:space="preserve">Under 1 minute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E24B4A"/>
                <w:sz w:val="20"/>
                <w:szCs w:val="20"/>
              </w:rP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E24B4A"/>
                <w:sz w:val="20"/>
                <w:szCs w:val="20"/>
              </w:rPr>
              <w:t xml:space="preserve">Lowest - extend or reschedule call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1 to 3 minutes</w:t>
            </w:r>
          </w:p>
        </w:tc>
        <w:tc>
          <w:tcPr>
            <w:tcW w:type="dxa" w:w="2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5%</w:t>
            </w:r>
          </w:p>
        </w:tc>
        <w:tc>
          <w:tcPr>
            <w:tcW w:type="dxa" w:w="4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Below average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3 to 5 minutes</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33333"/>
                <w:sz w:val="20"/>
                <w:szCs w:val="20"/>
              </w:rPr>
              <w:t xml:space="preserve">18%</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Above average - target minimum</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5 to 10 minutes</w:t>
            </w:r>
          </w:p>
        </w:tc>
        <w:tc>
          <w:tcPr>
            <w:tcW w:type="dxa" w:w="2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185FA5"/>
                <w:sz w:val="20"/>
                <w:szCs w:val="20"/>
              </w:rPr>
              <w:t xml:space="preserve">39%</w:t>
            </w:r>
          </w:p>
        </w:tc>
        <w:tc>
          <w:tcPr>
            <w:tcW w:type="dxa" w:w="4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High performance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10 minutes or more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64%</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Peak - 32x above under-1-min rate</w:t>
            </w:r>
          </w:p>
        </w:tc>
      </w:tr>
    </w:tbl>
    <w:p>
      <w:pPr>
        <w:spacing w:after="0" w:before="200"/>
      </w:pPr>
    </w:p>
    <w:p>
      <w:pPr>
        <w:pStyle w:val="Heading1"/>
      </w:pPr>
      <w:r>
        <w:rPr>
          <w:rFonts w:ascii="Arial" w:cs="Arial" w:eastAsia="Arial" w:hAnsi="Arial"/>
          <w:b/>
          <w:bCs/>
          <w:color w:val="0C447C"/>
          <w:sz w:val="40"/>
          <w:szCs w:val="40"/>
        </w:rPr>
        <w:t xml:space="preserve">Customer Segmentation</w:t>
      </w:r>
    </w:p>
    <w:p>
      <w:pPr>
        <w:pBdr>
          <w:bottom w:val="single" w:color="185FA5" w:sz="6" w:space="1"/>
        </w:pBdr>
        <w:spacing w:after="200" w:before="200"/>
      </w:pPr>
    </w:p>
    <w:p>
      <w:pPr>
        <w:spacing w:after="80" w:before="120"/>
      </w:pPr>
      <w:r>
        <w:rPr>
          <w:rFonts w:ascii="Arial" w:cs="Arial" w:eastAsia="Arial" w:hAnsi="Arial"/>
          <w:b w:val="false"/>
          <w:bCs w:val="false"/>
          <w:color w:val="333333"/>
          <w:sz w:val="22"/>
          <w:szCs w:val="22"/>
        </w:rPr>
        <w:t xml:space="preserve">Conversion rates vary significantly across demographic segments, creating a clear prioritisation opportunity for lead scoring and targeting.</w:t>
      </w:r>
    </w:p>
    <w:p>
      <w:pPr>
        <w:spacing w:after="0" w:before="120"/>
      </w:pPr>
    </w:p>
    <w:p>
      <w:pPr>
        <w:pStyle w:val="Heading2"/>
      </w:pPr>
      <w:r>
        <w:rPr>
          <w:rFonts w:ascii="Arial" w:cs="Arial" w:eastAsia="Arial" w:hAnsi="Arial"/>
          <w:b/>
          <w:bCs/>
          <w:color w:val="0C447C"/>
          <w:sz w:val="28"/>
          <w:szCs w:val="28"/>
        </w:rPr>
        <w:t xml:space="preserve">Conversion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4080"/>
      </w:tblGrid>
      <w:tr>
        <w:trPr>
          <w:tblHeader/>
        </w:trPr>
        <w:tc>
          <w:tcPr>
            <w:tcW w:type="dxa" w:w="30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Age Group</w:t>
            </w:r>
          </w:p>
        </w:tc>
        <w:tc>
          <w:tcPr>
            <w:tcW w:type="dxa" w:w="22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Conversion Rate</w:t>
            </w:r>
          </w:p>
        </w:tc>
        <w:tc>
          <w:tcPr>
            <w:tcW w:type="dxa" w:w="40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vs Overall Average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Under 25</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14%</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B6D11"/>
                <w:sz w:val="20"/>
                <w:szCs w:val="20"/>
              </w:rPr>
              <w:t xml:space="preserve">+28% above average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25 to 35</w:t>
            </w:r>
          </w:p>
        </w:tc>
        <w:tc>
          <w:tcPr>
            <w:tcW w:type="dxa" w:w="2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12%</w:t>
            </w:r>
          </w:p>
        </w:tc>
        <w:tc>
          <w:tcPr>
            <w:tcW w:type="dxa" w:w="4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B6D11"/>
                <w:sz w:val="20"/>
                <w:szCs w:val="20"/>
              </w:rPr>
              <w:t xml:space="preserve">+10% above average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35 to 45</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9%</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E24B4A"/>
                <w:sz w:val="20"/>
                <w:szCs w:val="20"/>
              </w:rPr>
              <w:t xml:space="preserve">-17% below average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45 to 55</w:t>
            </w:r>
          </w:p>
        </w:tc>
        <w:tc>
          <w:tcPr>
            <w:tcW w:type="dxa" w:w="2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10%</w:t>
            </w:r>
          </w:p>
        </w:tc>
        <w:tc>
          <w:tcPr>
            <w:tcW w:type="dxa" w:w="4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Near average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55 and above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18%</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+65% above avg - highest segment</w:t>
            </w:r>
          </w:p>
        </w:tc>
      </w:tr>
    </w:tbl>
    <w:p>
      <w:pPr>
        <w:spacing w:after="0" w:before="180"/>
      </w:pPr>
    </w:p>
    <w:p>
      <w:pPr>
        <w:pStyle w:val="Heading2"/>
      </w:pPr>
      <w:r>
        <w:rPr>
          <w:rFonts w:ascii="Arial" w:cs="Arial" w:eastAsia="Arial" w:hAnsi="Arial"/>
          <w:b/>
          <w:bCs/>
          <w:color w:val="0C447C"/>
          <w:sz w:val="28"/>
          <w:szCs w:val="28"/>
        </w:rPr>
        <w:t xml:space="preserve">Conversion by Education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4080"/>
      </w:tblGrid>
      <w:tr>
        <w:trPr>
          <w:tblHeader/>
        </w:trPr>
        <w:tc>
          <w:tcPr>
            <w:tcW w:type="dxa" w:w="30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Education Level</w:t>
            </w:r>
          </w:p>
        </w:tc>
        <w:tc>
          <w:tcPr>
            <w:tcW w:type="dxa" w:w="22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Conversion Rate</w:t>
            </w:r>
          </w:p>
        </w:tc>
        <w:tc>
          <w:tcPr>
            <w:tcW w:type="dxa" w:w="408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vs Overall Average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Basic 4 years</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7%</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E24B4A"/>
                <w:sz w:val="20"/>
                <w:szCs w:val="20"/>
              </w:rPr>
              <w:t xml:space="preserve">-36% below average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Basic 6 years</w:t>
            </w:r>
          </w:p>
        </w:tc>
        <w:tc>
          <w:tcPr>
            <w:tcW w:type="dxa" w:w="2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9%</w:t>
            </w:r>
          </w:p>
        </w:tc>
        <w:tc>
          <w:tcPr>
            <w:tcW w:type="dxa" w:w="4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E24B4A"/>
                <w:sz w:val="20"/>
                <w:szCs w:val="20"/>
              </w:rPr>
              <w:t xml:space="preserve">-17% below average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Basic 9 years</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9%</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E24B4A"/>
                <w:sz w:val="20"/>
                <w:szCs w:val="20"/>
              </w:rPr>
              <w:t xml:space="preserve">-17% below average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High School</w:t>
            </w:r>
          </w:p>
        </w:tc>
        <w:tc>
          <w:tcPr>
            <w:tcW w:type="dxa" w:w="2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11%</w:t>
            </w:r>
          </w:p>
        </w:tc>
        <w:tc>
          <w:tcPr>
            <w:tcW w:type="dxa" w:w="4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Near average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University Degree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14%</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+28% above avg - double basic edu rate</w:t>
            </w:r>
          </w:p>
        </w:tc>
      </w:tr>
    </w:tbl>
    <w:p>
      <w:pPr>
        <w:spacing w:after="0" w:before="280"/>
      </w:pPr>
    </w:p>
    <w:p>
      <w:pPr>
        <w:pStyle w:val="Heading1"/>
      </w:pPr>
      <w:r>
        <w:rPr>
          <w:rFonts w:ascii="Arial" w:cs="Arial" w:eastAsia="Arial" w:hAnsi="Arial"/>
          <w:b/>
          <w:bCs/>
          <w:color w:val="0C447C"/>
          <w:sz w:val="40"/>
          <w:szCs w:val="40"/>
        </w:rPr>
        <w:t xml:space="preserve">Recommendations</w:t>
      </w:r>
    </w:p>
    <w:p>
      <w:pPr>
        <w:pBdr>
          <w:bottom w:val="single" w:color="185FA5" w:sz="6" w:space="1"/>
        </w:pBdr>
        <w:spacing w:after="200" w:before="200"/>
      </w:pPr>
    </w:p>
    <w:p>
      <w:pPr>
        <w:spacing w:after="80" w:before="120"/>
      </w:pPr>
      <w:r>
        <w:rPr>
          <w:rFonts w:ascii="Arial" w:cs="Arial" w:eastAsia="Arial" w:hAnsi="Arial"/>
          <w:b w:val="false"/>
          <w:bCs w:val="false"/>
          <w:color w:val="333333"/>
          <w:sz w:val="22"/>
          <w:szCs w:val="22"/>
        </w:rPr>
        <w:t xml:space="preserve">Four targeted actions that collectively address all major funnel inefficiencies identified in this analysis.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40"/>
              <w:left w:type="dxa" w:w="200"/>
              <w:bottom w:type="dxa" w:w="140"/>
              <w:right w:type="dxa" w:w="200"/>
            </w:tcMar>
          </w:tcPr>
          <w:p>
            <w:pPr>
              <w:spacing w:after="80"/>
            </w:pPr>
            <w:r>
              <w:rPr>
                <w:rFonts w:ascii="Arial" w:cs="Arial" w:eastAsia="Arial" w:hAnsi="Arial"/>
                <w:color w:val="185FA5"/>
                <w:sz w:val="24"/>
                <w:szCs w:val="24"/>
              </w:rPr>
              <w:t xml:space="preserve">1.  </w:t>
            </w:r>
            <w:r>
              <w:rPr>
                <w:rFonts w:ascii="Arial" w:cs="Arial" w:eastAsia="Arial" w:hAnsi="Arial"/>
                <w:b/>
                <w:bCs/>
                <w:color w:val="0C447C"/>
                <w:sz w:val="24"/>
                <w:szCs w:val="24"/>
              </w:rPr>
              <w:t xml:space="preserve">Reallocate 80% of outreach budget to cellular contacts</w:t>
            </w:r>
          </w:p>
          <w:p>
            <w:pPr>
              <w:spacing w:after="100"/>
            </w:pPr>
            <w:r>
              <w:rPr>
                <w:rFonts w:ascii="Arial" w:cs="Arial" w:eastAsia="Arial" w:hAnsi="Arial"/>
                <w:color w:val="444444"/>
                <w:sz w:val="21"/>
                <w:szCs w:val="21"/>
              </w:rPr>
              <w:t xml:space="preserve">Cellular contacts outperform telephone contacts by nearly 3x. Shifting budget allocation to cellular is the fastest available action to improve overall conversion rate without changing any other part of the campaign. Target: all outreach planning and budget allocation. Timeline: implement within 2 weeks.</w:t>
            </w:r>
          </w:p>
          <w:p>
            <w:r>
              <w:rPr>
                <w:rFonts w:ascii="Arial" w:cs="Arial" w:eastAsia="Arial" w:hAnsi="Arial"/>
                <w:b/>
                <w:bCs/>
                <w:color w:val="3B6D11"/>
                <w:sz w:val="19"/>
                <w:szCs w:val="19"/>
              </w:rPr>
              <w:t xml:space="preserve">  Estimated impact: +EUR 120,000 estimated annual impact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40"/>
              <w:left w:type="dxa" w:w="200"/>
              <w:bottom w:type="dxa" w:w="140"/>
              <w:right w:type="dxa" w:w="200"/>
            </w:tcMar>
          </w:tcPr>
          <w:p>
            <w:pPr>
              <w:spacing w:after="80"/>
            </w:pPr>
            <w:r>
              <w:rPr>
                <w:rFonts w:ascii="Arial" w:cs="Arial" w:eastAsia="Arial" w:hAnsi="Arial"/>
                <w:color w:val="185FA5"/>
                <w:sz w:val="24"/>
                <w:szCs w:val="24"/>
              </w:rPr>
              <w:t xml:space="preserve">2.  </w:t>
            </w:r>
            <w:r>
              <w:rPr>
                <w:rFonts w:ascii="Arial" w:cs="Arial" w:eastAsia="Arial" w:hAnsi="Arial"/>
                <w:b/>
                <w:bCs/>
                <w:color w:val="0C447C"/>
                <w:sz w:val="24"/>
                <w:szCs w:val="24"/>
              </w:rPr>
              <w:t xml:space="preserve">Hard-cap all campaigns at 3 contact attempts</w:t>
            </w:r>
          </w:p>
          <w:p>
            <w:pPr>
              <w:spacing w:after="100"/>
            </w:pPr>
            <w:r>
              <w:rPr>
                <w:rFonts w:ascii="Arial" w:cs="Arial" w:eastAsia="Arial" w:hAnsi="Arial"/>
                <w:color w:val="444444"/>
                <w:sz w:val="21"/>
                <w:szCs w:val="21"/>
              </w:rPr>
              <w:t xml:space="preserve">Conversion rate drops from 11% at touch 3 to 3% at touch 8 or more. Update CRM rules to automatically close leads after 3 unsuccessful contact attempts and redirect saved agent time to first-touch quality preparation on new leads. Timeline: implement this week.</w:t>
            </w:r>
          </w:p>
          <w:p>
            <w:r>
              <w:rPr>
                <w:rFonts w:ascii="Arial" w:cs="Arial" w:eastAsia="Arial" w:hAnsi="Arial"/>
                <w:b/>
                <w:bCs/>
                <w:color w:val="3B6D11"/>
                <w:sz w:val="19"/>
                <w:szCs w:val="19"/>
              </w:rPr>
              <w:t xml:space="preserve">  Estimated impact: +EUR 80,000 to 120,000 estimated annual saving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40"/>
              <w:left w:type="dxa" w:w="200"/>
              <w:bottom w:type="dxa" w:w="140"/>
              <w:right w:type="dxa" w:w="200"/>
            </w:tcMar>
          </w:tcPr>
          <w:p>
            <w:pPr>
              <w:spacing w:after="80"/>
            </w:pPr>
            <w:r>
              <w:rPr>
                <w:rFonts w:ascii="Arial" w:cs="Arial" w:eastAsia="Arial" w:hAnsi="Arial"/>
                <w:color w:val="185FA5"/>
                <w:sz w:val="24"/>
                <w:szCs w:val="24"/>
              </w:rPr>
              <w:t xml:space="preserve">3.  </w:t>
            </w:r>
            <w:r>
              <w:rPr>
                <w:rFonts w:ascii="Arial" w:cs="Arial" w:eastAsia="Arial" w:hAnsi="Arial"/>
                <w:b/>
                <w:bCs/>
                <w:color w:val="0C447C"/>
                <w:sz w:val="24"/>
                <w:szCs w:val="24"/>
              </w:rPr>
              <w:t xml:space="preserve">Invest in discovery conversation training for all agents</w:t>
            </w:r>
          </w:p>
          <w:p>
            <w:pPr>
              <w:spacing w:after="100"/>
            </w:pPr>
            <w:r>
              <w:rPr>
                <w:rFonts w:ascii="Arial" w:cs="Arial" w:eastAsia="Arial" w:hAnsi="Arial"/>
                <w:color w:val="444444"/>
                <w:sz w:val="21"/>
                <w:szCs w:val="21"/>
              </w:rPr>
              <w:t xml:space="preserve">Call duration is the single strongest conversion predictor in the entire dataset. Moving average call duration from 3 minutes to 10+ minutes represents a conversion rate improvement from 18% to 64%. Training should focus on discovery questioning techniques that extend conversations by uncovering customer needs, not leading with product pitches. Timeline: implement in Q3 2026.</w:t>
            </w:r>
          </w:p>
          <w:p>
            <w:r>
              <w:rPr>
                <w:rFonts w:ascii="Arial" w:cs="Arial" w:eastAsia="Arial" w:hAnsi="Arial"/>
                <w:b/>
                <w:bCs/>
                <w:color w:val="3B6D11"/>
                <w:sz w:val="19"/>
                <w:szCs w:val="19"/>
              </w:rPr>
              <w:t xml:space="preserve">  Estimated impact: +EUR 90,000 to 140,000 estimated annual impact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40"/>
              <w:left w:type="dxa" w:w="200"/>
              <w:bottom w:type="dxa" w:w="140"/>
              <w:right w:type="dxa" w:w="200"/>
            </w:tcMar>
          </w:tcPr>
          <w:p>
            <w:pPr>
              <w:spacing w:after="80"/>
            </w:pPr>
            <w:r>
              <w:rPr>
                <w:rFonts w:ascii="Arial" w:cs="Arial" w:eastAsia="Arial" w:hAnsi="Arial"/>
                <w:color w:val="185FA5"/>
                <w:sz w:val="24"/>
                <w:szCs w:val="24"/>
              </w:rPr>
              <w:t xml:space="preserve">4.  </w:t>
            </w:r>
            <w:r>
              <w:rPr>
                <w:rFonts w:ascii="Arial" w:cs="Arial" w:eastAsia="Arial" w:hAnsi="Arial"/>
                <w:b/>
                <w:bCs/>
                <w:color w:val="0C447C"/>
                <w:sz w:val="24"/>
                <w:szCs w:val="24"/>
              </w:rPr>
              <w:t xml:space="preserve">Build lead scoring to prioritise 55+ and university-educated segments</w:t>
            </w:r>
          </w:p>
          <w:p>
            <w:pPr>
              <w:spacing w:after="100"/>
            </w:pPr>
            <w:r>
              <w:rPr>
                <w:rFonts w:ascii="Arial" w:cs="Arial" w:eastAsia="Arial" w:hAnsi="Arial"/>
                <w:color w:val="444444"/>
                <w:sz w:val="21"/>
                <w:szCs w:val="21"/>
              </w:rPr>
              <w:t xml:space="preserve">Customers aged 55 and above convert at 18% and university-educated customers at 14% - both well above the 10.9% average. A lead scoring model ensures agents spend high-quality conversation time on the highest-converting prospects. Timeline: implement within 30 days.</w:t>
            </w:r>
          </w:p>
          <w:p>
            <w:r>
              <w:rPr>
                <w:rFonts w:ascii="Arial" w:cs="Arial" w:eastAsia="Arial" w:hAnsi="Arial"/>
                <w:b/>
                <w:bCs/>
                <w:color w:val="3B6D11"/>
                <w:sz w:val="19"/>
                <w:szCs w:val="19"/>
              </w:rPr>
              <w:t xml:space="preserve">  Estimated impact: +EUR 60,000 to 110,000 estimated annual impact  </w:t>
            </w:r>
          </w:p>
        </w:tc>
      </w:tr>
    </w:tbl>
    <w:p>
      <w:pPr>
        <w:spacing w:after="0" w:before="280"/>
      </w:pPr>
    </w:p>
    <w:p>
      <w:pPr>
        <w:pStyle w:val="Heading1"/>
      </w:pPr>
      <w:r>
        <w:rPr>
          <w:rFonts w:ascii="Arial" w:cs="Arial" w:eastAsia="Arial" w:hAnsi="Arial"/>
          <w:b/>
          <w:bCs/>
          <w:color w:val="0C447C"/>
          <w:sz w:val="40"/>
          <w:szCs w:val="40"/>
        </w:rPr>
        <w:t xml:space="preserve">Financial Impact Projection</w:t>
      </w:r>
    </w:p>
    <w:p>
      <w:pPr>
        <w:pBdr>
          <w:bottom w:val="single" w:color="185FA5" w:sz="6" w:space="1"/>
        </w:pBdr>
        <w:spacing w:after="200" w:before="200"/>
      </w:pPr>
    </w:p>
    <w:p>
      <w:pPr>
        <w:spacing w:after="80" w:before="120"/>
      </w:pPr>
      <w:r>
        <w:rPr>
          <w:rFonts w:ascii="Arial" w:cs="Arial" w:eastAsia="Arial" w:hAnsi="Arial"/>
          <w:b w:val="false"/>
          <w:bCs w:val="false"/>
          <w:color w:val="333333"/>
          <w:sz w:val="22"/>
          <w:szCs w:val="22"/>
        </w:rPr>
        <w:t xml:space="preserve">If all four recommendations are implemented, the combined estimated annual impact ranges from EUR 350,000 to EUR 550,000. Full ROI on the recommended programme is achievable within 90 days of implementation.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Recommendation</w:t>
            </w:r>
          </w:p>
        </w:tc>
        <w:tc>
          <w:tcPr>
            <w:tcW w:type="dxa" w:w="36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Estimated Annual Impact</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Reallocate budget to cellular contacts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+EUR 120,000</w:t>
            </w:r>
          </w:p>
        </w:tc>
      </w:tr>
      <w:tr>
        <w:tc>
          <w:tcPr>
            <w:tcW w:type="dxa" w:w="5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Hard-cap campaigns at 3 touches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+EUR 80,000 to 120,000</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Discovery conversation training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+EUR 90,000 to 140,000</w:t>
            </w:r>
          </w:p>
        </w:tc>
      </w:tr>
      <w:tr>
        <w:tc>
          <w:tcPr>
            <w:tcW w:type="dxa" w:w="5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Prioritise high-converting segments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+EUR 60,000 to 110,000</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Total combined impact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C447C"/>
                <w:sz w:val="20"/>
                <w:szCs w:val="20"/>
              </w:rPr>
              <w:t xml:space="preserve">EUR 350,000 to 550,000</w:t>
            </w:r>
          </w:p>
        </w:tc>
      </w:tr>
    </w:tbl>
    <w:p>
      <w:pPr>
        <w:spacing w:after="0" w:before="280"/>
      </w:pPr>
    </w:p>
    <w:p>
      <w:pPr>
        <w:pStyle w:val="Heading1"/>
      </w:pPr>
      <w:r>
        <w:rPr>
          <w:rFonts w:ascii="Arial" w:cs="Arial" w:eastAsia="Arial" w:hAnsi="Arial"/>
          <w:b/>
          <w:bCs/>
          <w:color w:val="0C447C"/>
          <w:sz w:val="40"/>
          <w:szCs w:val="40"/>
        </w:rPr>
        <w:t xml:space="preserve">Methodology</w:t>
      </w:r>
    </w:p>
    <w:p>
      <w:pPr>
        <w:pBdr>
          <w:bottom w:val="single" w:color="185FA5" w:sz="6" w:space="1"/>
        </w:pBdr>
        <w:spacing w:after="200" w:before="200"/>
      </w:pPr>
    </w:p>
    <w:p>
      <w:pPr>
        <w:spacing w:after="80" w:before="120"/>
      </w:pPr>
      <w:r>
        <w:rPr>
          <w:rFonts w:ascii="Arial" w:cs="Arial" w:eastAsia="Arial" w:hAnsi="Arial"/>
          <w:b w:val="false"/>
          <w:bCs w:val="false"/>
          <w:color w:val="333333"/>
          <w:sz w:val="22"/>
          <w:szCs w:val="22"/>
        </w:rPr>
        <w:t xml:space="preserve">The analysis follows a five-stage pipeline designed to mirror real marketing analytics work.</w:t>
      </w:r>
    </w:p>
    <w:p>
      <w:pPr>
        <w:spacing w:after="0" w:before="80"/>
      </w:pPr>
    </w:p>
    <w:p>
      <w:pPr>
        <w:pStyle w:val="ListParagraph"/>
        <w:numPr>
          <w:ilvl w:val="0"/>
          <w:numId w:val="2"/>
        </w:numPr>
        <w:spacing w:after="60" w:before="60"/>
      </w:pPr>
      <w:r>
        <w:rPr>
          <w:rFonts w:ascii="Arial" w:cs="Arial" w:eastAsia="Arial" w:hAnsi="Arial"/>
          <w:b/>
          <w:bCs/>
          <w:color w:val="0C447C"/>
          <w:sz w:val="22"/>
          <w:szCs w:val="22"/>
        </w:rPr>
        <w:t xml:space="preserve">Stage 1 - </w:t>
      </w:r>
      <w:r>
        <w:rPr>
          <w:rFonts w:ascii="Arial" w:cs="Arial" w:eastAsia="Arial" w:hAnsi="Arial"/>
          <w:color w:val="333333"/>
          <w:sz w:val="22"/>
          <w:szCs w:val="22"/>
        </w:rPr>
        <w:t xml:space="preserve">Data Loading and Cleaning: Loaded the semicolon-delimited CSV and inspected all 20 columns. Converted the target variable from yes/no string to binary integer. No rows were dropped - the dataset was complete.</w:t>
      </w:r>
    </w:p>
    <w:p>
      <w:pPr>
        <w:pStyle w:val="ListParagraph"/>
        <w:numPr>
          <w:ilvl w:val="0"/>
          <w:numId w:val="2"/>
        </w:numPr>
        <w:spacing w:after="60" w:before="60"/>
      </w:pPr>
      <w:r>
        <w:rPr>
          <w:rFonts w:ascii="Arial" w:cs="Arial" w:eastAsia="Arial" w:hAnsi="Arial"/>
          <w:b/>
          <w:bCs/>
          <w:color w:val="0C447C"/>
          <w:sz w:val="22"/>
          <w:szCs w:val="22"/>
        </w:rPr>
        <w:t xml:space="preserve">Stage 2 - </w:t>
      </w:r>
      <w:r>
        <w:rPr>
          <w:rFonts w:ascii="Arial" w:cs="Arial" w:eastAsia="Arial" w:hAnsi="Arial"/>
          <w:color w:val="333333"/>
          <w:sz w:val="22"/>
          <w:szCs w:val="22"/>
        </w:rPr>
        <w:t xml:space="preserve">Overall Funnel Metrics: Calculated total contacts, conversions, conversion rate, and drop-off rate. Compared against the 8.1% industry benchmark for direct marketing campaigns.</w:t>
      </w:r>
    </w:p>
    <w:p>
      <w:pPr>
        <w:pStyle w:val="ListParagraph"/>
        <w:numPr>
          <w:ilvl w:val="0"/>
          <w:numId w:val="2"/>
        </w:numPr>
        <w:spacing w:after="60" w:before="60"/>
      </w:pPr>
      <w:r>
        <w:rPr>
          <w:rFonts w:ascii="Arial" w:cs="Arial" w:eastAsia="Arial" w:hAnsi="Arial"/>
          <w:b/>
          <w:bCs/>
          <w:color w:val="0C447C"/>
          <w:sz w:val="22"/>
          <w:szCs w:val="22"/>
        </w:rPr>
        <w:t xml:space="preserve">Stage 3 - </w:t>
      </w:r>
      <w:r>
        <w:rPr>
          <w:rFonts w:ascii="Arial" w:cs="Arial" w:eastAsia="Arial" w:hAnsi="Arial"/>
          <w:color w:val="333333"/>
          <w:sz w:val="22"/>
          <w:szCs w:val="22"/>
        </w:rPr>
        <w:t xml:space="preserve">Channel and Contact Frequency Analysis: Grouped conversion rates by contact method (cellular vs telephone) and analysed conversion across campaign contact attempts to identify diminishing returns.</w:t>
      </w:r>
    </w:p>
    <w:p>
      <w:pPr>
        <w:pStyle w:val="ListParagraph"/>
        <w:numPr>
          <w:ilvl w:val="0"/>
          <w:numId w:val="2"/>
        </w:numPr>
        <w:spacing w:after="60" w:before="60"/>
      </w:pPr>
      <w:r>
        <w:rPr>
          <w:rFonts w:ascii="Arial" w:cs="Arial" w:eastAsia="Arial" w:hAnsi="Arial"/>
          <w:b/>
          <w:bCs/>
          <w:color w:val="0C447C"/>
          <w:sz w:val="22"/>
          <w:szCs w:val="22"/>
        </w:rPr>
        <w:t xml:space="preserve">Stage 4 - </w:t>
      </w:r>
      <w:r>
        <w:rPr>
          <w:rFonts w:ascii="Arial" w:cs="Arial" w:eastAsia="Arial" w:hAnsi="Arial"/>
          <w:color w:val="333333"/>
          <w:sz w:val="22"/>
          <w:szCs w:val="22"/>
        </w:rPr>
        <w:t xml:space="preserve">Call Duration Analysis: Binned call duration into five categories and calculated conversion rate per bin. This revealed the strongest single predictor of conversion in the entire dataset.</w:t>
      </w:r>
    </w:p>
    <w:p>
      <w:pPr>
        <w:pStyle w:val="ListParagraph"/>
        <w:numPr>
          <w:ilvl w:val="0"/>
          <w:numId w:val="2"/>
        </w:numPr>
        <w:spacing w:after="60" w:before="60"/>
      </w:pPr>
      <w:r>
        <w:rPr>
          <w:rFonts w:ascii="Arial" w:cs="Arial" w:eastAsia="Arial" w:hAnsi="Arial"/>
          <w:b/>
          <w:bCs/>
          <w:color w:val="0C447C"/>
          <w:sz w:val="22"/>
          <w:szCs w:val="22"/>
        </w:rPr>
        <w:t xml:space="preserve">Stage 5 - </w:t>
      </w:r>
      <w:r>
        <w:rPr>
          <w:rFonts w:ascii="Arial" w:cs="Arial" w:eastAsia="Arial" w:hAnsi="Arial"/>
          <w:color w:val="333333"/>
          <w:sz w:val="22"/>
          <w:szCs w:val="22"/>
        </w:rPr>
        <w:t xml:space="preserve">Customer Segmentation: Segmented customers by age group and education level to identify above-average converting demographic profiles for targeted outreach.</w:t>
      </w:r>
    </w:p>
    <w:p>
      <w:pPr>
        <w:spacing w:after="0" w:before="200"/>
      </w:pPr>
    </w:p>
    <w:p>
      <w:pPr>
        <w:pStyle w:val="Heading1"/>
      </w:pPr>
      <w:r>
        <w:rPr>
          <w:rFonts w:ascii="Arial" w:cs="Arial" w:eastAsia="Arial" w:hAnsi="Arial"/>
          <w:b/>
          <w:bCs/>
          <w:color w:val="0C447C"/>
          <w:sz w:val="40"/>
          <w:szCs w:val="40"/>
        </w:rPr>
        <w:t xml:space="preserve">Tools and Technologies</w:t>
      </w:r>
    </w:p>
    <w:p>
      <w:pPr>
        <w:pBdr>
          <w:bottom w:val="single" w:color="185FA5" w:sz="6"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Tool</w:t>
            </w:r>
          </w:p>
        </w:tc>
        <w:tc>
          <w:tcPr>
            <w:tcW w:type="dxa" w:w="504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Python 3.13</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Core analysis environment</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pandas</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Data loading, cleaning, and transformation</w:t>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numpy</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Numerical operations</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plotly</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Interactive visualisations</w:t>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matplotlib / seaborn</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Static visualisations in the notebook</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streamlit</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Interactive dashboard and deployment</w:t>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scikit-learn</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Supporting statistical analysis</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Jupyter Notebook</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Reproducible exploratory analysis</w:t>
            </w:r>
          </w:p>
        </w:tc>
      </w:tr>
      <w:tr>
        <w:tc>
          <w:tcPr>
            <w:tcW w:type="dxa" w:w="4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GitHub</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Version control and project hosting</w:t>
            </w:r>
          </w:p>
        </w:tc>
      </w:tr>
      <w:tr>
        <w:tc>
          <w:tcPr>
            <w:tcW w:type="dxa" w:w="43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Streamlit Cloud</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Free dashboard deployment and public hosting</w:t>
            </w:r>
          </w:p>
        </w:tc>
      </w:tr>
    </w:tbl>
    <w:p>
      <w:pPr>
        <w:spacing w:after="0" w:before="200"/>
      </w:pPr>
    </w:p>
    <w:p>
      <w:pPr>
        <w:pStyle w:val="Heading1"/>
      </w:pPr>
      <w:r>
        <w:rPr>
          <w:rFonts w:ascii="Arial" w:cs="Arial" w:eastAsia="Arial" w:hAnsi="Arial"/>
          <w:b/>
          <w:bCs/>
          <w:color w:val="0C447C"/>
          <w:sz w:val="40"/>
          <w:szCs w:val="40"/>
        </w:rPr>
        <w:t xml:space="preserve">Dataset</w:t>
      </w:r>
    </w:p>
    <w:p>
      <w:pPr>
        <w:pBdr>
          <w:bottom w:val="single" w:color="185FA5" w:sz="6"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Source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UCI Machine Learning Repository - Bank Marketing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Records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4,119 customer interactions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Features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20 variables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Period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May 2008 - November 2010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Target Variable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y - did the customer subscribe to a term deposit? (yes / no)</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Citation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Moro, S., Cortez, P., and Rita, P. (2014). Decision Support Systems, 62, 22-31.</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47C" w:val="clear"/>
            <w:tcMar>
              <w:top w:type="dxa" w:w="280"/>
              <w:left w:type="dxa" w:w="480"/>
              <w:bottom w:type="dxa" w:w="280"/>
              <w:right w:type="dxa" w:w="480"/>
            </w:tcMar>
          </w:tcPr>
          <w:p>
            <w:pPr>
              <w:spacing w:after="60"/>
            </w:pPr>
            <w:r>
              <w:rPr>
                <w:rFonts w:ascii="Arial" w:cs="Arial" w:eastAsia="Arial" w:hAnsi="Arial"/>
                <w:b/>
                <w:bCs/>
                <w:color w:val="FFFFFF"/>
                <w:sz w:val="26"/>
                <w:szCs w:val="26"/>
              </w:rPr>
              <w:t xml:space="preserve">Bidusha Shrestha</w:t>
            </w:r>
          </w:p>
          <w:p>
            <w:pPr>
              <w:spacing w:after="100"/>
            </w:pPr>
            <w:r>
              <w:rPr>
                <w:rFonts w:ascii="Arial" w:cs="Arial" w:eastAsia="Arial" w:hAnsi="Arial"/>
                <w:color w:val="B5D4F4"/>
                <w:sz w:val="20"/>
                <w:szCs w:val="20"/>
              </w:rPr>
              <w:t xml:space="preserve">Future Interns - Data Science and Analytics Track, 2026</w:t>
            </w:r>
          </w:p>
          <w:p>
            <w:r>
              <w:rPr>
                <w:rFonts w:ascii="Arial" w:cs="Arial" w:eastAsia="Arial" w:hAnsi="Arial"/>
                <w:b/>
                <w:bCs/>
                <w:color w:val="85B7EB"/>
                <w:sz w:val="19"/>
                <w:szCs w:val="19"/>
              </w:rPr>
              <w:t xml:space="preserve">GitHub: </w:t>
            </w:r>
            <w:r>
              <w:rPr>
                <w:rFonts w:ascii="Arial" w:cs="Arial" w:eastAsia="Arial" w:hAnsi="Arial"/>
                <w:color w:val="B5D4F4"/>
                <w:sz w:val="19"/>
                <w:szCs w:val="19"/>
              </w:rPr>
              <w:t xml:space="preserve">github.com/bidu06/FUTURE_DS_03   </w:t>
            </w:r>
            <w:r>
              <w:rPr>
                <w:rFonts w:ascii="Arial" w:cs="Arial" w:eastAsia="Arial" w:hAnsi="Arial"/>
                <w:b/>
                <w:bCs/>
                <w:color w:val="85B7EB"/>
                <w:sz w:val="19"/>
                <w:szCs w:val="19"/>
              </w:rPr>
              <w:t xml:space="preserve">Dashboard: </w:t>
            </w:r>
            <w:r>
              <w:rPr>
                <w:rFonts w:ascii="Arial" w:cs="Arial" w:eastAsia="Arial" w:hAnsi="Arial"/>
                <w:color w:val="B5D4F4"/>
                <w:sz w:val="19"/>
                <w:szCs w:val="19"/>
              </w:rPr>
              <w:t xml:space="preserve">futureds03-hsaeavergaefnmp9dpr44r.streamlit.app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F1FB" w:sz="4" w:space="1"/>
      </w:pBdr>
      <w:spacing w:before="160"/>
      <w:jc w:val="center"/>
    </w:pPr>
    <w:r>
      <w:rPr>
        <w:rFonts w:ascii="Arial" w:cs="Arial" w:eastAsia="Arial" w:hAnsi="Arial"/>
        <w:color w:val="999999"/>
        <w:sz w:val="17"/>
        <w:szCs w:val="17"/>
      </w:rPr>
      <w:t xml:space="preserve">Bidusha Shrestha  |  github.com/bidu06/FUTURE_DS_03  |  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F1FB" w:sz="4" w:space="1"/>
      </w:pBdr>
      <w:spacing w:after="200"/>
    </w:pPr>
    <w:r>
      <w:rPr>
        <w:rFonts w:ascii="Arial" w:cs="Arial" w:eastAsia="Arial" w:hAnsi="Arial"/>
        <w:color w:val="777777"/>
        <w:sz w:val="18"/>
        <w:szCs w:val="18"/>
      </w:rPr>
      <w:t xml:space="preserve">Bank Marketing Funnel Analysis   |   Future Interns FUTURE_DS_03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447C"/>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0C447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2026-05-09T12:33:43.334Z</dcterms:created>
  <dcterms:modified xsi:type="dcterms:W3CDTF">2026-05-09T12:33:43.334Z</dcterms:modified>
</cp:coreProperties>
</file>

<file path=docProps/custom.xml><?xml version="1.0" encoding="utf-8"?>
<Properties xmlns="http://schemas.openxmlformats.org/officeDocument/2006/custom-properties" xmlns:vt="http://schemas.openxmlformats.org/officeDocument/2006/docPropsVTypes"/>
</file>