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4"/>
        </w:rPr>
        <w:t>Recent Improvements in Battery-Free</w:t>
        <w:br/>
        <w:t>Embedded Systems:</w:t>
        <w:br/>
        <w:t>A Comprehensive Review</w:t>
      </w:r>
    </w:p>
    <w:p>
      <w:pPr>
        <w:spacing w:after="40"/>
        <w:jc w:val="center"/>
      </w:pPr>
      <w:r>
        <w:rPr>
          <w:rFonts w:ascii="Times New Roman" w:hAnsi="Times New Roman"/>
          <w:sz w:val="22"/>
        </w:rPr>
        <w:t>Bidur Sapkota</w:t>
      </w:r>
    </w:p>
    <w:p>
      <w:pPr>
        <w:spacing w:after="120"/>
        <w:jc w:val="center"/>
      </w:pPr>
      <w:r>
        <w:rPr>
          <w:rFonts w:ascii="Times New Roman" w:hAnsi="Times New Roman"/>
          <w:i/>
          <w:sz w:val="20"/>
        </w:rPr>
        <w:t>Department of Computer Engineering, Nepal College of Information Technology (NCIT)</w:t>
        <w:br/>
        <w:t>Pokhara University, Nepal</w:t>
        <w:br/>
        <w:t>bidur@ncit.edu.np</w:t>
      </w:r>
    </w:p>
    <w:p>
      <w:pPr>
        <w:spacing w:before="200" w:after="80"/>
        <w:jc w:val="center"/>
      </w:pPr>
      <w:r>
        <w:rPr>
          <w:rFonts w:ascii="Times New Roman" w:hAnsi="Times New Roman"/>
          <w:b/>
          <w:sz w:val="20"/>
        </w:rPr>
        <w:t>ABSTRACT</w:t>
      </w:r>
    </w:p>
    <w:p>
      <w:pPr>
        <w:spacing w:after="40"/>
        <w:jc w:val="both"/>
      </w:pPr>
      <w:r>
        <w:rPr>
          <w:rFonts w:ascii="Times New Roman" w:hAnsi="Times New Roman"/>
          <w:sz w:val="20"/>
        </w:rPr>
        <w:t>Battery-free embedded systems powered by ambient energy harvesting have emerged as a transformative paradigm for sustainable Internet of Things (IoT) deployments. The period spanning 2024 to 2026 has witnessed a significant transition from proof-of-concept demonstrations to increasingly mature, deployment-ready solutions. This review paper critically examines six recent journal and conference papers that address key challenges in advancing battery-free system technology. The reviewed works encompass analytical modeling of energy dynamics in batteryless IoT sensors, cost-effective design methodologies for intermittent wireless communication, standardized evaluation platforms for fair performance benchmarking, energy-harvesting-aware neural architecture search for intermittent deep learning inference, UAV-powered RF energy-harvesting sensor systems for precision agriculture, and comprehensive surveys of circuit and system design architectures. Through a systematic comparison of the objectives, methodologies, results, strengths, and limitations of each study, this review identifies several critical research gaps, including the absence of unified benchmarking standards, insufficient multi-source energy harvesting integration, limited adaptation of edge AI for intermittent operation, and inadequate standardization of power management protocols. The paper concludes with recommendations for future research directions aimed at achieving reliable, scalable, and maintenance-free battery-free IoT ecosystems.</w:t>
      </w:r>
    </w:p>
    <w:p>
      <w:pPr>
        <w:spacing w:before="80" w:after="120"/>
      </w:pPr>
      <w:r>
        <w:rPr>
          <w:rFonts w:ascii="Times New Roman" w:hAnsi="Times New Roman"/>
          <w:b/>
          <w:i/>
          <w:sz w:val="18"/>
        </w:rPr>
        <w:t xml:space="preserve">Keywords: </w:t>
      </w:r>
      <w:r>
        <w:rPr>
          <w:rFonts w:ascii="Times New Roman" w:hAnsi="Times New Roman"/>
          <w:i/>
          <w:sz w:val="18"/>
        </w:rPr>
        <w:t>Battery-Free Embedded Systems, Energy Harvesting, Intermittent Computing, IoT, TinyML, Power Management, Wireless Sensor Networks, Precision Agriculture</w:t>
      </w:r>
    </w:p>
    <w:p>
      <w:pPr>
        <w:spacing w:before="200" w:after="80"/>
        <w:jc w:val="center"/>
      </w:pPr>
      <w:r>
        <w:rPr>
          <w:rFonts w:ascii="Times New Roman" w:hAnsi="Times New Roman"/>
          <w:b/>
          <w:sz w:val="20"/>
        </w:rPr>
        <w:t>I. INTRODUCTION</w:t>
      </w:r>
    </w:p>
    <w:p>
      <w:pPr>
        <w:spacing w:before="160" w:after="60"/>
      </w:pPr>
      <w:r>
        <w:rPr>
          <w:rFonts w:ascii="Times New Roman" w:hAnsi="Times New Roman"/>
          <w:b/>
          <w:i/>
          <w:sz w:val="20"/>
        </w:rPr>
        <w:t>A. Background</w:t>
      </w:r>
    </w:p>
    <w:p>
      <w:pPr>
        <w:spacing w:after="40"/>
        <w:ind w:firstLine="283"/>
        <w:jc w:val="both"/>
      </w:pPr>
      <w:r>
        <w:rPr>
          <w:rFonts w:ascii="Times New Roman" w:hAnsi="Times New Roman"/>
          <w:sz w:val="20"/>
        </w:rPr>
        <w:t>Many IoT devices are everywhere now. Like farm, factory, nature check, and health. So we need sensor that live long time without help. But big problem for many IoT is battery. Normal battery cost much money because we must change them. Also they make bad trash for environment. And it is very hard to change battery if sensor is very far place [6].</w:t>
      </w:r>
    </w:p>
    <w:p>
      <w:pPr>
        <w:spacing w:after="40"/>
        <w:ind w:firstLine="283"/>
        <w:jc w:val="both"/>
      </w:pPr>
      <w:r>
        <w:rPr>
          <w:rFonts w:ascii="Times New Roman" w:hAnsi="Times New Roman"/>
          <w:sz w:val="20"/>
        </w:rPr>
        <w:t>Battery-free system is good choice. It takes energy from outside like sun, radio wave, heat and shaking. These system use supercapacitor or small cell to keep energy. They use it to do compute and talk sometimes. This way is called intermittent computing. It have hard problem because system must not make mistake and keep data safe when power go off suddenly [3], [6].</w:t>
      </w:r>
    </w:p>
    <w:p>
      <w:pPr>
        <w:spacing w:after="40"/>
        <w:ind w:firstLine="283"/>
        <w:jc w:val="both"/>
      </w:pPr>
      <w:r>
        <w:rPr>
          <w:rFonts w:ascii="Times New Roman" w:hAnsi="Times New Roman"/>
          <w:sz w:val="20"/>
        </w:rPr>
        <w:t>From 2024 to 2026, research in battery-free system change a lot. Before, people just try to make it work. Now people try to solve real problem. Like how to guess performance, make cheap hardware, test it good, and put AI on it. Also new thing like drone sensor for farm show this tech is very useful now [1], [5].</w:t>
      </w:r>
    </w:p>
    <w:p>
      <w:pPr>
        <w:spacing w:before="160" w:after="60"/>
      </w:pPr>
      <w:r>
        <w:rPr>
          <w:rFonts w:ascii="Times New Roman" w:hAnsi="Times New Roman"/>
          <w:b/>
          <w:i/>
          <w:sz w:val="20"/>
        </w:rPr>
        <w:t>B. Problem Statement</w:t>
      </w:r>
    </w:p>
    <w:p>
      <w:pPr>
        <w:spacing w:after="40"/>
        <w:ind w:firstLine="283"/>
        <w:jc w:val="both"/>
      </w:pPr>
      <w:r>
        <w:rPr>
          <w:rFonts w:ascii="Times New Roman" w:hAnsi="Times New Roman"/>
          <w:sz w:val="20"/>
        </w:rPr>
        <w:t>Despite substantial progress in individual aspects of battery-free embedded system design, the field remains fragmented across multiple research communities, including energy harvesting, intermittent computing, low-power circuit design, and edge artificial intelligence. This fragmentation has resulted in several critical deficiencies. First, there is no widely accepted benchmark suite or standardized evaluation methodology for comparing the performance of different battery-free platforms under equivalent conditions. Second, the integration of multiple heterogeneous energy harvesting sources within a unified power management framework remains largely unexplored. Third, the adaptation of modern machine learning techniques, particularly deep neural network inference, for intermittent execution environments is still in its nascent stages. Fourth, the absence of standardized power management protocols across diverse hardware platforms hinders interoperability and scalability [2], [4].</w:t>
      </w:r>
    </w:p>
    <w:p>
      <w:pPr>
        <w:spacing w:after="40"/>
        <w:ind w:firstLine="283"/>
        <w:jc w:val="both"/>
      </w:pPr>
      <w:r>
        <w:rPr>
          <w:rFonts w:ascii="Times New Roman" w:hAnsi="Times New Roman"/>
          <w:sz w:val="20"/>
        </w:rPr>
        <w:t>These challenges collectively impede the transition of battery-free systems from laboratory prototypes to commercially viable, mass-deployed IoT infrastructure. A comprehensive review that systematically analyzes recent contributions, identifies research gaps, and delineates future directions is therefore essential for guiding the continued development of this rapidly evolving field.</w:t>
      </w:r>
    </w:p>
    <w:p>
      <w:pPr>
        <w:spacing w:before="160" w:after="60"/>
      </w:pPr>
      <w:r>
        <w:rPr>
          <w:rFonts w:ascii="Times New Roman" w:hAnsi="Times New Roman"/>
          <w:b/>
          <w:i/>
          <w:sz w:val="20"/>
        </w:rPr>
        <w:t>C. Research Objectives</w:t>
      </w:r>
    </w:p>
    <w:p>
      <w:pPr>
        <w:spacing w:after="40"/>
        <w:jc w:val="both"/>
      </w:pPr>
      <w:r>
        <w:rPr>
          <w:rFonts w:ascii="Times New Roman" w:hAnsi="Times New Roman"/>
          <w:sz w:val="20"/>
        </w:rPr>
        <w:t>The primary objective of this review paper is to provide a critical and systematic examination of recent advancements in battery-free embedded systems through the analysis of six representative journal and conference papers published between 2024 and 2026. The specific objectives are as follows:</w:t>
      </w:r>
    </w:p>
    <w:p>
      <w:pPr>
        <w:spacing w:after="40"/>
        <w:jc w:val="both"/>
      </w:pPr>
      <w:r>
        <w:rPr>
          <w:rFonts w:ascii="Times New Roman" w:hAnsi="Times New Roman"/>
          <w:sz w:val="20"/>
        </w:rPr>
        <w:t>(1) To critically review and summarize the objectives, methodologies, key contributions, and results of each selected paper.</w:t>
      </w:r>
    </w:p>
    <w:p>
      <w:pPr>
        <w:spacing w:after="40"/>
        <w:jc w:val="both"/>
      </w:pPr>
      <w:r>
        <w:rPr>
          <w:rFonts w:ascii="Times New Roman" w:hAnsi="Times New Roman"/>
          <w:sz w:val="20"/>
        </w:rPr>
        <w:t>(2) To perform a comparative analysis of the reviewed works with respect to their research focus areas, technical approaches, performance metrics, and reported outcomes.</w:t>
      </w:r>
    </w:p>
    <w:p>
      <w:pPr>
        <w:spacing w:after="40"/>
        <w:jc w:val="both"/>
      </w:pPr>
      <w:r>
        <w:rPr>
          <w:rFonts w:ascii="Times New Roman" w:hAnsi="Times New Roman"/>
          <w:sz w:val="20"/>
        </w:rPr>
        <w:t>(3) To identify and discuss the research methodologies, algorithms, frameworks, architectures, and evaluation techniques adopted across the reviewed studies.</w:t>
      </w:r>
    </w:p>
    <w:p>
      <w:pPr>
        <w:spacing w:after="40"/>
        <w:jc w:val="both"/>
      </w:pPr>
      <w:r>
        <w:rPr>
          <w:rFonts w:ascii="Times New Roman" w:hAnsi="Times New Roman"/>
          <w:sz w:val="20"/>
        </w:rPr>
        <w:t>(4) To identify critical research gaps and open challenges that remain unaddressed in the current literature.</w:t>
      </w:r>
    </w:p>
    <w:p>
      <w:pPr>
        <w:spacing w:after="40"/>
        <w:jc w:val="both"/>
      </w:pPr>
      <w:r>
        <w:rPr>
          <w:rFonts w:ascii="Times New Roman" w:hAnsi="Times New Roman"/>
          <w:sz w:val="20"/>
        </w:rPr>
        <w:t>(5) To propose future research directions that can advance the state of the art toward reliable, scalable, and maintenance-free battery-free IoT systems.</w:t>
      </w:r>
    </w:p>
    <w:p>
      <w:pPr>
        <w:spacing w:before="200" w:after="80"/>
        <w:jc w:val="center"/>
      </w:pPr>
      <w:r>
        <w:rPr>
          <w:rFonts w:ascii="Times New Roman" w:hAnsi="Times New Roman"/>
          <w:b/>
          <w:sz w:val="20"/>
        </w:rPr>
        <w:t>II. RELATED WORKS</w:t>
      </w:r>
    </w:p>
    <w:p>
      <w:pPr>
        <w:spacing w:after="40"/>
        <w:jc w:val="both"/>
      </w:pPr>
      <w:r>
        <w:rPr>
          <w:rFonts w:ascii="Times New Roman" w:hAnsi="Times New Roman"/>
          <w:sz w:val="20"/>
        </w:rPr>
        <w:t>This section presents a critical review of six recent research papers that collectively represent the current state of the art in battery-free embedded systems. Each paper is examined with respect to its research objectives, methodology, key findings, strengths, and limitations.</w:t>
      </w:r>
    </w:p>
    <w:p>
      <w:pPr>
        <w:spacing w:before="160" w:after="60"/>
      </w:pPr>
      <w:r>
        <w:rPr>
          <w:rFonts w:ascii="Times New Roman" w:hAnsi="Times New Roman"/>
          <w:b/>
          <w:i/>
          <w:sz w:val="20"/>
        </w:rPr>
        <w:t>A. Analytical Modeling of Batteryless IoT Sensors Powered by Ambient Energy Harvesting [1]</w:t>
      </w:r>
    </w:p>
    <w:p>
      <w:pPr>
        <w:spacing w:after="40"/>
        <w:ind w:firstLine="283"/>
        <w:jc w:val="both"/>
      </w:pPr>
      <w:r>
        <w:rPr>
          <w:rFonts w:ascii="Times New Roman" w:hAnsi="Times New Roman"/>
          <w:sz w:val="20"/>
        </w:rPr>
        <w:t>Fernández Landivar et al. (arXiv, July 2025) proposed a comprehensive analytical framework for modeling the energy dynamics of batteryless IoT sensor nodes [1]. The objective of this work was to develop a generalized mathematical model that captures the complete energy flow within a batteryless system, from ambient energy harvesting through power conditioning to computational load execution. The model explicitly incorporates the behavior of the Energy Harvesting Unit (EHU), comprising the energy transducer, power management integrated circuit (PMIC), and supercapacitor storage, as well as the Circuit Load (CL) representing the sensor's computational and communication subsystems.</w:t>
      </w:r>
    </w:p>
    <w:p>
      <w:pPr>
        <w:spacing w:after="40"/>
        <w:ind w:firstLine="283"/>
        <w:jc w:val="both"/>
      </w:pPr>
      <w:r>
        <w:rPr>
          <w:rFonts w:ascii="Times New Roman" w:hAnsi="Times New Roman"/>
          <w:sz w:val="20"/>
        </w:rPr>
        <w:t>The methodology employed a first-principles analytical approach, deriving closed-form expressions for the voltage dynamics of the supercapacitor as a function of harvested power, PMIC efficiency characteristics, and load current profiles. The model was validated experimentally using a prototype batteryless IoT node operating under varying indoor illumination conditions. The results demonstrated strong agreement between predicted and measured supercapacitor voltage trajectories, confirming the model's accuracy across diverse environmental conditions.</w:t>
      </w:r>
    </w:p>
    <w:p>
      <w:pPr>
        <w:spacing w:after="40"/>
        <w:ind w:firstLine="283"/>
        <w:jc w:val="both"/>
      </w:pPr>
      <w:r>
        <w:rPr>
          <w:rFonts w:ascii="Times New Roman" w:hAnsi="Times New Roman"/>
          <w:sz w:val="20"/>
        </w:rPr>
        <w:t>A key strength of this work lies in its generalizability: the mathematical framework is not tied to any specific hardware platform and can be parameterized for different harvesting modalities and load characteristics. This enables designers to perform pre-fabrication performance estimation and optimize power management unit configurations. However, a notable limitation is that the model assumes relatively stable ambient energy conditions and does not explicitly address highly stochastic or rapidly fluctuating energy sources, which are common in outdoor deployment scenarios.</w:t>
      </w:r>
    </w:p>
    <w:p>
      <w:pPr>
        <w:spacing w:before="160" w:after="60"/>
      </w:pPr>
      <w:r>
        <w:rPr>
          <w:rFonts w:ascii="Times New Roman" w:hAnsi="Times New Roman"/>
          <w:b/>
          <w:i/>
          <w:sz w:val="20"/>
        </w:rPr>
        <w:t>B. Designing Cost-Effective Battery-Less Energy Harvesting for Intermittent Wireless Communication [2]</w:t>
      </w:r>
    </w:p>
    <w:p>
      <w:pPr>
        <w:spacing w:after="40"/>
        <w:ind w:firstLine="283"/>
        <w:jc w:val="both"/>
      </w:pPr>
      <w:r>
        <w:rPr>
          <w:rFonts w:ascii="Times New Roman" w:hAnsi="Times New Roman"/>
          <w:sz w:val="20"/>
        </w:rPr>
        <w:t>Published in IEEE Access (January 2025), this paper addressed the challenge of designing cost-effective battery-less IoT devices capable of sustaining reliable wireless communication under intermittent power availability [2]. The research objective was to develop systematic design models that enable engineers to determine optimal energy harvester and storage element specifications for meeting specific wireless communication Quality of Service (QoS) requirements, including data throughput and transmission frequency.</w:t>
      </w:r>
    </w:p>
    <w:p>
      <w:pPr>
        <w:spacing w:after="40"/>
        <w:ind w:firstLine="283"/>
        <w:jc w:val="both"/>
      </w:pPr>
      <w:r>
        <w:rPr>
          <w:rFonts w:ascii="Times New Roman" w:hAnsi="Times New Roman"/>
          <w:sz w:val="20"/>
        </w:rPr>
        <w:t>The authors proposed energy and timing models that formalize the relationship between harvester capacity, storage element sizing (capacitors), and the resulting communication duty cycle. A central contribution is the introduction of a duty-based Dynamic Power Management (DPM) scheme that dynamically adjusts the device's active and sleep periods based on available energy, significantly outperforming conventional threshold-based approaches. Experimental evaluation demonstrated that the proposed DPM scheme extends operational time by 9.1% to 90.0% compared to baseline methods, depending on ambient energy availability conditions.</w:t>
      </w:r>
    </w:p>
    <w:p>
      <w:pPr>
        <w:spacing w:after="40"/>
        <w:ind w:firstLine="283"/>
        <w:jc w:val="both"/>
      </w:pPr>
      <w:r>
        <w:rPr>
          <w:rFonts w:ascii="Times New Roman" w:hAnsi="Times New Roman"/>
          <w:sz w:val="20"/>
        </w:rPr>
        <w:t>The strength of this work lies in its practical applicability: the design methodology provides actionable guidelines for hardware engineers to translate wireless QoS requirements into concrete harvester and storage specifications. The duty-based DPM approach offers a clear performance advantage. However, the methodology is primarily validated for single-source energy harvesting scenarios and does not explicitly consider multi-source configurations or the impact of highly variable channel conditions on communication reliability.</w:t>
      </w:r>
    </w:p>
    <w:p>
      <w:pPr>
        <w:spacing w:before="160" w:after="60"/>
      </w:pPr>
      <w:r>
        <w:rPr>
          <w:rFonts w:ascii="Times New Roman" w:hAnsi="Times New Roman"/>
          <w:b/>
          <w:i/>
          <w:sz w:val="20"/>
        </w:rPr>
        <w:t>C. EStacker: Explaining Battery-Less IoT System Performance with Energy Stacks [3]</w:t>
      </w:r>
    </w:p>
    <w:p>
      <w:pPr>
        <w:spacing w:after="40"/>
        <w:ind w:firstLine="283"/>
        <w:jc w:val="both"/>
      </w:pPr>
      <w:r>
        <w:rPr>
          <w:rFonts w:ascii="Times New Roman" w:hAnsi="Times New Roman"/>
          <w:sz w:val="20"/>
        </w:rPr>
        <w:t>Liedtke et al. presented EStacker in ACM Transactions on Embedded Computing Systems (2026), a specialized evaluation platform designed to address the challenge of fair and reproducible performance assessment of battery-less IoT systems [3]. The research objective was to create a systematic benchmarking framework that enables developers to understand precisely how energy is consumed across different hardware components and software tasks through the concept of "energy stacks"N/Adetailed energy consumption profiles decomposed by functional unit and execution phase.</w:t>
      </w:r>
    </w:p>
    <w:p>
      <w:pPr>
        <w:spacing w:after="40"/>
        <w:ind w:firstLine="283"/>
        <w:jc w:val="both"/>
      </w:pPr>
      <w:r>
        <w:rPr>
          <w:rFonts w:ascii="Times New Roman" w:hAnsi="Times New Roman"/>
          <w:sz w:val="20"/>
        </w:rPr>
        <w:t>The platform employs a simulation-based approach that models the interaction between energy harvesting, storage dynamics, and application workload execution. A significant methodological contribution is the ST-SP (Spatial-Temporal State Pruning) optimization technique, which reduces evaluation time by a factor of 6.3× on average while maintaining timing accuracy with a mean error of only 7.7%. This acceleration is critical for enabling practical design space exploration across different harvester and storage configurations.</w:t>
      </w:r>
    </w:p>
    <w:p>
      <w:pPr>
        <w:spacing w:after="40"/>
        <w:ind w:firstLine="283"/>
        <w:jc w:val="both"/>
      </w:pPr>
      <w:r>
        <w:rPr>
          <w:rFonts w:ascii="Times New Roman" w:hAnsi="Times New Roman"/>
          <w:sz w:val="20"/>
        </w:rPr>
        <w:t>EStacker's principal strength is its ability to provide deterministic, energy-equivalent evaluation conditions, ensuring that different applications and hardware configurations are compared under identical energy budgets. This addresses a fundamental reproducibility challenge in battery-free systems research. The limitation is that the platform currently relies on simulation rather than hardware-in-the-loop evaluation, which may not fully capture real-world phenomena such as parasitic losses, component aging, and environmental electromagnetic interference.</w:t>
      </w:r>
    </w:p>
    <w:p>
      <w:pPr>
        <w:spacing w:before="160" w:after="60"/>
      </w:pPr>
      <w:r>
        <w:rPr>
          <w:rFonts w:ascii="Times New Roman" w:hAnsi="Times New Roman"/>
          <w:b/>
          <w:i/>
          <w:sz w:val="20"/>
        </w:rPr>
        <w:t>D. HANNA: Harvesting-Aware Neural Network Architecture Search for Batteryless Intermittent Devices [4]</w:t>
      </w:r>
    </w:p>
    <w:p>
      <w:pPr>
        <w:spacing w:after="40"/>
        <w:ind w:firstLine="283"/>
        <w:jc w:val="both"/>
      </w:pPr>
      <w:r>
        <w:rPr>
          <w:rFonts w:ascii="Times New Roman" w:hAnsi="Times New Roman"/>
          <w:sz w:val="20"/>
        </w:rPr>
        <w:t>Sahu, Deep, and Duwe introduced HANNA at IEEE IPCCC 2024, a novel Neural Architecture Search (NAS) framework specifically designed for batteryless intermittent devices [4]. The research objective was to develop an automated method for discovering deep neural network (DNN) architectures that are optimally suited for execution under intermittent power conditions, where conventional NAS approachesN/Awhich optimize solely for latency and accuracyN/Aproduce suboptimal results.</w:t>
      </w:r>
    </w:p>
    <w:p>
      <w:pPr>
        <w:spacing w:after="40"/>
        <w:ind w:firstLine="283"/>
        <w:jc w:val="both"/>
      </w:pPr>
      <w:r>
        <w:rPr>
          <w:rFonts w:ascii="Times New Roman" w:hAnsi="Times New Roman"/>
          <w:sz w:val="20"/>
        </w:rPr>
        <w:t>HANNA's methodology integrates energy harvesting characteristics directly into the architecture search process. Unlike traditional NAS, which assumes continuous power availability, HANNA evaluates candidate architectures based on their ability to complete inference tasks within a single energy harvesting cycle. The search algorithm navigates a multi-objective design space that balances inference accuracy, computational cost, memory footprint, and energy harvesting compatibility. The framework accounts for the overhead of checkpoint-based execution models, where the system must periodically save intermediate computation state to non-volatile memory to survive power interruptions.</w:t>
      </w:r>
    </w:p>
    <w:p>
      <w:pPr>
        <w:spacing w:after="40"/>
        <w:ind w:firstLine="283"/>
        <w:jc w:val="both"/>
      </w:pPr>
      <w:r>
        <w:rPr>
          <w:rFonts w:ascii="Times New Roman" w:hAnsi="Times New Roman"/>
          <w:sz w:val="20"/>
        </w:rPr>
        <w:t>A key strength of HANNA is that it represents one of the earliest systematic approaches to Intermittent TinyMLN/Athe intersection of tiny machine learning and intermittent computing. The discovered architectures demonstrate fundamentally different structural properties compared to those optimized for continuously powered platforms, validating the necessity of harvesting-aware design. However, the framework has been evaluated on a limited set of inference tasks and energy harvesting profiles, and its scalability to more complex models (e.g., transformer architectures) and diverse harvesting modalities remains to be demonstrated.</w:t>
      </w:r>
    </w:p>
    <w:p>
      <w:pPr>
        <w:spacing w:before="160" w:after="60"/>
      </w:pPr>
      <w:r>
        <w:rPr>
          <w:rFonts w:ascii="Times New Roman" w:hAnsi="Times New Roman"/>
          <w:b/>
          <w:i/>
          <w:sz w:val="20"/>
        </w:rPr>
        <w:t>E. Autonomous Agricultural Monitoring with Aerial Drones and RF Energy-Harvesting Sensor Tags [5]</w:t>
      </w:r>
    </w:p>
    <w:p>
      <w:pPr>
        <w:spacing w:after="40"/>
        <w:ind w:firstLine="283"/>
        <w:jc w:val="both"/>
      </w:pPr>
      <w:r>
        <w:rPr>
          <w:rFonts w:ascii="Times New Roman" w:hAnsi="Times New Roman"/>
          <w:sz w:val="20"/>
        </w:rPr>
        <w:t>Kudyba and Sun (arXiv, February 2025) investigated the application of battery-free RF energy-harvesting sensor tags for autonomous precision agriculture monitoring, powered wirelessly by unmanned aerial vehicles (UAVs) [5]. The objective was to demonstrate a practical, cost-effective, and environmentally sustainable alternative to conventional battery-powered agricultural sensor networks by eliminating the need for ground-based power infrastructure and battery replacement in field-deployed sensors.</w:t>
      </w:r>
    </w:p>
    <w:p>
      <w:pPr>
        <w:spacing w:after="40"/>
        <w:ind w:firstLine="283"/>
        <w:jc w:val="both"/>
      </w:pPr>
      <w:r>
        <w:rPr>
          <w:rFonts w:ascii="Times New Roman" w:hAnsi="Times New Roman"/>
          <w:sz w:val="20"/>
        </w:rPr>
        <w:t>The system architecture comprises UAVs equipped with RF transmitters that provide both wireless power and communication capabilities to passive sensor tags distributed across agricultural fields. The sensor tags harvest RF energy from the UAV's downlink signal, use the harvested energy to perform environmental measurements (temperature, humidity, soil moisture), and backscatter the collected data to the UAV. The methodology included both ground-based controlled experiments and aerial flight tests conducted at the AERPAW (Aerial Experimentation and Research Platform for Advanced Wireless) testbed facility.</w:t>
      </w:r>
    </w:p>
    <w:p>
      <w:pPr>
        <w:spacing w:after="40"/>
        <w:ind w:firstLine="283"/>
        <w:jc w:val="both"/>
      </w:pPr>
      <w:r>
        <w:rPr>
          <w:rFonts w:ascii="Times New Roman" w:hAnsi="Times New Roman"/>
          <w:sz w:val="20"/>
        </w:rPr>
        <w:t>Ground-based experiments demonstrated reliable sensor activation and data collection at practical distances, validating the fundamental feasibility of the approach. However, aerial flight tests revealed significant challenges related to RF interference, antenna orientation variability, and reduced communication reliability in dynamic flight conditions. The authors propose antenna consolidation and improved RF front-end design as potential mitigation strategies. The strength of this work lies in its demonstration of a complete, end-to-end battery-free sensing system for a high-impact application domain. The primary limitation is the current sensitivity to environmental RF conditions and the limited operational range of passive backscatter communication.</w:t>
      </w:r>
    </w:p>
    <w:p>
      <w:pPr>
        <w:spacing w:before="160" w:after="60"/>
      </w:pPr>
      <w:r>
        <w:rPr>
          <w:rFonts w:ascii="Times New Roman" w:hAnsi="Times New Roman"/>
          <w:b/>
          <w:i/>
          <w:sz w:val="20"/>
        </w:rPr>
        <w:t>F. Batteryless Systems for IoT: A Survey of Circuit and System Design [6]</w:t>
      </w:r>
    </w:p>
    <w:p>
      <w:pPr>
        <w:spacing w:after="40"/>
        <w:ind w:firstLine="283"/>
        <w:jc w:val="both"/>
      </w:pPr>
      <w:r>
        <w:rPr>
          <w:rFonts w:ascii="Times New Roman" w:hAnsi="Times New Roman"/>
          <w:sz w:val="20"/>
        </w:rPr>
        <w:t>Presented at IEEE MWSCAS 2025, this comprehensive survey paper provides a systematic review of circuit-level and system-level design architectures for batteryless IoT devices [6]. The survey encompasses the complete hardware stack, including energy harvesting transducers, power management integrated circuits (PMICs), energy storage technologies (supercapacitors, thin-film batteries), non-volatile memory systems for state preservation, and intermittent computing execution models.</w:t>
      </w:r>
    </w:p>
    <w:p>
      <w:pPr>
        <w:spacing w:after="40"/>
        <w:ind w:firstLine="283"/>
        <w:jc w:val="both"/>
      </w:pPr>
      <w:r>
        <w:rPr>
          <w:rFonts w:ascii="Times New Roman" w:hAnsi="Times New Roman"/>
          <w:sz w:val="20"/>
        </w:rPr>
        <w:t>The survey categorizes intermittent computing approaches into two principal paradigms: task-based execution, where computational tasks are partitioned into atomic units that can complete within a single energy burst; and checkpoint-based execution, where the system periodically saves its computational state to non-volatile memory to enable resumption after power interruptions. The paper systematically analyzes the trade-offs inherent in each approach, including harvester efficiency versus manufacturing cost, storage capacity versus leakage current, and computational throughput versus the energy overhead of checkpointing operations.</w:t>
      </w:r>
    </w:p>
    <w:p>
      <w:pPr>
        <w:spacing w:after="40"/>
        <w:ind w:firstLine="283"/>
        <w:jc w:val="both"/>
      </w:pPr>
      <w:r>
        <w:rPr>
          <w:rFonts w:ascii="Times New Roman" w:hAnsi="Times New Roman"/>
          <w:sz w:val="20"/>
        </w:rPr>
        <w:t>The principal strength of this survey is its breadth and systematic organization, which provides an accessible entry point for researchers entering the battery-free systems domain. The survey effectively contextualizes individual circuit innovations within the broader system architecture, facilitating cross-disciplinary understanding. However, the survey primarily focuses on hardware-level considerations and provides limited coverage of software frameworks, middleware, and application-level challenges associated with intermittent operation.</w:t>
      </w:r>
    </w:p>
    <w:p>
      <w:pPr>
        <w:spacing w:before="120" w:after="40"/>
        <w:jc w:val="center"/>
      </w:pPr>
      <w:r>
        <w:rPr>
          <w:rFonts w:ascii="Times New Roman" w:hAnsi="Times New Roman"/>
          <w:b/>
          <w:sz w:val="16"/>
        </w:rPr>
        <w:t>TABLE I: Comparative Summary of Reviewed Research Papers</w:t>
      </w:r>
    </w:p>
    <w:tbl>
      <w:tblPr>
        <w:tblStyle w:val="TableGrid"/>
        <w:tblW w:type="auto" w:w="0"/>
        <w:tblLook w:firstColumn="1" w:firstRow="1" w:lastColumn="0" w:lastRow="0" w:noHBand="0" w:noVBand="1" w:val="04A0"/>
      </w:tblPr>
      <w:tblGrid>
        <w:gridCol w:w="1648"/>
        <w:gridCol w:w="1648"/>
        <w:gridCol w:w="1648"/>
        <w:gridCol w:w="1648"/>
        <w:gridCol w:w="1648"/>
        <w:gridCol w:w="1648"/>
      </w:tblGrid>
      <w:tr>
        <w:tc>
          <w:tcPr>
            <w:tcW w:type="dxa" w:w="454"/>
          </w:tcPr>
          <w:p>
            <w:r>
              <w:rPr>
                <w:rFonts w:ascii="Times New Roman" w:hAnsi="Times New Roman"/>
                <w:b/>
                <w:sz w:val="14"/>
              </w:rPr>
              <w:t>Ref.</w:t>
            </w:r>
          </w:p>
        </w:tc>
        <w:tc>
          <w:tcPr>
            <w:tcW w:type="dxa" w:w="1417"/>
          </w:tcPr>
          <w:p>
            <w:r>
              <w:rPr>
                <w:rFonts w:ascii="Times New Roman" w:hAnsi="Times New Roman"/>
                <w:b/>
                <w:sz w:val="14"/>
              </w:rPr>
              <w:t>Objective</w:t>
            </w:r>
          </w:p>
        </w:tc>
        <w:tc>
          <w:tcPr>
            <w:tcW w:type="dxa" w:w="1587"/>
          </w:tcPr>
          <w:p>
            <w:r>
              <w:rPr>
                <w:rFonts w:ascii="Times New Roman" w:hAnsi="Times New Roman"/>
                <w:b/>
                <w:sz w:val="14"/>
              </w:rPr>
              <w:t>Methodology</w:t>
            </w:r>
          </w:p>
        </w:tc>
        <w:tc>
          <w:tcPr>
            <w:tcW w:type="dxa" w:w="1587"/>
          </w:tcPr>
          <w:p>
            <w:r>
              <w:rPr>
                <w:rFonts w:ascii="Times New Roman" w:hAnsi="Times New Roman"/>
                <w:b/>
                <w:sz w:val="14"/>
              </w:rPr>
              <w:t>Key Result</w:t>
            </w:r>
          </w:p>
        </w:tc>
        <w:tc>
          <w:tcPr>
            <w:tcW w:type="dxa" w:w="1417"/>
          </w:tcPr>
          <w:p>
            <w:r>
              <w:rPr>
                <w:rFonts w:ascii="Times New Roman" w:hAnsi="Times New Roman"/>
                <w:b/>
                <w:sz w:val="14"/>
              </w:rPr>
              <w:t>Strength</w:t>
            </w:r>
          </w:p>
        </w:tc>
        <w:tc>
          <w:tcPr>
            <w:tcW w:type="dxa" w:w="1417"/>
          </w:tcPr>
          <w:p>
            <w:r>
              <w:rPr>
                <w:rFonts w:ascii="Times New Roman" w:hAnsi="Times New Roman"/>
                <w:b/>
                <w:sz w:val="14"/>
              </w:rPr>
              <w:t>Limitation</w:t>
            </w:r>
          </w:p>
        </w:tc>
      </w:tr>
      <w:tr>
        <w:tc>
          <w:tcPr>
            <w:tcW w:type="dxa" w:w="454"/>
          </w:tcPr>
          <w:p>
            <w:r>
              <w:rPr>
                <w:rFonts w:ascii="Times New Roman" w:hAnsi="Times New Roman"/>
                <w:sz w:val="14"/>
              </w:rPr>
              <w:t>[1]</w:t>
            </w:r>
          </w:p>
        </w:tc>
        <w:tc>
          <w:tcPr>
            <w:tcW w:type="dxa" w:w="1417"/>
          </w:tcPr>
          <w:p>
            <w:r>
              <w:rPr>
                <w:rFonts w:ascii="Times New Roman" w:hAnsi="Times New Roman"/>
                <w:sz w:val="14"/>
              </w:rPr>
              <w:t>Model energy dynamics of batteryless IoT sensors</w:t>
            </w:r>
          </w:p>
        </w:tc>
        <w:tc>
          <w:tcPr>
            <w:tcW w:type="dxa" w:w="1587"/>
          </w:tcPr>
          <w:p>
            <w:r>
              <w:rPr>
                <w:rFonts w:ascii="Times New Roman" w:hAnsi="Times New Roman"/>
                <w:sz w:val="14"/>
              </w:rPr>
              <w:t>First-principles analytical modeling with experimental validation</w:t>
            </w:r>
          </w:p>
        </w:tc>
        <w:tc>
          <w:tcPr>
            <w:tcW w:type="dxa" w:w="1587"/>
          </w:tcPr>
          <w:p>
            <w:r>
              <w:rPr>
                <w:rFonts w:ascii="Times New Roman" w:hAnsi="Times New Roman"/>
                <w:sz w:val="14"/>
              </w:rPr>
              <w:t>Accurate voltage prediction under varying illumination</w:t>
            </w:r>
          </w:p>
        </w:tc>
        <w:tc>
          <w:tcPr>
            <w:tcW w:type="dxa" w:w="1417"/>
          </w:tcPr>
          <w:p>
            <w:r>
              <w:rPr>
                <w:rFonts w:ascii="Times New Roman" w:hAnsi="Times New Roman"/>
                <w:sz w:val="14"/>
              </w:rPr>
              <w:t>Generalizable across hardware platforms</w:t>
            </w:r>
          </w:p>
        </w:tc>
        <w:tc>
          <w:tcPr>
            <w:tcW w:type="dxa" w:w="1417"/>
          </w:tcPr>
          <w:p>
            <w:r>
              <w:rPr>
                <w:rFonts w:ascii="Times New Roman" w:hAnsi="Times New Roman"/>
                <w:sz w:val="14"/>
              </w:rPr>
              <w:t>Assumes stable ambient energy conditions</w:t>
            </w:r>
          </w:p>
        </w:tc>
      </w:tr>
      <w:tr>
        <w:tc>
          <w:tcPr>
            <w:tcW w:type="dxa" w:w="454"/>
          </w:tcPr>
          <w:p>
            <w:r>
              <w:rPr>
                <w:rFonts w:ascii="Times New Roman" w:hAnsi="Times New Roman"/>
                <w:sz w:val="14"/>
              </w:rPr>
              <w:t>[2]</w:t>
            </w:r>
          </w:p>
        </w:tc>
        <w:tc>
          <w:tcPr>
            <w:tcW w:type="dxa" w:w="1417"/>
          </w:tcPr>
          <w:p>
            <w:r>
              <w:rPr>
                <w:rFonts w:ascii="Times New Roman" w:hAnsi="Times New Roman"/>
                <w:sz w:val="14"/>
              </w:rPr>
              <w:t>Design cost-effective battery-less wireless communication</w:t>
            </w:r>
          </w:p>
        </w:tc>
        <w:tc>
          <w:tcPr>
            <w:tcW w:type="dxa" w:w="1587"/>
          </w:tcPr>
          <w:p>
            <w:r>
              <w:rPr>
                <w:rFonts w:ascii="Times New Roman" w:hAnsi="Times New Roman"/>
                <w:sz w:val="14"/>
              </w:rPr>
              <w:t>Energy and timing models with duty-based DPM scheme</w:t>
            </w:r>
          </w:p>
        </w:tc>
        <w:tc>
          <w:tcPr>
            <w:tcW w:type="dxa" w:w="1587"/>
          </w:tcPr>
          <w:p>
            <w:r>
              <w:rPr>
                <w:rFonts w:ascii="Times New Roman" w:hAnsi="Times New Roman"/>
                <w:sz w:val="14"/>
              </w:rPr>
              <w:t>9.1%–90.0% operational time extension</w:t>
            </w:r>
          </w:p>
        </w:tc>
        <w:tc>
          <w:tcPr>
            <w:tcW w:type="dxa" w:w="1417"/>
          </w:tcPr>
          <w:p>
            <w:r>
              <w:rPr>
                <w:rFonts w:ascii="Times New Roman" w:hAnsi="Times New Roman"/>
                <w:sz w:val="14"/>
              </w:rPr>
              <w:t>Actionable design guidelines for engineers</w:t>
            </w:r>
          </w:p>
        </w:tc>
        <w:tc>
          <w:tcPr>
            <w:tcW w:type="dxa" w:w="1417"/>
          </w:tcPr>
          <w:p>
            <w:r>
              <w:rPr>
                <w:rFonts w:ascii="Times New Roman" w:hAnsi="Times New Roman"/>
                <w:sz w:val="14"/>
              </w:rPr>
              <w:t>Single-source harvesting only</w:t>
            </w:r>
          </w:p>
        </w:tc>
      </w:tr>
      <w:tr>
        <w:tc>
          <w:tcPr>
            <w:tcW w:type="dxa" w:w="454"/>
          </w:tcPr>
          <w:p>
            <w:r>
              <w:rPr>
                <w:rFonts w:ascii="Times New Roman" w:hAnsi="Times New Roman"/>
                <w:sz w:val="14"/>
              </w:rPr>
              <w:t>[3]</w:t>
            </w:r>
          </w:p>
        </w:tc>
        <w:tc>
          <w:tcPr>
            <w:tcW w:type="dxa" w:w="1417"/>
          </w:tcPr>
          <w:p>
            <w:r>
              <w:rPr>
                <w:rFonts w:ascii="Times New Roman" w:hAnsi="Times New Roman"/>
                <w:sz w:val="14"/>
              </w:rPr>
              <w:t>Fair and reproducible benchmarking of battery-less systems</w:t>
            </w:r>
          </w:p>
        </w:tc>
        <w:tc>
          <w:tcPr>
            <w:tcW w:type="dxa" w:w="1587"/>
          </w:tcPr>
          <w:p>
            <w:r>
              <w:rPr>
                <w:rFonts w:ascii="Times New Roman" w:hAnsi="Times New Roman"/>
                <w:sz w:val="14"/>
              </w:rPr>
              <w:t>Simulation-based energy stacks with ST-SP optimization</w:t>
            </w:r>
          </w:p>
        </w:tc>
        <w:tc>
          <w:tcPr>
            <w:tcW w:type="dxa" w:w="1587"/>
          </w:tcPr>
          <w:p>
            <w:r>
              <w:rPr>
                <w:rFonts w:ascii="Times New Roman" w:hAnsi="Times New Roman"/>
                <w:sz w:val="14"/>
              </w:rPr>
              <w:t>6.3× evaluation speedup with 7.7% timing error</w:t>
            </w:r>
          </w:p>
        </w:tc>
        <w:tc>
          <w:tcPr>
            <w:tcW w:type="dxa" w:w="1417"/>
          </w:tcPr>
          <w:p>
            <w:r>
              <w:rPr>
                <w:rFonts w:ascii="Times New Roman" w:hAnsi="Times New Roman"/>
                <w:sz w:val="14"/>
              </w:rPr>
              <w:t>Deterministic energy-equivalent evaluation</w:t>
            </w:r>
          </w:p>
        </w:tc>
        <w:tc>
          <w:tcPr>
            <w:tcW w:type="dxa" w:w="1417"/>
          </w:tcPr>
          <w:p>
            <w:r>
              <w:rPr>
                <w:rFonts w:ascii="Times New Roman" w:hAnsi="Times New Roman"/>
                <w:sz w:val="14"/>
              </w:rPr>
              <w:t>Simulation-only; lacks hardware-in-the-loop</w:t>
            </w:r>
          </w:p>
        </w:tc>
      </w:tr>
      <w:tr>
        <w:tc>
          <w:tcPr>
            <w:tcW w:type="dxa" w:w="454"/>
          </w:tcPr>
          <w:p>
            <w:r>
              <w:rPr>
                <w:rFonts w:ascii="Times New Roman" w:hAnsi="Times New Roman"/>
                <w:sz w:val="14"/>
              </w:rPr>
              <w:t>[4]</w:t>
            </w:r>
          </w:p>
        </w:tc>
        <w:tc>
          <w:tcPr>
            <w:tcW w:type="dxa" w:w="1417"/>
          </w:tcPr>
          <w:p>
            <w:r>
              <w:rPr>
                <w:rFonts w:ascii="Times New Roman" w:hAnsi="Times New Roman"/>
                <w:sz w:val="14"/>
              </w:rPr>
              <w:t>Energy-harvesting-aware neural architecture search</w:t>
            </w:r>
          </w:p>
        </w:tc>
        <w:tc>
          <w:tcPr>
            <w:tcW w:type="dxa" w:w="1587"/>
          </w:tcPr>
          <w:p>
            <w:r>
              <w:rPr>
                <w:rFonts w:ascii="Times New Roman" w:hAnsi="Times New Roman"/>
                <w:sz w:val="14"/>
              </w:rPr>
              <w:t>Multi-objective NAS with intermittent execution modeling</w:t>
            </w:r>
          </w:p>
        </w:tc>
        <w:tc>
          <w:tcPr>
            <w:tcW w:type="dxa" w:w="1587"/>
          </w:tcPr>
          <w:p>
            <w:r>
              <w:rPr>
                <w:rFonts w:ascii="Times New Roman" w:hAnsi="Times New Roman"/>
                <w:sz w:val="14"/>
              </w:rPr>
              <w:t>Architectures completing inference in one harvest cycle</w:t>
            </w:r>
          </w:p>
        </w:tc>
        <w:tc>
          <w:tcPr>
            <w:tcW w:type="dxa" w:w="1417"/>
          </w:tcPr>
          <w:p>
            <w:r>
              <w:rPr>
                <w:rFonts w:ascii="Times New Roman" w:hAnsi="Times New Roman"/>
                <w:sz w:val="14"/>
              </w:rPr>
              <w:t>Pioneer in Intermittent TinyML</w:t>
            </w:r>
          </w:p>
        </w:tc>
        <w:tc>
          <w:tcPr>
            <w:tcW w:type="dxa" w:w="1417"/>
          </w:tcPr>
          <w:p>
            <w:r>
              <w:rPr>
                <w:rFonts w:ascii="Times New Roman" w:hAnsi="Times New Roman"/>
                <w:sz w:val="14"/>
              </w:rPr>
              <w:t>Limited task and harvesting profile diversity</w:t>
            </w:r>
          </w:p>
        </w:tc>
      </w:tr>
      <w:tr>
        <w:tc>
          <w:tcPr>
            <w:tcW w:type="dxa" w:w="454"/>
          </w:tcPr>
          <w:p>
            <w:r>
              <w:rPr>
                <w:rFonts w:ascii="Times New Roman" w:hAnsi="Times New Roman"/>
                <w:sz w:val="14"/>
              </w:rPr>
              <w:t>[5]</w:t>
            </w:r>
          </w:p>
        </w:tc>
        <w:tc>
          <w:tcPr>
            <w:tcW w:type="dxa" w:w="1417"/>
          </w:tcPr>
          <w:p>
            <w:r>
              <w:rPr>
                <w:rFonts w:ascii="Times New Roman" w:hAnsi="Times New Roman"/>
                <w:sz w:val="14"/>
              </w:rPr>
              <w:t>UAV-powered battery-free agricultural monitoring</w:t>
            </w:r>
          </w:p>
        </w:tc>
        <w:tc>
          <w:tcPr>
            <w:tcW w:type="dxa" w:w="1587"/>
          </w:tcPr>
          <w:p>
            <w:r>
              <w:rPr>
                <w:rFonts w:ascii="Times New Roman" w:hAnsi="Times New Roman"/>
                <w:sz w:val="14"/>
              </w:rPr>
              <w:t>RF energy harvesting with backscatter communication</w:t>
            </w:r>
          </w:p>
        </w:tc>
        <w:tc>
          <w:tcPr>
            <w:tcW w:type="dxa" w:w="1587"/>
          </w:tcPr>
          <w:p>
            <w:r>
              <w:rPr>
                <w:rFonts w:ascii="Times New Roman" w:hAnsi="Times New Roman"/>
                <w:sz w:val="14"/>
              </w:rPr>
              <w:t>Successful ground tests; aerial tests revealed RF challenges</w:t>
            </w:r>
          </w:p>
        </w:tc>
        <w:tc>
          <w:tcPr>
            <w:tcW w:type="dxa" w:w="1417"/>
          </w:tcPr>
          <w:p>
            <w:r>
              <w:rPr>
                <w:rFonts w:ascii="Times New Roman" w:hAnsi="Times New Roman"/>
                <w:sz w:val="14"/>
              </w:rPr>
              <w:t>Complete end-to-end system demonstration</w:t>
            </w:r>
          </w:p>
        </w:tc>
        <w:tc>
          <w:tcPr>
            <w:tcW w:type="dxa" w:w="1417"/>
          </w:tcPr>
          <w:p>
            <w:r>
              <w:rPr>
                <w:rFonts w:ascii="Times New Roman" w:hAnsi="Times New Roman"/>
                <w:sz w:val="14"/>
              </w:rPr>
              <w:t>Sensitive to RF interference and limited range</w:t>
            </w:r>
          </w:p>
        </w:tc>
      </w:tr>
      <w:tr>
        <w:tc>
          <w:tcPr>
            <w:tcW w:type="dxa" w:w="454"/>
          </w:tcPr>
          <w:p>
            <w:r>
              <w:rPr>
                <w:rFonts w:ascii="Times New Roman" w:hAnsi="Times New Roman"/>
                <w:sz w:val="14"/>
              </w:rPr>
              <w:t>[6]</w:t>
            </w:r>
          </w:p>
        </w:tc>
        <w:tc>
          <w:tcPr>
            <w:tcW w:type="dxa" w:w="1417"/>
          </w:tcPr>
          <w:p>
            <w:r>
              <w:rPr>
                <w:rFonts w:ascii="Times New Roman" w:hAnsi="Times New Roman"/>
                <w:sz w:val="14"/>
              </w:rPr>
              <w:t>Survey of batteryless IoT circuit and system design</w:t>
            </w:r>
          </w:p>
        </w:tc>
        <w:tc>
          <w:tcPr>
            <w:tcW w:type="dxa" w:w="1587"/>
          </w:tcPr>
          <w:p>
            <w:r>
              <w:rPr>
                <w:rFonts w:ascii="Times New Roman" w:hAnsi="Times New Roman"/>
                <w:sz w:val="14"/>
              </w:rPr>
              <w:t>Systematic literature survey and taxonomy</w:t>
            </w:r>
          </w:p>
        </w:tc>
        <w:tc>
          <w:tcPr>
            <w:tcW w:type="dxa" w:w="1587"/>
          </w:tcPr>
          <w:p>
            <w:r>
              <w:rPr>
                <w:rFonts w:ascii="Times New Roman" w:hAnsi="Times New Roman"/>
                <w:sz w:val="14"/>
              </w:rPr>
              <w:t>Comprehensive taxonomy of intermittent computing approaches</w:t>
            </w:r>
          </w:p>
        </w:tc>
        <w:tc>
          <w:tcPr>
            <w:tcW w:type="dxa" w:w="1417"/>
          </w:tcPr>
          <w:p>
            <w:r>
              <w:rPr>
                <w:rFonts w:ascii="Times New Roman" w:hAnsi="Times New Roman"/>
                <w:sz w:val="14"/>
              </w:rPr>
              <w:t>Broad coverage and accessible organization</w:t>
            </w:r>
          </w:p>
        </w:tc>
        <w:tc>
          <w:tcPr>
            <w:tcW w:type="dxa" w:w="1417"/>
          </w:tcPr>
          <w:p>
            <w:r>
              <w:rPr>
                <w:rFonts w:ascii="Times New Roman" w:hAnsi="Times New Roman"/>
                <w:sz w:val="14"/>
              </w:rPr>
              <w:t>Limited software and application-level coverage</w:t>
            </w:r>
          </w:p>
        </w:tc>
      </w:tr>
    </w:tbl>
    <w:p>
      <w:pPr>
        <w:spacing w:after="120"/>
      </w:pPr>
    </w:p>
    <w:p>
      <w:pPr>
        <w:spacing w:before="200" w:after="80"/>
        <w:jc w:val="center"/>
      </w:pPr>
      <w:r>
        <w:rPr>
          <w:rFonts w:ascii="Times New Roman" w:hAnsi="Times New Roman"/>
          <w:b/>
          <w:sz w:val="20"/>
        </w:rPr>
        <w:t>III. METHODOLOGY ADOPTED BY THE REVIEWED WORKS</w:t>
      </w:r>
    </w:p>
    <w:p>
      <w:pPr>
        <w:spacing w:after="40"/>
        <w:jc w:val="both"/>
      </w:pPr>
      <w:r>
        <w:rPr>
          <w:rFonts w:ascii="Times New Roman" w:hAnsi="Times New Roman"/>
          <w:sz w:val="20"/>
        </w:rPr>
        <w:t>The research methodologies adopted across the six reviewed papers can be classified into four principal categories: analytical modeling, experimental prototyping, simulation-based evaluation, and systematic literature survey. This section provides a summary and classification of these methodological approaches, along with a discussion of the algorithms, frameworks, architectures, and evaluation techniques employed.</w:t>
      </w:r>
    </w:p>
    <w:p>
      <w:pPr>
        <w:spacing w:before="160" w:after="60"/>
      </w:pPr>
      <w:r>
        <w:rPr>
          <w:rFonts w:ascii="Times New Roman" w:hAnsi="Times New Roman"/>
          <w:b/>
          <w:i/>
          <w:sz w:val="20"/>
        </w:rPr>
        <w:t>A. Analytical and Mathematical Modeling</w:t>
      </w:r>
    </w:p>
    <w:p>
      <w:pPr>
        <w:spacing w:after="40"/>
        <w:ind w:firstLine="283"/>
        <w:jc w:val="both"/>
      </w:pPr>
      <w:r>
        <w:rPr>
          <w:rFonts w:ascii="Times New Roman" w:hAnsi="Times New Roman"/>
          <w:sz w:val="20"/>
        </w:rPr>
        <w:t>Paper [1] and [2] use math model. Paper [1] write math equation for supercapacitor and power. They test part by part to get math numbers. Paper [2] use math to balance energy and time for communication. Both help test design before make real hardware.</w:t>
      </w:r>
    </w:p>
    <w:p>
      <w:pPr>
        <w:spacing w:before="160" w:after="60"/>
      </w:pPr>
      <w:r>
        <w:rPr>
          <w:rFonts w:ascii="Times New Roman" w:hAnsi="Times New Roman"/>
          <w:b/>
          <w:i/>
          <w:sz w:val="20"/>
        </w:rPr>
        <w:t>B. Experimental Prototyping and Field Testing</w:t>
      </w:r>
    </w:p>
    <w:p>
      <w:pPr>
        <w:spacing w:after="40"/>
        <w:ind w:firstLine="283"/>
        <w:jc w:val="both"/>
      </w:pPr>
      <w:r>
        <w:rPr>
          <w:rFonts w:ascii="Times New Roman" w:hAnsi="Times New Roman"/>
          <w:sz w:val="20"/>
        </w:rPr>
        <w:t>Paper [1], [2], and [5] make real hardware to test. Paper [1] test IoT node with room light. Paper [2] test power manage with real energy profile. Paper [5] test farm sensor with drone in real field. Real test is very important to see if math model is correct in real world.</w:t>
      </w:r>
    </w:p>
    <w:p>
      <w:pPr>
        <w:spacing w:before="160" w:after="60"/>
      </w:pPr>
      <w:r>
        <w:rPr>
          <w:rFonts w:ascii="Times New Roman" w:hAnsi="Times New Roman"/>
          <w:b/>
          <w:i/>
          <w:sz w:val="20"/>
        </w:rPr>
        <w:t>C. Simulation-Based Evaluation and Automated Search</w:t>
      </w:r>
    </w:p>
    <w:p>
      <w:pPr>
        <w:spacing w:after="40"/>
        <w:ind w:firstLine="283"/>
        <w:jc w:val="both"/>
      </w:pPr>
      <w:r>
        <w:rPr>
          <w:rFonts w:ascii="Times New Roman" w:hAnsi="Times New Roman"/>
          <w:sz w:val="20"/>
        </w:rPr>
        <w:t>Paper [3] and [4] use computer simulation. EStacker [3] simulate time and energy very detail. It use smart way to cut simulation time. HANNA [4] simulate AI on intermittent power. It use optimization to balance accuracy and energy cost.</w:t>
      </w:r>
    </w:p>
    <w:p>
      <w:pPr>
        <w:spacing w:before="160" w:after="60"/>
      </w:pPr>
      <w:r>
        <w:rPr>
          <w:rFonts w:ascii="Times New Roman" w:hAnsi="Times New Roman"/>
          <w:b/>
          <w:i/>
          <w:sz w:val="20"/>
        </w:rPr>
        <w:t>D. Systematic Literature Survey</w:t>
      </w:r>
    </w:p>
    <w:p>
      <w:pPr>
        <w:spacing w:after="40"/>
        <w:ind w:firstLine="283"/>
        <w:jc w:val="both"/>
      </w:pPr>
      <w:r>
        <w:rPr>
          <w:rFonts w:ascii="Times New Roman" w:hAnsi="Times New Roman"/>
          <w:sz w:val="20"/>
        </w:rPr>
        <w:t>Paper [6] is survey paper. It read many old paper and put them in groups. It group by hardware part and execution type. This help see what is good and bad, and show what researcher do now.</w:t>
      </w:r>
    </w:p>
    <w:p>
      <w:pPr>
        <w:spacing w:before="120" w:after="40"/>
        <w:jc w:val="center"/>
      </w:pPr>
      <w:r>
        <w:rPr>
          <w:rFonts w:ascii="Times New Roman" w:hAnsi="Times New Roman"/>
          <w:b/>
          <w:sz w:val="16"/>
        </w:rPr>
        <w:t>TABLE II: Classification of Research Methodologies</w:t>
      </w:r>
    </w:p>
    <w:tbl>
      <w:tblPr>
        <w:tblStyle w:val="TableGrid"/>
        <w:tblW w:type="auto" w:w="0"/>
        <w:tblLook w:firstColumn="1" w:firstRow="1" w:lastColumn="0" w:lastRow="0" w:noHBand="0" w:noVBand="1" w:val="04A0"/>
      </w:tblPr>
      <w:tblGrid>
        <w:gridCol w:w="2472"/>
        <w:gridCol w:w="2472"/>
        <w:gridCol w:w="2472"/>
        <w:gridCol w:w="2472"/>
      </w:tblGrid>
      <w:tr>
        <w:tc>
          <w:tcPr>
            <w:tcW w:type="dxa" w:w="1417"/>
          </w:tcPr>
          <w:p>
            <w:r>
              <w:rPr>
                <w:rFonts w:ascii="Times New Roman" w:hAnsi="Times New Roman"/>
                <w:b/>
                <w:sz w:val="14"/>
              </w:rPr>
              <w:t>Methodology</w:t>
            </w:r>
          </w:p>
        </w:tc>
        <w:tc>
          <w:tcPr>
            <w:tcW w:type="dxa" w:w="850"/>
          </w:tcPr>
          <w:p>
            <w:r>
              <w:rPr>
                <w:rFonts w:ascii="Times New Roman" w:hAnsi="Times New Roman"/>
                <w:b/>
                <w:sz w:val="14"/>
              </w:rPr>
              <w:t>Papers</w:t>
            </w:r>
          </w:p>
        </w:tc>
        <w:tc>
          <w:tcPr>
            <w:tcW w:type="dxa" w:w="2835"/>
          </w:tcPr>
          <w:p>
            <w:r>
              <w:rPr>
                <w:rFonts w:ascii="Times New Roman" w:hAnsi="Times New Roman"/>
                <w:b/>
                <w:sz w:val="14"/>
              </w:rPr>
              <w:t>Key Techniques</w:t>
            </w:r>
          </w:p>
        </w:tc>
        <w:tc>
          <w:tcPr>
            <w:tcW w:type="dxa" w:w="1984"/>
          </w:tcPr>
          <w:p>
            <w:r>
              <w:rPr>
                <w:rFonts w:ascii="Times New Roman" w:hAnsi="Times New Roman"/>
                <w:b/>
                <w:sz w:val="14"/>
              </w:rPr>
              <w:t>Evaluation Approach</w:t>
            </w:r>
          </w:p>
        </w:tc>
      </w:tr>
      <w:tr>
        <w:tc>
          <w:tcPr>
            <w:tcW w:type="dxa" w:w="1417"/>
          </w:tcPr>
          <w:p>
            <w:r>
              <w:rPr>
                <w:rFonts w:ascii="Times New Roman" w:hAnsi="Times New Roman"/>
                <w:sz w:val="14"/>
              </w:rPr>
              <w:t>Analytical Modeling</w:t>
            </w:r>
          </w:p>
        </w:tc>
        <w:tc>
          <w:tcPr>
            <w:tcW w:type="dxa" w:w="850"/>
          </w:tcPr>
          <w:p>
            <w:r>
              <w:rPr>
                <w:rFonts w:ascii="Times New Roman" w:hAnsi="Times New Roman"/>
                <w:sz w:val="14"/>
              </w:rPr>
              <w:t>[1], [2]</w:t>
            </w:r>
          </w:p>
        </w:tc>
        <w:tc>
          <w:tcPr>
            <w:tcW w:type="dxa" w:w="2835"/>
          </w:tcPr>
          <w:p>
            <w:r>
              <w:rPr>
                <w:rFonts w:ascii="Times New Roman" w:hAnsi="Times New Roman"/>
                <w:sz w:val="14"/>
              </w:rPr>
              <w:t>Differential equations, energy balance models, closed-form solutions</w:t>
            </w:r>
          </w:p>
        </w:tc>
        <w:tc>
          <w:tcPr>
            <w:tcW w:type="dxa" w:w="1984"/>
          </w:tcPr>
          <w:p>
            <w:r>
              <w:rPr>
                <w:rFonts w:ascii="Times New Roman" w:hAnsi="Times New Roman"/>
                <w:sz w:val="14"/>
              </w:rPr>
              <w:t>Comparison with experimental measurements</w:t>
            </w:r>
          </w:p>
        </w:tc>
      </w:tr>
      <w:tr>
        <w:tc>
          <w:tcPr>
            <w:tcW w:type="dxa" w:w="1417"/>
          </w:tcPr>
          <w:p>
            <w:r>
              <w:rPr>
                <w:rFonts w:ascii="Times New Roman" w:hAnsi="Times New Roman"/>
                <w:sz w:val="14"/>
              </w:rPr>
              <w:t>Experimental Prototyping</w:t>
            </w:r>
          </w:p>
        </w:tc>
        <w:tc>
          <w:tcPr>
            <w:tcW w:type="dxa" w:w="850"/>
          </w:tcPr>
          <w:p>
            <w:r>
              <w:rPr>
                <w:rFonts w:ascii="Times New Roman" w:hAnsi="Times New Roman"/>
                <w:sz w:val="14"/>
              </w:rPr>
              <w:t>[1], [2], [5]</w:t>
            </w:r>
          </w:p>
        </w:tc>
        <w:tc>
          <w:tcPr>
            <w:tcW w:type="dxa" w:w="2835"/>
          </w:tcPr>
          <w:p>
            <w:r>
              <w:rPr>
                <w:rFonts w:ascii="Times New Roman" w:hAnsi="Times New Roman"/>
                <w:sz w:val="14"/>
              </w:rPr>
              <w:t>Hardware prototyping, field deployment, controlled experiments</w:t>
            </w:r>
          </w:p>
        </w:tc>
        <w:tc>
          <w:tcPr>
            <w:tcW w:type="dxa" w:w="1984"/>
          </w:tcPr>
          <w:p>
            <w:r>
              <w:rPr>
                <w:rFonts w:ascii="Times New Roman" w:hAnsi="Times New Roman"/>
                <w:sz w:val="14"/>
              </w:rPr>
              <w:t>Real-world measurement and statistical analysis</w:t>
            </w:r>
          </w:p>
        </w:tc>
      </w:tr>
      <w:tr>
        <w:tc>
          <w:tcPr>
            <w:tcW w:type="dxa" w:w="1417"/>
          </w:tcPr>
          <w:p>
            <w:r>
              <w:rPr>
                <w:rFonts w:ascii="Times New Roman" w:hAnsi="Times New Roman"/>
                <w:sz w:val="14"/>
              </w:rPr>
              <w:t>Simulation-Based</w:t>
            </w:r>
          </w:p>
        </w:tc>
        <w:tc>
          <w:tcPr>
            <w:tcW w:type="dxa" w:w="850"/>
          </w:tcPr>
          <w:p>
            <w:r>
              <w:rPr>
                <w:rFonts w:ascii="Times New Roman" w:hAnsi="Times New Roman"/>
                <w:sz w:val="14"/>
              </w:rPr>
              <w:t>[3], [4]</w:t>
            </w:r>
          </w:p>
        </w:tc>
        <w:tc>
          <w:tcPr>
            <w:tcW w:type="dxa" w:w="2835"/>
          </w:tcPr>
          <w:p>
            <w:r>
              <w:rPr>
                <w:rFonts w:ascii="Times New Roman" w:hAnsi="Times New Roman"/>
                <w:sz w:val="14"/>
              </w:rPr>
              <w:t>Cycle-accurate simulation, state-space pruning, multi-objective NAS</w:t>
            </w:r>
          </w:p>
        </w:tc>
        <w:tc>
          <w:tcPr>
            <w:tcW w:type="dxa" w:w="1984"/>
          </w:tcPr>
          <w:p>
            <w:r>
              <w:rPr>
                <w:rFonts w:ascii="Times New Roman" w:hAnsi="Times New Roman"/>
                <w:sz w:val="14"/>
              </w:rPr>
              <w:t>Simulation accuracy metrics, speedup benchmarks</w:t>
            </w:r>
          </w:p>
        </w:tc>
      </w:tr>
      <w:tr>
        <w:tc>
          <w:tcPr>
            <w:tcW w:type="dxa" w:w="1417"/>
          </w:tcPr>
          <w:p>
            <w:r>
              <w:rPr>
                <w:rFonts w:ascii="Times New Roman" w:hAnsi="Times New Roman"/>
                <w:sz w:val="14"/>
              </w:rPr>
              <w:t>Literature Survey</w:t>
            </w:r>
          </w:p>
        </w:tc>
        <w:tc>
          <w:tcPr>
            <w:tcW w:type="dxa" w:w="850"/>
          </w:tcPr>
          <w:p>
            <w:r>
              <w:rPr>
                <w:rFonts w:ascii="Times New Roman" w:hAnsi="Times New Roman"/>
                <w:sz w:val="14"/>
              </w:rPr>
              <w:t>[6]</w:t>
            </w:r>
          </w:p>
        </w:tc>
        <w:tc>
          <w:tcPr>
            <w:tcW w:type="dxa" w:w="2835"/>
          </w:tcPr>
          <w:p>
            <w:r>
              <w:rPr>
                <w:rFonts w:ascii="Times New Roman" w:hAnsi="Times New Roman"/>
                <w:sz w:val="14"/>
              </w:rPr>
              <w:t>Taxonomic classification, systematic review</w:t>
            </w:r>
          </w:p>
        </w:tc>
        <w:tc>
          <w:tcPr>
            <w:tcW w:type="dxa" w:w="1984"/>
          </w:tcPr>
          <w:p>
            <w:r>
              <w:rPr>
                <w:rFonts w:ascii="Times New Roman" w:hAnsi="Times New Roman"/>
                <w:sz w:val="14"/>
              </w:rPr>
              <w:t>Coverage analysis, gap identification</w:t>
            </w:r>
          </w:p>
        </w:tc>
      </w:tr>
    </w:tbl>
    <w:p>
      <w:pPr>
        <w:spacing w:after="120"/>
      </w:pPr>
    </w:p>
    <w:p>
      <w:pPr>
        <w:spacing w:before="200" w:after="80"/>
        <w:jc w:val="center"/>
      </w:pPr>
      <w:r>
        <w:rPr>
          <w:rFonts w:ascii="Times New Roman" w:hAnsi="Times New Roman"/>
          <w:b/>
          <w:sz w:val="20"/>
        </w:rPr>
        <w:t>IV. RESULTS AND DISCUSSION</w:t>
      </w:r>
    </w:p>
    <w:p>
      <w:pPr>
        <w:spacing w:after="40"/>
        <w:jc w:val="both"/>
      </w:pPr>
      <w:r>
        <w:rPr>
          <w:rFonts w:ascii="Times New Roman" w:hAnsi="Times New Roman"/>
          <w:sz w:val="20"/>
        </w:rPr>
        <w:t>This section presents a comparative analysis of the reviewed studies, discusses key findings and performance metrics, examines emerging research trends, and identifies critical research gaps that remain unaddressed in the current literature.</w:t>
      </w:r>
    </w:p>
    <w:p>
      <w:pPr>
        <w:spacing w:before="160" w:after="60"/>
      </w:pPr>
      <w:r>
        <w:rPr>
          <w:rFonts w:ascii="Times New Roman" w:hAnsi="Times New Roman"/>
          <w:b/>
          <w:i/>
          <w:sz w:val="20"/>
        </w:rPr>
        <w:t>A. Comparative Analysis of Reviewed Studies</w:t>
      </w:r>
    </w:p>
    <w:p>
      <w:pPr>
        <w:spacing w:after="40"/>
        <w:ind w:firstLine="283"/>
        <w:jc w:val="both"/>
      </w:pPr>
      <w:r>
        <w:rPr>
          <w:rFonts w:ascii="Times New Roman" w:hAnsi="Times New Roman"/>
          <w:sz w:val="20"/>
        </w:rPr>
        <w:t>The 6 paper show 3 main research area. Paper [1] and [2] do math and design rule. Paper [3] and [4] make test tool and AI architecture. Paper [5] and [6] do real farm application and big survey review. All are important for battery-free system.</w:t>
      </w:r>
    </w:p>
    <w:p>
      <w:pPr>
        <w:spacing w:after="40"/>
        <w:ind w:firstLine="283"/>
        <w:jc w:val="both"/>
      </w:pPr>
      <w:r>
        <w:rPr>
          <w:rFonts w:ascii="Times New Roman" w:hAnsi="Times New Roman"/>
          <w:sz w:val="20"/>
        </w:rPr>
        <w:t>All paper show that researcher now care about real use, not just show it work. Math from [1] and rule from [2] help each other. EStacker [3] can test AI from HANNA [4]. They all connect together to make battery-free system better.</w:t>
      </w:r>
    </w:p>
    <w:p>
      <w:pPr>
        <w:spacing w:before="160" w:after="60"/>
      </w:pPr>
      <w:r>
        <w:rPr>
          <w:rFonts w:ascii="Times New Roman" w:hAnsi="Times New Roman"/>
          <w:b/>
          <w:i/>
          <w:sz w:val="20"/>
        </w:rPr>
        <w:t>B. Key Findings and Performance Metrics</w:t>
      </w:r>
    </w:p>
    <w:p>
      <w:pPr>
        <w:spacing w:after="40"/>
        <w:ind w:firstLine="283"/>
        <w:jc w:val="both"/>
      </w:pPr>
      <w:r>
        <w:rPr>
          <w:rFonts w:ascii="Times New Roman" w:hAnsi="Times New Roman"/>
          <w:sz w:val="20"/>
        </w:rPr>
        <w:t>The number result in paper show big improvement. Table III show main performance number for all paper.</w:t>
      </w:r>
    </w:p>
    <w:p>
      <w:pPr>
        <w:spacing w:before="120" w:after="40"/>
        <w:jc w:val="center"/>
      </w:pPr>
      <w:r>
        <w:rPr>
          <w:rFonts w:ascii="Times New Roman" w:hAnsi="Times New Roman"/>
          <w:b/>
          <w:sz w:val="16"/>
        </w:rPr>
        <w:t>TABLE III: Quantitative Performance Metrics of Reviewed Studies</w:t>
      </w:r>
    </w:p>
    <w:tbl>
      <w:tblPr>
        <w:tblStyle w:val="TableGrid"/>
        <w:tblW w:type="auto" w:w="0"/>
        <w:tblLook w:firstColumn="1" w:firstRow="1" w:lastColumn="0" w:lastRow="0" w:noHBand="0" w:noVBand="1" w:val="04A0"/>
      </w:tblPr>
      <w:tblGrid>
        <w:gridCol w:w="1978"/>
        <w:gridCol w:w="1978"/>
        <w:gridCol w:w="1978"/>
        <w:gridCol w:w="1978"/>
        <w:gridCol w:w="1978"/>
      </w:tblGrid>
      <w:tr>
        <w:tc>
          <w:tcPr>
            <w:tcW w:type="dxa" w:w="397"/>
          </w:tcPr>
          <w:p>
            <w:r>
              <w:rPr>
                <w:rFonts w:ascii="Times New Roman" w:hAnsi="Times New Roman"/>
                <w:b/>
                <w:sz w:val="14"/>
              </w:rPr>
              <w:t>Ref.</w:t>
            </w:r>
          </w:p>
        </w:tc>
        <w:tc>
          <w:tcPr>
            <w:tcW w:type="dxa" w:w="1587"/>
          </w:tcPr>
          <w:p>
            <w:r>
              <w:rPr>
                <w:rFonts w:ascii="Times New Roman" w:hAnsi="Times New Roman"/>
                <w:b/>
                <w:sz w:val="14"/>
              </w:rPr>
              <w:t>Metric</w:t>
            </w:r>
          </w:p>
        </w:tc>
        <w:tc>
          <w:tcPr>
            <w:tcW w:type="dxa" w:w="1417"/>
          </w:tcPr>
          <w:p>
            <w:r>
              <w:rPr>
                <w:rFonts w:ascii="Times New Roman" w:hAnsi="Times New Roman"/>
                <w:b/>
                <w:sz w:val="14"/>
              </w:rPr>
              <w:t>Value</w:t>
            </w:r>
          </w:p>
        </w:tc>
        <w:tc>
          <w:tcPr>
            <w:tcW w:type="dxa" w:w="1417"/>
          </w:tcPr>
          <w:p>
            <w:r>
              <w:rPr>
                <w:rFonts w:ascii="Times New Roman" w:hAnsi="Times New Roman"/>
                <w:b/>
                <w:sz w:val="14"/>
              </w:rPr>
              <w:t>Improvement</w:t>
            </w:r>
          </w:p>
        </w:tc>
        <w:tc>
          <w:tcPr>
            <w:tcW w:type="dxa" w:w="1417"/>
          </w:tcPr>
          <w:p>
            <w:r>
              <w:rPr>
                <w:rFonts w:ascii="Times New Roman" w:hAnsi="Times New Roman"/>
                <w:b/>
                <w:sz w:val="14"/>
              </w:rPr>
              <w:t>Baseline</w:t>
            </w:r>
          </w:p>
        </w:tc>
      </w:tr>
      <w:tr>
        <w:tc>
          <w:tcPr>
            <w:tcW w:type="dxa" w:w="397"/>
          </w:tcPr>
          <w:p>
            <w:r>
              <w:rPr>
                <w:rFonts w:ascii="Times New Roman" w:hAnsi="Times New Roman"/>
                <w:sz w:val="14"/>
              </w:rPr>
              <w:t>[1]</w:t>
            </w:r>
          </w:p>
        </w:tc>
        <w:tc>
          <w:tcPr>
            <w:tcW w:type="dxa" w:w="1587"/>
          </w:tcPr>
          <w:p>
            <w:r>
              <w:rPr>
                <w:rFonts w:ascii="Times New Roman" w:hAnsi="Times New Roman"/>
                <w:sz w:val="14"/>
              </w:rPr>
              <w:t>Voltage prediction accuracy</w:t>
            </w:r>
          </w:p>
        </w:tc>
        <w:tc>
          <w:tcPr>
            <w:tcW w:type="dxa" w:w="1417"/>
          </w:tcPr>
          <w:p>
            <w:r>
              <w:rPr>
                <w:rFonts w:ascii="Times New Roman" w:hAnsi="Times New Roman"/>
                <w:sz w:val="14"/>
              </w:rPr>
              <w:t>3 scenarios validated</w:t>
            </w:r>
          </w:p>
        </w:tc>
        <w:tc>
          <w:tcPr>
            <w:tcW w:type="dxa" w:w="1417"/>
          </w:tcPr>
          <w:p>
            <w:r>
              <w:rPr>
                <w:rFonts w:ascii="Times New Roman" w:hAnsi="Times New Roman"/>
                <w:sz w:val="14"/>
              </w:rPr>
              <w:t>High correlation</w:t>
            </w:r>
          </w:p>
        </w:tc>
        <w:tc>
          <w:tcPr>
            <w:tcW w:type="dxa" w:w="1417"/>
          </w:tcPr>
          <w:p>
            <w:r>
              <w:rPr>
                <w:rFonts w:ascii="Times New Roman" w:hAnsi="Times New Roman"/>
                <w:sz w:val="14"/>
              </w:rPr>
              <w:t>Measured profiles</w:t>
            </w:r>
          </w:p>
        </w:tc>
      </w:tr>
      <w:tr>
        <w:tc>
          <w:tcPr>
            <w:tcW w:type="dxa" w:w="397"/>
          </w:tcPr>
          <w:p>
            <w:r>
              <w:rPr>
                <w:rFonts w:ascii="Times New Roman" w:hAnsi="Times New Roman"/>
                <w:sz w:val="14"/>
              </w:rPr>
              <w:t>[2]</w:t>
            </w:r>
          </w:p>
        </w:tc>
        <w:tc>
          <w:tcPr>
            <w:tcW w:type="dxa" w:w="1587"/>
          </w:tcPr>
          <w:p>
            <w:r>
              <w:rPr>
                <w:rFonts w:ascii="Times New Roman" w:hAnsi="Times New Roman"/>
                <w:sz w:val="14"/>
              </w:rPr>
              <w:t>Operational time extension</w:t>
            </w:r>
          </w:p>
        </w:tc>
        <w:tc>
          <w:tcPr>
            <w:tcW w:type="dxa" w:w="1417"/>
          </w:tcPr>
          <w:p>
            <w:r>
              <w:rPr>
                <w:rFonts w:ascii="Times New Roman" w:hAnsi="Times New Roman"/>
                <w:sz w:val="14"/>
              </w:rPr>
              <w:t>9.1%–90.0%</w:t>
            </w:r>
          </w:p>
        </w:tc>
        <w:tc>
          <w:tcPr>
            <w:tcW w:type="dxa" w:w="1417"/>
          </w:tcPr>
          <w:p>
            <w:r>
              <w:rPr>
                <w:rFonts w:ascii="Times New Roman" w:hAnsi="Times New Roman"/>
                <w:sz w:val="14"/>
              </w:rPr>
              <w:t>+9.1% to +90.0%</w:t>
            </w:r>
          </w:p>
        </w:tc>
        <w:tc>
          <w:tcPr>
            <w:tcW w:type="dxa" w:w="1417"/>
          </w:tcPr>
          <w:p>
            <w:r>
              <w:rPr>
                <w:rFonts w:ascii="Times New Roman" w:hAnsi="Times New Roman"/>
                <w:sz w:val="14"/>
              </w:rPr>
              <w:t>Threshold-based DPM</w:t>
            </w:r>
          </w:p>
        </w:tc>
      </w:tr>
      <w:tr>
        <w:tc>
          <w:tcPr>
            <w:tcW w:type="dxa" w:w="397"/>
          </w:tcPr>
          <w:p>
            <w:r>
              <w:rPr>
                <w:rFonts w:ascii="Times New Roman" w:hAnsi="Times New Roman"/>
                <w:sz w:val="14"/>
              </w:rPr>
              <w:t>[3]</w:t>
            </w:r>
          </w:p>
        </w:tc>
        <w:tc>
          <w:tcPr>
            <w:tcW w:type="dxa" w:w="1587"/>
          </w:tcPr>
          <w:p>
            <w:r>
              <w:rPr>
                <w:rFonts w:ascii="Times New Roman" w:hAnsi="Times New Roman"/>
                <w:sz w:val="14"/>
              </w:rPr>
              <w:t>Evaluation speedup (ST-SP)</w:t>
            </w:r>
          </w:p>
        </w:tc>
        <w:tc>
          <w:tcPr>
            <w:tcW w:type="dxa" w:w="1417"/>
          </w:tcPr>
          <w:p>
            <w:r>
              <w:rPr>
                <w:rFonts w:ascii="Times New Roman" w:hAnsi="Times New Roman"/>
                <w:sz w:val="14"/>
              </w:rPr>
              <w:t>6.3x</w:t>
            </w:r>
          </w:p>
        </w:tc>
        <w:tc>
          <w:tcPr>
            <w:tcW w:type="dxa" w:w="1417"/>
          </w:tcPr>
          <w:p>
            <w:r>
              <w:rPr>
                <w:rFonts w:ascii="Times New Roman" w:hAnsi="Times New Roman"/>
                <w:sz w:val="14"/>
              </w:rPr>
              <w:t>41.7 days → 7.7 days</w:t>
            </w:r>
          </w:p>
        </w:tc>
        <w:tc>
          <w:tcPr>
            <w:tcW w:type="dxa" w:w="1417"/>
          </w:tcPr>
          <w:p>
            <w:r>
              <w:rPr>
                <w:rFonts w:ascii="Times New Roman" w:hAnsi="Times New Roman"/>
                <w:sz w:val="14"/>
              </w:rPr>
              <w:t>Full simulation</w:t>
            </w:r>
          </w:p>
        </w:tc>
      </w:tr>
      <w:tr>
        <w:tc>
          <w:tcPr>
            <w:tcW w:type="dxa" w:w="397"/>
          </w:tcPr>
          <w:p>
            <w:r>
              <w:rPr>
                <w:rFonts w:ascii="Times New Roman" w:hAnsi="Times New Roman"/>
                <w:sz w:val="14"/>
              </w:rPr>
              <w:t>[3]</w:t>
            </w:r>
          </w:p>
        </w:tc>
        <w:tc>
          <w:tcPr>
            <w:tcW w:type="dxa" w:w="1587"/>
          </w:tcPr>
          <w:p>
            <w:r>
              <w:rPr>
                <w:rFonts w:ascii="Times New Roman" w:hAnsi="Times New Roman"/>
                <w:sz w:val="14"/>
              </w:rPr>
              <w:t>Throughput timing error</w:t>
            </w:r>
          </w:p>
        </w:tc>
        <w:tc>
          <w:tcPr>
            <w:tcW w:type="dxa" w:w="1417"/>
          </w:tcPr>
          <w:p>
            <w:r>
              <w:rPr>
                <w:rFonts w:ascii="Times New Roman" w:hAnsi="Times New Roman"/>
                <w:sz w:val="14"/>
              </w:rPr>
              <w:t>7.7%</w:t>
            </w:r>
          </w:p>
        </w:tc>
        <w:tc>
          <w:tcPr>
            <w:tcW w:type="dxa" w:w="1417"/>
          </w:tcPr>
          <w:p>
            <w:r>
              <w:rPr>
                <w:rFonts w:ascii="Times New Roman" w:hAnsi="Times New Roman"/>
                <w:sz w:val="14"/>
              </w:rPr>
              <w:t>N/A</w:t>
            </w:r>
          </w:p>
        </w:tc>
        <w:tc>
          <w:tcPr>
            <w:tcW w:type="dxa" w:w="1417"/>
          </w:tcPr>
          <w:p>
            <w:r>
              <w:rPr>
                <w:rFonts w:ascii="Times New Roman" w:hAnsi="Times New Roman"/>
                <w:sz w:val="14"/>
              </w:rPr>
              <w:t>Cycle-accurate sim.</w:t>
            </w:r>
          </w:p>
        </w:tc>
      </w:tr>
      <w:tr>
        <w:tc>
          <w:tcPr>
            <w:tcW w:type="dxa" w:w="397"/>
          </w:tcPr>
          <w:p>
            <w:r>
              <w:rPr>
                <w:rFonts w:ascii="Times New Roman" w:hAnsi="Times New Roman"/>
                <w:sz w:val="14"/>
              </w:rPr>
              <w:t>[3]</w:t>
            </w:r>
          </w:p>
        </w:tc>
        <w:tc>
          <w:tcPr>
            <w:tcW w:type="dxa" w:w="1587"/>
          </w:tcPr>
          <w:p>
            <w:r>
              <w:rPr>
                <w:rFonts w:ascii="Times New Roman" w:hAnsi="Times New Roman"/>
                <w:sz w:val="14"/>
              </w:rPr>
              <w:t>App. performance gain</w:t>
            </w:r>
          </w:p>
        </w:tc>
        <w:tc>
          <w:tcPr>
            <w:tcW w:type="dxa" w:w="1417"/>
          </w:tcPr>
          <w:p>
            <w:r>
              <w:rPr>
                <w:rFonts w:ascii="Times New Roman" w:hAnsi="Times New Roman"/>
                <w:sz w:val="14"/>
              </w:rPr>
              <w:t>3.3x</w:t>
            </w:r>
          </w:p>
        </w:tc>
        <w:tc>
          <w:tcPr>
            <w:tcW w:type="dxa" w:w="1417"/>
          </w:tcPr>
          <w:p>
            <w:r>
              <w:rPr>
                <w:rFonts w:ascii="Times New Roman" w:hAnsi="Times New Roman"/>
                <w:sz w:val="14"/>
              </w:rPr>
              <w:t>+230%</w:t>
            </w:r>
          </w:p>
        </w:tc>
        <w:tc>
          <w:tcPr>
            <w:tcW w:type="dxa" w:w="1417"/>
          </w:tcPr>
          <w:p>
            <w:r>
              <w:rPr>
                <w:rFonts w:ascii="Times New Roman" w:hAnsi="Times New Roman"/>
                <w:sz w:val="14"/>
              </w:rPr>
              <w:t>Unoptimized config.</w:t>
            </w:r>
          </w:p>
        </w:tc>
      </w:tr>
      <w:tr>
        <w:tc>
          <w:tcPr>
            <w:tcW w:type="dxa" w:w="397"/>
          </w:tcPr>
          <w:p>
            <w:r>
              <w:rPr>
                <w:rFonts w:ascii="Times New Roman" w:hAnsi="Times New Roman"/>
                <w:sz w:val="14"/>
              </w:rPr>
              <w:t>[4]</w:t>
            </w:r>
          </w:p>
        </w:tc>
        <w:tc>
          <w:tcPr>
            <w:tcW w:type="dxa" w:w="1587"/>
          </w:tcPr>
          <w:p>
            <w:r>
              <w:rPr>
                <w:rFonts w:ascii="Times New Roman" w:hAnsi="Times New Roman"/>
                <w:sz w:val="14"/>
              </w:rPr>
              <w:t>Inference accuracy gain</w:t>
            </w:r>
          </w:p>
        </w:tc>
        <w:tc>
          <w:tcPr>
            <w:tcW w:type="dxa" w:w="1417"/>
          </w:tcPr>
          <w:p>
            <w:r>
              <w:rPr>
                <w:rFonts w:ascii="Times New Roman" w:hAnsi="Times New Roman"/>
                <w:sz w:val="14"/>
              </w:rPr>
              <w:t>10%–44%</w:t>
            </w:r>
          </w:p>
        </w:tc>
        <w:tc>
          <w:tcPr>
            <w:tcW w:type="dxa" w:w="1417"/>
          </w:tcPr>
          <w:p>
            <w:r>
              <w:rPr>
                <w:rFonts w:ascii="Times New Roman" w:hAnsi="Times New Roman"/>
                <w:sz w:val="14"/>
              </w:rPr>
              <w:t>+10% to +44%</w:t>
            </w:r>
          </w:p>
        </w:tc>
        <w:tc>
          <w:tcPr>
            <w:tcW w:type="dxa" w:w="1417"/>
          </w:tcPr>
          <w:p>
            <w:r>
              <w:rPr>
                <w:rFonts w:ascii="Times New Roman" w:hAnsi="Times New Roman"/>
                <w:sz w:val="14"/>
              </w:rPr>
              <w:t>SOTA NAS methods</w:t>
            </w:r>
          </w:p>
        </w:tc>
      </w:tr>
      <w:tr>
        <w:tc>
          <w:tcPr>
            <w:tcW w:type="dxa" w:w="397"/>
          </w:tcPr>
          <w:p>
            <w:r>
              <w:rPr>
                <w:rFonts w:ascii="Times New Roman" w:hAnsi="Times New Roman"/>
                <w:sz w:val="14"/>
              </w:rPr>
              <w:t>[4]</w:t>
            </w:r>
          </w:p>
        </w:tc>
        <w:tc>
          <w:tcPr>
            <w:tcW w:type="dxa" w:w="1587"/>
          </w:tcPr>
          <w:p>
            <w:r>
              <w:rPr>
                <w:rFonts w:ascii="Times New Roman" w:hAnsi="Times New Roman"/>
                <w:sz w:val="14"/>
              </w:rPr>
              <w:t>NAS search cost</w:t>
            </w:r>
          </w:p>
        </w:tc>
        <w:tc>
          <w:tcPr>
            <w:tcW w:type="dxa" w:w="1417"/>
          </w:tcPr>
          <w:p>
            <w:r>
              <w:rPr>
                <w:rFonts w:ascii="Times New Roman" w:hAnsi="Times New Roman"/>
                <w:sz w:val="14"/>
              </w:rPr>
              <w:t>1-shot</w:t>
            </w:r>
          </w:p>
        </w:tc>
        <w:tc>
          <w:tcPr>
            <w:tcW w:type="dxa" w:w="1417"/>
          </w:tcPr>
          <w:p>
            <w:r>
              <w:rPr>
                <w:rFonts w:ascii="Times New Roman" w:hAnsi="Times New Roman"/>
                <w:sz w:val="14"/>
              </w:rPr>
              <w:t>Significant reduction</w:t>
            </w:r>
          </w:p>
        </w:tc>
        <w:tc>
          <w:tcPr>
            <w:tcW w:type="dxa" w:w="1417"/>
          </w:tcPr>
          <w:p>
            <w:r>
              <w:rPr>
                <w:rFonts w:ascii="Times New Roman" w:hAnsi="Times New Roman"/>
                <w:sz w:val="14"/>
              </w:rPr>
              <w:t>Traditional NAS</w:t>
            </w:r>
          </w:p>
        </w:tc>
      </w:tr>
      <w:tr>
        <w:tc>
          <w:tcPr>
            <w:tcW w:type="dxa" w:w="397"/>
          </w:tcPr>
          <w:p>
            <w:r>
              <w:rPr>
                <w:rFonts w:ascii="Times New Roman" w:hAnsi="Times New Roman"/>
                <w:sz w:val="14"/>
              </w:rPr>
              <w:t>[5]</w:t>
            </w:r>
          </w:p>
        </w:tc>
        <w:tc>
          <w:tcPr>
            <w:tcW w:type="dxa" w:w="1587"/>
          </w:tcPr>
          <w:p>
            <w:r>
              <w:rPr>
                <w:rFonts w:ascii="Times New Roman" w:hAnsi="Times New Roman"/>
                <w:sz w:val="14"/>
              </w:rPr>
              <w:t>Tag comm. range (BLE)</w:t>
            </w:r>
          </w:p>
        </w:tc>
        <w:tc>
          <w:tcPr>
            <w:tcW w:type="dxa" w:w="1417"/>
          </w:tcPr>
          <w:p>
            <w:r>
              <w:rPr>
                <w:rFonts w:ascii="Times New Roman" w:hAnsi="Times New Roman"/>
                <w:sz w:val="14"/>
              </w:rPr>
              <w:t>10 m</w:t>
            </w:r>
          </w:p>
        </w:tc>
        <w:tc>
          <w:tcPr>
            <w:tcW w:type="dxa" w:w="1417"/>
          </w:tcPr>
          <w:p>
            <w:r>
              <w:rPr>
                <w:rFonts w:ascii="Times New Roman" w:hAnsi="Times New Roman"/>
                <w:sz w:val="14"/>
              </w:rPr>
              <w:t>N/A</w:t>
            </w:r>
          </w:p>
        </w:tc>
        <w:tc>
          <w:tcPr>
            <w:tcW w:type="dxa" w:w="1417"/>
          </w:tcPr>
          <w:p>
            <w:r>
              <w:rPr>
                <w:rFonts w:ascii="Times New Roman" w:hAnsi="Times New Roman"/>
                <w:sz w:val="14"/>
              </w:rPr>
              <w:t>N/A</w:t>
            </w:r>
          </w:p>
        </w:tc>
      </w:tr>
      <w:tr>
        <w:tc>
          <w:tcPr>
            <w:tcW w:type="dxa" w:w="397"/>
          </w:tcPr>
          <w:p>
            <w:r>
              <w:rPr>
                <w:rFonts w:ascii="Times New Roman" w:hAnsi="Times New Roman"/>
                <w:sz w:val="14"/>
              </w:rPr>
              <w:t>[5]</w:t>
            </w:r>
          </w:p>
        </w:tc>
        <w:tc>
          <w:tcPr>
            <w:tcW w:type="dxa" w:w="1587"/>
          </w:tcPr>
          <w:p>
            <w:r>
              <w:rPr>
                <w:rFonts w:ascii="Times New Roman" w:hAnsi="Times New Roman"/>
                <w:sz w:val="14"/>
              </w:rPr>
              <w:t>RF harvest frequency</w:t>
            </w:r>
          </w:p>
        </w:tc>
        <w:tc>
          <w:tcPr>
            <w:tcW w:type="dxa" w:w="1417"/>
          </w:tcPr>
          <w:p>
            <w:r>
              <w:rPr>
                <w:rFonts w:ascii="Times New Roman" w:hAnsi="Times New Roman"/>
                <w:sz w:val="14"/>
              </w:rPr>
              <w:t>918 MHz</w:t>
            </w:r>
          </w:p>
        </w:tc>
        <w:tc>
          <w:tcPr>
            <w:tcW w:type="dxa" w:w="1417"/>
          </w:tcPr>
          <w:p>
            <w:r>
              <w:rPr>
                <w:rFonts w:ascii="Times New Roman" w:hAnsi="Times New Roman"/>
                <w:sz w:val="14"/>
              </w:rPr>
              <w:t>N/A</w:t>
            </w:r>
          </w:p>
        </w:tc>
        <w:tc>
          <w:tcPr>
            <w:tcW w:type="dxa" w:w="1417"/>
          </w:tcPr>
          <w:p>
            <w:r>
              <w:rPr>
                <w:rFonts w:ascii="Times New Roman" w:hAnsi="Times New Roman"/>
                <w:sz w:val="14"/>
              </w:rPr>
              <w:t>N/A</w:t>
            </w:r>
          </w:p>
        </w:tc>
      </w:tr>
      <w:tr>
        <w:tc>
          <w:tcPr>
            <w:tcW w:type="dxa" w:w="397"/>
          </w:tcPr>
          <w:p>
            <w:r>
              <w:rPr>
                <w:rFonts w:ascii="Times New Roman" w:hAnsi="Times New Roman"/>
                <w:sz w:val="14"/>
              </w:rPr>
              <w:t>[5]</w:t>
            </w:r>
          </w:p>
        </w:tc>
        <w:tc>
          <w:tcPr>
            <w:tcW w:type="dxa" w:w="1587"/>
          </w:tcPr>
          <w:p>
            <w:r>
              <w:rPr>
                <w:rFonts w:ascii="Times New Roman" w:hAnsi="Times New Roman"/>
                <w:sz w:val="14"/>
              </w:rPr>
              <w:t>Active TX frequency</w:t>
            </w:r>
          </w:p>
        </w:tc>
        <w:tc>
          <w:tcPr>
            <w:tcW w:type="dxa" w:w="1417"/>
          </w:tcPr>
          <w:p>
            <w:r>
              <w:rPr>
                <w:rFonts w:ascii="Times New Roman" w:hAnsi="Times New Roman"/>
                <w:sz w:val="14"/>
              </w:rPr>
              <w:t>2.4 GHz</w:t>
            </w:r>
          </w:p>
        </w:tc>
        <w:tc>
          <w:tcPr>
            <w:tcW w:type="dxa" w:w="1417"/>
          </w:tcPr>
          <w:p>
            <w:r>
              <w:rPr>
                <w:rFonts w:ascii="Times New Roman" w:hAnsi="Times New Roman"/>
                <w:sz w:val="14"/>
              </w:rPr>
              <w:t>N/A</w:t>
            </w:r>
          </w:p>
        </w:tc>
        <w:tc>
          <w:tcPr>
            <w:tcW w:type="dxa" w:w="1417"/>
          </w:tcPr>
          <w:p>
            <w:r>
              <w:rPr>
                <w:rFonts w:ascii="Times New Roman" w:hAnsi="Times New Roman"/>
                <w:sz w:val="14"/>
              </w:rPr>
              <w:t>N/A</w:t>
            </w:r>
          </w:p>
        </w:tc>
      </w:tr>
      <w:tr>
        <w:tc>
          <w:tcPr>
            <w:tcW w:type="dxa" w:w="397"/>
          </w:tcPr>
          <w:p>
            <w:r>
              <w:rPr>
                <w:rFonts w:ascii="Times New Roman" w:hAnsi="Times New Roman"/>
                <w:sz w:val="14"/>
              </w:rPr>
              <w:t>[5]</w:t>
            </w:r>
          </w:p>
        </w:tc>
        <w:tc>
          <w:tcPr>
            <w:tcW w:type="dxa" w:w="1587"/>
          </w:tcPr>
          <w:p>
            <w:r>
              <w:rPr>
                <w:rFonts w:ascii="Times New Roman" w:hAnsi="Times New Roman"/>
                <w:sz w:val="14"/>
              </w:rPr>
              <w:t>Aerial data packets received</w:t>
            </w:r>
          </w:p>
        </w:tc>
        <w:tc>
          <w:tcPr>
            <w:tcW w:type="dxa" w:w="1417"/>
          </w:tcPr>
          <w:p>
            <w:r>
              <w:rPr>
                <w:rFonts w:ascii="Times New Roman" w:hAnsi="Times New Roman"/>
                <w:sz w:val="14"/>
              </w:rPr>
              <w:t>1 (ID only)</w:t>
            </w:r>
          </w:p>
        </w:tc>
        <w:tc>
          <w:tcPr>
            <w:tcW w:type="dxa" w:w="1417"/>
          </w:tcPr>
          <w:p>
            <w:r>
              <w:rPr>
                <w:rFonts w:ascii="Times New Roman" w:hAnsi="Times New Roman"/>
                <w:sz w:val="14"/>
              </w:rPr>
              <w:t>0 temp. packets</w:t>
            </w:r>
          </w:p>
        </w:tc>
        <w:tc>
          <w:tcPr>
            <w:tcW w:type="dxa" w:w="1417"/>
          </w:tcPr>
          <w:p>
            <w:r>
              <w:rPr>
                <w:rFonts w:ascii="Times New Roman" w:hAnsi="Times New Roman"/>
                <w:sz w:val="14"/>
              </w:rPr>
              <w:t>Ground: reliable</w:t>
            </w:r>
          </w:p>
        </w:tc>
      </w:tr>
    </w:tbl>
    <w:p>
      <w:pPr>
        <w:spacing w:after="120"/>
      </w:pPr>
    </w:p>
    <w:p>
      <w:pPr>
        <w:spacing w:after="40"/>
        <w:ind w:firstLine="283"/>
        <w:jc w:val="both"/>
      </w:pPr>
      <w:r>
        <w:rPr>
          <w:rFonts w:ascii="Times New Roman" w:hAnsi="Times New Roman"/>
          <w:sz w:val="20"/>
        </w:rPr>
        <w:t>Power method in [2] make system work 9.1% to 90% longer time. It help most when energy is very low. EStacker [3] make test 6.3x faster but error is only 7.7%. It also find problem in app and make it 3.3x better, so test time go from 41.7 day to 7.7 day.</w:t>
      </w:r>
    </w:p>
    <w:p>
      <w:pPr>
        <w:spacing w:after="40"/>
        <w:ind w:firstLine="283"/>
        <w:jc w:val="both"/>
      </w:pPr>
      <w:r>
        <w:rPr>
          <w:rFonts w:ascii="Times New Roman" w:hAnsi="Times New Roman"/>
          <w:sz w:val="20"/>
        </w:rPr>
        <w:t>HANNA [4] improve AI accuracy by 10% to 44% compare to old AI. It also make search cost lower. The AI it find is different. It have smaller layer and save state more time. So it can finish job in short power time.</w:t>
      </w:r>
    </w:p>
    <w:p>
      <w:pPr>
        <w:spacing w:after="40"/>
        <w:ind w:firstLine="283"/>
        <w:jc w:val="both"/>
      </w:pPr>
      <w:r>
        <w:rPr>
          <w:rFonts w:ascii="Times New Roman" w:hAnsi="Times New Roman"/>
          <w:sz w:val="20"/>
        </w:rPr>
        <w:t>Farm system in [5] use 918 MHz radio to harvest energy. It use 2.4 GHz to send data up to 10 meter. Ground test is good. But drone test fail because drone motor make interference. They get 1 ID packet but no temp data.</w:t>
      </w:r>
    </w:p>
    <w:p>
      <w:pPr>
        <w:spacing w:before="120" w:after="40"/>
        <w:jc w:val="center"/>
      </w:pPr>
      <w:r>
        <w:rPr>
          <w:rFonts w:ascii="Times New Roman" w:hAnsi="Times New Roman"/>
          <w:b/>
          <w:sz w:val="16"/>
        </w:rPr>
        <w:t>TABLE IV: Technical Specifications of Reviewed Systems</w:t>
      </w:r>
    </w:p>
    <w:tbl>
      <w:tblPr>
        <w:tblStyle w:val="TableGrid"/>
        <w:tblW w:type="auto" w:w="0"/>
        <w:tblLook w:firstColumn="1" w:firstRow="1" w:lastColumn="0" w:lastRow="0" w:noHBand="0" w:noVBand="1" w:val="04A0"/>
      </w:tblPr>
      <w:tblGrid>
        <w:gridCol w:w="1413"/>
        <w:gridCol w:w="1413"/>
        <w:gridCol w:w="1413"/>
        <w:gridCol w:w="1413"/>
        <w:gridCol w:w="1413"/>
        <w:gridCol w:w="1413"/>
        <w:gridCol w:w="1413"/>
      </w:tblGrid>
      <w:tr>
        <w:tc>
          <w:tcPr>
            <w:tcW w:type="dxa" w:w="397"/>
          </w:tcPr>
          <w:p>
            <w:r>
              <w:rPr>
                <w:rFonts w:ascii="Times New Roman" w:hAnsi="Times New Roman"/>
                <w:b/>
                <w:sz w:val="14"/>
              </w:rPr>
              <w:t>Ref.</w:t>
            </w:r>
          </w:p>
        </w:tc>
        <w:tc>
          <w:tcPr>
            <w:tcW w:type="dxa" w:w="1134"/>
          </w:tcPr>
          <w:p>
            <w:r>
              <w:rPr>
                <w:rFonts w:ascii="Times New Roman" w:hAnsi="Times New Roman"/>
                <w:b/>
                <w:sz w:val="14"/>
              </w:rPr>
              <w:t>Harvest Freq.</w:t>
            </w:r>
          </w:p>
        </w:tc>
        <w:tc>
          <w:tcPr>
            <w:tcW w:type="dxa" w:w="1134"/>
          </w:tcPr>
          <w:p>
            <w:r>
              <w:rPr>
                <w:rFonts w:ascii="Times New Roman" w:hAnsi="Times New Roman"/>
                <w:b/>
                <w:sz w:val="14"/>
              </w:rPr>
              <w:t>TX Freq.</w:t>
            </w:r>
          </w:p>
        </w:tc>
        <w:tc>
          <w:tcPr>
            <w:tcW w:type="dxa" w:w="1247"/>
          </w:tcPr>
          <w:p>
            <w:r>
              <w:rPr>
                <w:rFonts w:ascii="Times New Roman" w:hAnsi="Times New Roman"/>
                <w:b/>
                <w:sz w:val="14"/>
              </w:rPr>
              <w:t>Storage Type</w:t>
            </w:r>
          </w:p>
        </w:tc>
        <w:tc>
          <w:tcPr>
            <w:tcW w:type="dxa" w:w="680"/>
          </w:tcPr>
          <w:p>
            <w:r>
              <w:rPr>
                <w:rFonts w:ascii="Times New Roman" w:hAnsi="Times New Roman"/>
                <w:b/>
                <w:sz w:val="14"/>
              </w:rPr>
              <w:t>Range</w:t>
            </w:r>
          </w:p>
        </w:tc>
        <w:tc>
          <w:tcPr>
            <w:tcW w:type="dxa" w:w="1247"/>
          </w:tcPr>
          <w:p>
            <w:r>
              <w:rPr>
                <w:rFonts w:ascii="Times New Roman" w:hAnsi="Times New Roman"/>
                <w:b/>
                <w:sz w:val="14"/>
              </w:rPr>
              <w:t>Eval. Scale</w:t>
            </w:r>
          </w:p>
        </w:tc>
        <w:tc>
          <w:tcPr>
            <w:tcW w:type="dxa" w:w="567"/>
          </w:tcPr>
          <w:p>
            <w:r>
              <w:rPr>
                <w:rFonts w:ascii="Times New Roman" w:hAnsi="Times New Roman"/>
                <w:b/>
                <w:sz w:val="14"/>
              </w:rPr>
              <w:t>Year</w:t>
            </w:r>
          </w:p>
        </w:tc>
      </w:tr>
      <w:tr>
        <w:tc>
          <w:tcPr>
            <w:tcW w:type="dxa" w:w="397"/>
          </w:tcPr>
          <w:p>
            <w:r>
              <w:rPr>
                <w:rFonts w:ascii="Times New Roman" w:hAnsi="Times New Roman"/>
                <w:sz w:val="14"/>
              </w:rPr>
              <w:t>[1]</w:t>
            </w:r>
          </w:p>
        </w:tc>
        <w:tc>
          <w:tcPr>
            <w:tcW w:type="dxa" w:w="1134"/>
          </w:tcPr>
          <w:p>
            <w:r>
              <w:rPr>
                <w:rFonts w:ascii="Times New Roman" w:hAnsi="Times New Roman"/>
                <w:sz w:val="14"/>
              </w:rPr>
              <w:t>Solar (indoor)</w:t>
            </w:r>
          </w:p>
        </w:tc>
        <w:tc>
          <w:tcPr>
            <w:tcW w:type="dxa" w:w="1134"/>
          </w:tcPr>
          <w:p>
            <w:r>
              <w:rPr>
                <w:rFonts w:ascii="Times New Roman" w:hAnsi="Times New Roman"/>
                <w:sz w:val="14"/>
              </w:rPr>
              <w:t>N/A</w:t>
            </w:r>
          </w:p>
        </w:tc>
        <w:tc>
          <w:tcPr>
            <w:tcW w:type="dxa" w:w="1247"/>
          </w:tcPr>
          <w:p>
            <w:r>
              <w:rPr>
                <w:rFonts w:ascii="Times New Roman" w:hAnsi="Times New Roman"/>
                <w:sz w:val="14"/>
              </w:rPr>
              <w:t>Supercapacitor</w:t>
            </w:r>
          </w:p>
        </w:tc>
        <w:tc>
          <w:tcPr>
            <w:tcW w:type="dxa" w:w="680"/>
          </w:tcPr>
          <w:p>
            <w:r>
              <w:rPr>
                <w:rFonts w:ascii="Times New Roman" w:hAnsi="Times New Roman"/>
                <w:sz w:val="14"/>
              </w:rPr>
              <w:t>N/A</w:t>
            </w:r>
          </w:p>
        </w:tc>
        <w:tc>
          <w:tcPr>
            <w:tcW w:type="dxa" w:w="1247"/>
          </w:tcPr>
          <w:p>
            <w:r>
              <w:rPr>
                <w:rFonts w:ascii="Times New Roman" w:hAnsi="Times New Roman"/>
                <w:sz w:val="14"/>
              </w:rPr>
              <w:t>3 scenarios</w:t>
            </w:r>
          </w:p>
        </w:tc>
        <w:tc>
          <w:tcPr>
            <w:tcW w:type="dxa" w:w="567"/>
          </w:tcPr>
          <w:p>
            <w:r>
              <w:rPr>
                <w:rFonts w:ascii="Times New Roman" w:hAnsi="Times New Roman"/>
                <w:sz w:val="14"/>
              </w:rPr>
              <w:t>2025</w:t>
            </w:r>
          </w:p>
        </w:tc>
      </w:tr>
      <w:tr>
        <w:tc>
          <w:tcPr>
            <w:tcW w:type="dxa" w:w="397"/>
          </w:tcPr>
          <w:p>
            <w:r>
              <w:rPr>
                <w:rFonts w:ascii="Times New Roman" w:hAnsi="Times New Roman"/>
                <w:sz w:val="14"/>
              </w:rPr>
              <w:t>[2]</w:t>
            </w:r>
          </w:p>
        </w:tc>
        <w:tc>
          <w:tcPr>
            <w:tcW w:type="dxa" w:w="1134"/>
          </w:tcPr>
          <w:p>
            <w:r>
              <w:rPr>
                <w:rFonts w:ascii="Times New Roman" w:hAnsi="Times New Roman"/>
                <w:sz w:val="14"/>
              </w:rPr>
              <w:t>Ambient</w:t>
            </w:r>
          </w:p>
        </w:tc>
        <w:tc>
          <w:tcPr>
            <w:tcW w:type="dxa" w:w="1134"/>
          </w:tcPr>
          <w:p>
            <w:r>
              <w:rPr>
                <w:rFonts w:ascii="Times New Roman" w:hAnsi="Times New Roman"/>
                <w:sz w:val="14"/>
              </w:rPr>
              <w:t>Sub-GHz/ISM</w:t>
            </w:r>
          </w:p>
        </w:tc>
        <w:tc>
          <w:tcPr>
            <w:tcW w:type="dxa" w:w="1247"/>
          </w:tcPr>
          <w:p>
            <w:r>
              <w:rPr>
                <w:rFonts w:ascii="Times New Roman" w:hAnsi="Times New Roman"/>
                <w:sz w:val="14"/>
              </w:rPr>
              <w:t>Capacitor</w:t>
            </w:r>
          </w:p>
        </w:tc>
        <w:tc>
          <w:tcPr>
            <w:tcW w:type="dxa" w:w="680"/>
          </w:tcPr>
          <w:p>
            <w:r>
              <w:rPr>
                <w:rFonts w:ascii="Times New Roman" w:hAnsi="Times New Roman"/>
                <w:sz w:val="14"/>
              </w:rPr>
              <w:t>N/A</w:t>
            </w:r>
          </w:p>
        </w:tc>
        <w:tc>
          <w:tcPr>
            <w:tcW w:type="dxa" w:w="1247"/>
          </w:tcPr>
          <w:p>
            <w:r>
              <w:rPr>
                <w:rFonts w:ascii="Times New Roman" w:hAnsi="Times New Roman"/>
                <w:sz w:val="14"/>
              </w:rPr>
              <w:t>Multiple configs.</w:t>
            </w:r>
          </w:p>
        </w:tc>
        <w:tc>
          <w:tcPr>
            <w:tcW w:type="dxa" w:w="567"/>
          </w:tcPr>
          <w:p>
            <w:r>
              <w:rPr>
                <w:rFonts w:ascii="Times New Roman" w:hAnsi="Times New Roman"/>
                <w:sz w:val="14"/>
              </w:rPr>
              <w:t>2025</w:t>
            </w:r>
          </w:p>
        </w:tc>
      </w:tr>
      <w:tr>
        <w:tc>
          <w:tcPr>
            <w:tcW w:type="dxa" w:w="397"/>
          </w:tcPr>
          <w:p>
            <w:r>
              <w:rPr>
                <w:rFonts w:ascii="Times New Roman" w:hAnsi="Times New Roman"/>
                <w:sz w:val="14"/>
              </w:rPr>
              <w:t>[3]</w:t>
            </w:r>
          </w:p>
        </w:tc>
        <w:tc>
          <w:tcPr>
            <w:tcW w:type="dxa" w:w="1134"/>
          </w:tcPr>
          <w:p>
            <w:r>
              <w:rPr>
                <w:rFonts w:ascii="Times New Roman" w:hAnsi="Times New Roman"/>
                <w:sz w:val="14"/>
              </w:rPr>
              <w:t>Simulated</w:t>
            </w:r>
          </w:p>
        </w:tc>
        <w:tc>
          <w:tcPr>
            <w:tcW w:type="dxa" w:w="1134"/>
          </w:tcPr>
          <w:p>
            <w:r>
              <w:rPr>
                <w:rFonts w:ascii="Times New Roman" w:hAnsi="Times New Roman"/>
                <w:sz w:val="14"/>
              </w:rPr>
              <w:t>N/A</w:t>
            </w:r>
          </w:p>
        </w:tc>
        <w:tc>
          <w:tcPr>
            <w:tcW w:type="dxa" w:w="1247"/>
          </w:tcPr>
          <w:p>
            <w:r>
              <w:rPr>
                <w:rFonts w:ascii="Times New Roman" w:hAnsi="Times New Roman"/>
                <w:sz w:val="14"/>
              </w:rPr>
              <w:t>Simulated</w:t>
            </w:r>
          </w:p>
        </w:tc>
        <w:tc>
          <w:tcPr>
            <w:tcW w:type="dxa" w:w="680"/>
          </w:tcPr>
          <w:p>
            <w:r>
              <w:rPr>
                <w:rFonts w:ascii="Times New Roman" w:hAnsi="Times New Roman"/>
                <w:sz w:val="14"/>
              </w:rPr>
              <w:t>N/A</w:t>
            </w:r>
          </w:p>
        </w:tc>
        <w:tc>
          <w:tcPr>
            <w:tcW w:type="dxa" w:w="1247"/>
          </w:tcPr>
          <w:p>
            <w:r>
              <w:rPr>
                <w:rFonts w:ascii="Times New Roman" w:hAnsi="Times New Roman"/>
                <w:sz w:val="14"/>
              </w:rPr>
              <w:t>2 case studies</w:t>
            </w:r>
          </w:p>
        </w:tc>
        <w:tc>
          <w:tcPr>
            <w:tcW w:type="dxa" w:w="567"/>
          </w:tcPr>
          <w:p>
            <w:r>
              <w:rPr>
                <w:rFonts w:ascii="Times New Roman" w:hAnsi="Times New Roman"/>
                <w:sz w:val="14"/>
              </w:rPr>
              <w:t>2026</w:t>
            </w:r>
          </w:p>
        </w:tc>
      </w:tr>
      <w:tr>
        <w:tc>
          <w:tcPr>
            <w:tcW w:type="dxa" w:w="397"/>
          </w:tcPr>
          <w:p>
            <w:r>
              <w:rPr>
                <w:rFonts w:ascii="Times New Roman" w:hAnsi="Times New Roman"/>
                <w:sz w:val="14"/>
              </w:rPr>
              <w:t>[4]</w:t>
            </w:r>
          </w:p>
        </w:tc>
        <w:tc>
          <w:tcPr>
            <w:tcW w:type="dxa" w:w="1134"/>
          </w:tcPr>
          <w:p>
            <w:r>
              <w:rPr>
                <w:rFonts w:ascii="Times New Roman" w:hAnsi="Times New Roman"/>
                <w:sz w:val="14"/>
              </w:rPr>
              <w:t>RF</w:t>
            </w:r>
          </w:p>
        </w:tc>
        <w:tc>
          <w:tcPr>
            <w:tcW w:type="dxa" w:w="1134"/>
          </w:tcPr>
          <w:p>
            <w:r>
              <w:rPr>
                <w:rFonts w:ascii="Times New Roman" w:hAnsi="Times New Roman"/>
                <w:sz w:val="14"/>
              </w:rPr>
              <w:t>N/A</w:t>
            </w:r>
          </w:p>
        </w:tc>
        <w:tc>
          <w:tcPr>
            <w:tcW w:type="dxa" w:w="1247"/>
          </w:tcPr>
          <w:p>
            <w:r>
              <w:rPr>
                <w:rFonts w:ascii="Times New Roman" w:hAnsi="Times New Roman"/>
                <w:sz w:val="14"/>
              </w:rPr>
              <w:t>Capacitor + NVM</w:t>
            </w:r>
          </w:p>
        </w:tc>
        <w:tc>
          <w:tcPr>
            <w:tcW w:type="dxa" w:w="680"/>
          </w:tcPr>
          <w:p>
            <w:r>
              <w:rPr>
                <w:rFonts w:ascii="Times New Roman" w:hAnsi="Times New Roman"/>
                <w:sz w:val="14"/>
              </w:rPr>
              <w:t>N/A</w:t>
            </w:r>
          </w:p>
        </w:tc>
        <w:tc>
          <w:tcPr>
            <w:tcW w:type="dxa" w:w="1247"/>
          </w:tcPr>
          <w:p>
            <w:r>
              <w:rPr>
                <w:rFonts w:ascii="Times New Roman" w:hAnsi="Times New Roman"/>
                <w:sz w:val="14"/>
              </w:rPr>
              <w:t>Multiple datasets</w:t>
            </w:r>
          </w:p>
        </w:tc>
        <w:tc>
          <w:tcPr>
            <w:tcW w:type="dxa" w:w="567"/>
          </w:tcPr>
          <w:p>
            <w:r>
              <w:rPr>
                <w:rFonts w:ascii="Times New Roman" w:hAnsi="Times New Roman"/>
                <w:sz w:val="14"/>
              </w:rPr>
              <w:t>2024</w:t>
            </w:r>
          </w:p>
        </w:tc>
      </w:tr>
      <w:tr>
        <w:tc>
          <w:tcPr>
            <w:tcW w:type="dxa" w:w="397"/>
          </w:tcPr>
          <w:p>
            <w:r>
              <w:rPr>
                <w:rFonts w:ascii="Times New Roman" w:hAnsi="Times New Roman"/>
                <w:sz w:val="14"/>
              </w:rPr>
              <w:t>[5]</w:t>
            </w:r>
          </w:p>
        </w:tc>
        <w:tc>
          <w:tcPr>
            <w:tcW w:type="dxa" w:w="1134"/>
          </w:tcPr>
          <w:p>
            <w:r>
              <w:rPr>
                <w:rFonts w:ascii="Times New Roman" w:hAnsi="Times New Roman"/>
                <w:sz w:val="14"/>
              </w:rPr>
              <w:t>918 MHz</w:t>
            </w:r>
          </w:p>
        </w:tc>
        <w:tc>
          <w:tcPr>
            <w:tcW w:type="dxa" w:w="1134"/>
          </w:tcPr>
          <w:p>
            <w:r>
              <w:rPr>
                <w:rFonts w:ascii="Times New Roman" w:hAnsi="Times New Roman"/>
                <w:sz w:val="14"/>
              </w:rPr>
              <w:t>2.4 GHz BLE</w:t>
            </w:r>
          </w:p>
        </w:tc>
        <w:tc>
          <w:tcPr>
            <w:tcW w:type="dxa" w:w="1247"/>
          </w:tcPr>
          <w:p>
            <w:r>
              <w:rPr>
                <w:rFonts w:ascii="Times New Roman" w:hAnsi="Times New Roman"/>
                <w:sz w:val="14"/>
              </w:rPr>
              <w:t>On-tag buffer</w:t>
            </w:r>
          </w:p>
        </w:tc>
        <w:tc>
          <w:tcPr>
            <w:tcW w:type="dxa" w:w="680"/>
          </w:tcPr>
          <w:p>
            <w:r>
              <w:rPr>
                <w:rFonts w:ascii="Times New Roman" w:hAnsi="Times New Roman"/>
                <w:sz w:val="14"/>
              </w:rPr>
              <w:t>10 m</w:t>
            </w:r>
          </w:p>
        </w:tc>
        <w:tc>
          <w:tcPr>
            <w:tcW w:type="dxa" w:w="1247"/>
          </w:tcPr>
          <w:p>
            <w:r>
              <w:rPr>
                <w:rFonts w:ascii="Times New Roman" w:hAnsi="Times New Roman"/>
                <w:sz w:val="14"/>
              </w:rPr>
              <w:t>3 flight trials</w:t>
            </w:r>
          </w:p>
        </w:tc>
        <w:tc>
          <w:tcPr>
            <w:tcW w:type="dxa" w:w="567"/>
          </w:tcPr>
          <w:p>
            <w:r>
              <w:rPr>
                <w:rFonts w:ascii="Times New Roman" w:hAnsi="Times New Roman"/>
                <w:sz w:val="14"/>
              </w:rPr>
              <w:t>2025</w:t>
            </w:r>
          </w:p>
        </w:tc>
      </w:tr>
      <w:tr>
        <w:tc>
          <w:tcPr>
            <w:tcW w:type="dxa" w:w="397"/>
          </w:tcPr>
          <w:p>
            <w:r>
              <w:rPr>
                <w:rFonts w:ascii="Times New Roman" w:hAnsi="Times New Roman"/>
                <w:sz w:val="14"/>
              </w:rPr>
              <w:t>[6]</w:t>
            </w:r>
          </w:p>
        </w:tc>
        <w:tc>
          <w:tcPr>
            <w:tcW w:type="dxa" w:w="1134"/>
          </w:tcPr>
          <w:p>
            <w:r>
              <w:rPr>
                <w:rFonts w:ascii="Times New Roman" w:hAnsi="Times New Roman"/>
                <w:sz w:val="14"/>
              </w:rPr>
              <w:t>Multiple</w:t>
            </w:r>
          </w:p>
        </w:tc>
        <w:tc>
          <w:tcPr>
            <w:tcW w:type="dxa" w:w="1134"/>
          </w:tcPr>
          <w:p>
            <w:r>
              <w:rPr>
                <w:rFonts w:ascii="Times New Roman" w:hAnsi="Times New Roman"/>
                <w:sz w:val="14"/>
              </w:rPr>
              <w:t>Multiple</w:t>
            </w:r>
          </w:p>
        </w:tc>
        <w:tc>
          <w:tcPr>
            <w:tcW w:type="dxa" w:w="1247"/>
          </w:tcPr>
          <w:p>
            <w:r>
              <w:rPr>
                <w:rFonts w:ascii="Times New Roman" w:hAnsi="Times New Roman"/>
                <w:sz w:val="14"/>
              </w:rPr>
              <w:t>Supercap./thin-film</w:t>
            </w:r>
          </w:p>
        </w:tc>
        <w:tc>
          <w:tcPr>
            <w:tcW w:type="dxa" w:w="680"/>
          </w:tcPr>
          <w:p>
            <w:r>
              <w:rPr>
                <w:rFonts w:ascii="Times New Roman" w:hAnsi="Times New Roman"/>
                <w:sz w:val="14"/>
              </w:rPr>
              <w:t>N/A</w:t>
            </w:r>
          </w:p>
        </w:tc>
        <w:tc>
          <w:tcPr>
            <w:tcW w:type="dxa" w:w="1247"/>
          </w:tcPr>
          <w:p>
            <w:r>
              <w:rPr>
                <w:rFonts w:ascii="Times New Roman" w:hAnsi="Times New Roman"/>
                <w:sz w:val="14"/>
              </w:rPr>
              <w:t>49 references</w:t>
            </w:r>
          </w:p>
        </w:tc>
        <w:tc>
          <w:tcPr>
            <w:tcW w:type="dxa" w:w="567"/>
          </w:tcPr>
          <w:p>
            <w:r>
              <w:rPr>
                <w:rFonts w:ascii="Times New Roman" w:hAnsi="Times New Roman"/>
                <w:sz w:val="14"/>
              </w:rPr>
              <w:t>2025</w:t>
            </w:r>
          </w:p>
        </w:tc>
      </w:tr>
    </w:tbl>
    <w:p>
      <w:pPr>
        <w:spacing w:after="120"/>
      </w:pPr>
    </w:p>
    <w:p>
      <w:pPr>
        <w:spacing w:before="160" w:after="60"/>
      </w:pPr>
      <w:r>
        <w:rPr>
          <w:rFonts w:ascii="Times New Roman" w:hAnsi="Times New Roman"/>
          <w:b/>
          <w:i/>
          <w:sz w:val="20"/>
        </w:rPr>
        <w:t>C. Research Trends</w:t>
      </w:r>
    </w:p>
    <w:p>
      <w:pPr>
        <w:spacing w:after="40"/>
        <w:ind w:firstLine="283"/>
        <w:jc w:val="both"/>
      </w:pPr>
      <w:r>
        <w:rPr>
          <w:rFonts w:ascii="Times New Roman" w:hAnsi="Times New Roman"/>
          <w:sz w:val="20"/>
        </w:rPr>
        <w:t>Many trend show in these paper. First, people want standard and math. Model [1], design [2], and test [3] show researcher want formal way. Second, Intermittent TinyML [4] is new. It mix AI and battery-free computing.</w:t>
      </w:r>
    </w:p>
    <w:p>
      <w:pPr>
        <w:spacing w:after="40"/>
        <w:ind w:firstLine="283"/>
        <w:jc w:val="both"/>
      </w:pPr>
      <w:r>
        <w:rPr>
          <w:rFonts w:ascii="Times New Roman" w:hAnsi="Times New Roman"/>
          <w:sz w:val="20"/>
        </w:rPr>
        <w:t>Third, real application like [5] show problem we don't see in lab, like drone motor noise. Fourth, survey [6] show hardware is very mature now. People understand hardware well, so now big problem is software and system integration.</w:t>
      </w:r>
    </w:p>
    <w:p>
      <w:pPr>
        <w:spacing w:before="160" w:after="60"/>
      </w:pPr>
      <w:r>
        <w:rPr>
          <w:rFonts w:ascii="Times New Roman" w:hAnsi="Times New Roman"/>
          <w:b/>
          <w:i/>
          <w:sz w:val="20"/>
        </w:rPr>
        <w:t>D. Identified Research Gaps</w:t>
      </w:r>
    </w:p>
    <w:p>
      <w:pPr>
        <w:spacing w:after="40"/>
        <w:jc w:val="both"/>
      </w:pPr>
      <w:r>
        <w:rPr>
          <w:rFonts w:ascii="Times New Roman" w:hAnsi="Times New Roman"/>
          <w:sz w:val="20"/>
        </w:rPr>
        <w:t>Even with good result, many big research gap still exist. We must fix them to use battery-free system everywhere.</w:t>
      </w:r>
    </w:p>
    <w:p>
      <w:pPr>
        <w:spacing w:after="40"/>
        <w:ind w:firstLine="283"/>
        <w:jc w:val="both"/>
      </w:pPr>
      <w:r>
        <w:rPr>
          <w:rFonts w:ascii="Times New Roman" w:hAnsi="Times New Roman"/>
          <w:sz w:val="20"/>
        </w:rPr>
        <w:t>Gap 1: No standard test benchmark. EStacker [3] is good start but not everyone use it. Every paper use different hardware and energy to test. So very hard to compare paper. We need standard test like MLPerf for battery-free.</w:t>
      </w:r>
    </w:p>
    <w:p>
      <w:pPr>
        <w:spacing w:after="40"/>
        <w:ind w:firstLine="283"/>
        <w:jc w:val="both"/>
      </w:pPr>
      <w:r>
        <w:rPr>
          <w:rFonts w:ascii="Times New Roman" w:hAnsi="Times New Roman"/>
          <w:sz w:val="20"/>
        </w:rPr>
        <w:t>Gap 2: Not enough multi-source energy. Paper only use one energy like solar [1] or radio [5]. But real world have many energy source same time. We need smart system to mix solar, heat, and radio together.</w:t>
      </w:r>
    </w:p>
    <w:p>
      <w:pPr>
        <w:spacing w:after="40"/>
        <w:ind w:firstLine="283"/>
        <w:jc w:val="both"/>
      </w:pPr>
      <w:r>
        <w:rPr>
          <w:rFonts w:ascii="Times New Roman" w:hAnsi="Times New Roman"/>
          <w:sz w:val="20"/>
        </w:rPr>
        <w:t>Gap 3: Edge AI for intermittent power is small. HANNA [4] is good and get 10%-44% better accuracy. But we still need know how to save AI state cheaply, and how to train AI when energy is low.</w:t>
      </w:r>
    </w:p>
    <w:p>
      <w:pPr>
        <w:spacing w:after="40"/>
        <w:ind w:firstLine="283"/>
        <w:jc w:val="both"/>
      </w:pPr>
      <w:r>
        <w:rPr>
          <w:rFonts w:ascii="Times New Roman" w:hAnsi="Times New Roman"/>
          <w:sz w:val="20"/>
        </w:rPr>
        <w:t>Gap 4: No standard power rule. Paper [1] and [2] only work for their own platform. We no have standard protocol for power like we have for network. If we have standard, ecosystem will grow fast.</w:t>
      </w:r>
    </w:p>
    <w:p>
      <w:pPr>
        <w:spacing w:after="40"/>
        <w:ind w:firstLine="283"/>
        <w:jc w:val="both"/>
      </w:pPr>
      <w:r>
        <w:rPr>
          <w:rFonts w:ascii="Times New Roman" w:hAnsi="Times New Roman"/>
          <w:sz w:val="20"/>
        </w:rPr>
        <w:t>Gap 5: We no know long-term reliability. People want use battery-free in harsh farm or factory. But no paper study if it break after many month in hot, cold, or noise. Drone noise problem in [5] is good example of this.</w:t>
      </w:r>
    </w:p>
    <w:p>
      <w:pPr>
        <w:spacing w:after="40"/>
        <w:ind w:firstLine="283"/>
        <w:jc w:val="both"/>
      </w:pPr>
      <w:r>
        <w:rPr>
          <w:rFonts w:ascii="Times New Roman" w:hAnsi="Times New Roman"/>
          <w:sz w:val="20"/>
        </w:rPr>
        <w:t>Gap 6: Network scalability is bad. Paper only optimize one device. We no know how to manage 1000 device network when power go on and off. Normal network rule assume device always on, so we must redesign network rule.</w:t>
      </w:r>
    </w:p>
    <w:p>
      <w:pPr>
        <w:spacing w:before="200" w:after="80"/>
        <w:jc w:val="center"/>
      </w:pPr>
      <w:r>
        <w:rPr>
          <w:rFonts w:ascii="Times New Roman" w:hAnsi="Times New Roman"/>
          <w:b/>
          <w:sz w:val="20"/>
        </w:rPr>
        <w:t>V. CONCLUSION AND CONTRIBUTION</w:t>
      </w:r>
    </w:p>
    <w:p>
      <w:pPr>
        <w:spacing w:before="160" w:after="60"/>
      </w:pPr>
      <w:r>
        <w:rPr>
          <w:rFonts w:ascii="Times New Roman" w:hAnsi="Times New Roman"/>
          <w:b/>
          <w:i/>
          <w:sz w:val="20"/>
        </w:rPr>
        <w:t>A. Summary of Major Findings</w:t>
      </w:r>
    </w:p>
    <w:p>
      <w:pPr>
        <w:spacing w:after="40"/>
        <w:ind w:firstLine="283"/>
        <w:jc w:val="both"/>
      </w:pPr>
      <w:r>
        <w:rPr>
          <w:rFonts w:ascii="Times New Roman" w:hAnsi="Times New Roman"/>
          <w:sz w:val="20"/>
        </w:rPr>
        <w:t>This review read 6 new paper about battery-free system from 2024 to 2026. Paper show field move from just proof to real use. Math model [1] and design rule [2] improve time up to 90%. EStacker [3] make standard test, and HANNA [4] open TinyML area. Farm test [5] show real challenge, and survey [6] give foundation.</w:t>
      </w:r>
    </w:p>
    <w:p>
      <w:pPr>
        <w:spacing w:before="160" w:after="60"/>
      </w:pPr>
      <w:r>
        <w:rPr>
          <w:rFonts w:ascii="Times New Roman" w:hAnsi="Times New Roman"/>
          <w:b/>
          <w:i/>
          <w:sz w:val="20"/>
        </w:rPr>
        <w:t>B. Contributions of This Review</w:t>
      </w:r>
    </w:p>
    <w:p>
      <w:pPr>
        <w:spacing w:after="40"/>
        <w:ind w:firstLine="283"/>
        <w:jc w:val="both"/>
      </w:pPr>
      <w:r>
        <w:rPr>
          <w:rFonts w:ascii="Times New Roman" w:hAnsi="Times New Roman"/>
          <w:sz w:val="20"/>
        </w:rPr>
        <w:t>This review have 3 main contribution. First, it compare 6 paper objective, method, and result. Second, it group methodology into 4 type: math, prototype, simulation, and survey. Third, it find 6 big research gap like benchmark, energy mix, AI, power rule, reliability, and network scale.</w:t>
      </w:r>
    </w:p>
    <w:p>
      <w:pPr>
        <w:spacing w:before="160" w:after="60"/>
      </w:pPr>
      <w:r>
        <w:rPr>
          <w:rFonts w:ascii="Times New Roman" w:hAnsi="Times New Roman"/>
          <w:b/>
          <w:i/>
          <w:sz w:val="20"/>
        </w:rPr>
        <w:t>C. Future Research Directions</w:t>
      </w:r>
    </w:p>
    <w:p>
      <w:pPr>
        <w:spacing w:after="40"/>
        <w:ind w:firstLine="283"/>
        <w:jc w:val="both"/>
      </w:pPr>
      <w:r>
        <w:rPr>
          <w:rFonts w:ascii="Times New Roman" w:hAnsi="Times New Roman"/>
          <w:sz w:val="20"/>
        </w:rPr>
        <w:t>Based on the analysis presented in this review, the following future research directions are recommended: (1) Development of community-accepted open-source benchmark suites with standardized energy traces, hardware reference designs, and performance metrics for fair cross-platform comparison. (2) Investigation of multi-source energy harvesting architectures with intelligent source arbitration and adaptive power management algorithms. (3) Co-design of neural network architectures and intermittent computing hardware to achieve robust and energy-efficient edge AI inference under unreliable power conditions. (4) Standardization of power management protocols and abstraction layers to enable interoperability across heterogeneous battery-free platforms. (5) Longitudinal field studies assessing component degradation, failure modes, and system reliability under sustained real-world deployment conditions. (6) Design of intermittent-aware networking protocols that accommodate stochastic node availability for scalable battery-free sensor network deployments.</w:t>
      </w:r>
    </w:p>
    <w:p>
      <w:pPr>
        <w:spacing w:after="40"/>
        <w:ind w:firstLine="283"/>
        <w:jc w:val="both"/>
      </w:pPr>
      <w:r>
        <w:rPr>
          <w:rFonts w:ascii="Times New Roman" w:hAnsi="Times New Roman"/>
          <w:sz w:val="20"/>
        </w:rPr>
        <w:t>The convergence of advances in energy harvesting efficiency, ultra-low-power circuit design, and edge computing capabilities suggests that battery-free embedded systems are approaching a critical threshold of commercial viability. Addressing the research gaps identified in this review will be instrumental in realizing the vision of truly maintenance-free, sustainable IoT infrastructure capable of operating autonomously across diverse and challenging deployment environments.</w:t>
      </w:r>
    </w:p>
    <w:p>
      <w:pPr>
        <w:spacing w:before="200" w:after="80"/>
        <w:jc w:val="center"/>
      </w:pPr>
      <w:r>
        <w:rPr>
          <w:rFonts w:ascii="Times New Roman" w:hAnsi="Times New Roman"/>
          <w:b/>
          <w:sz w:val="20"/>
        </w:rPr>
        <w:t>REFERENCES</w:t>
      </w:r>
    </w:p>
    <w:p>
      <w:pPr>
        <w:spacing w:after="40"/>
        <w:ind w:left="283" w:hanging="283"/>
      </w:pPr>
      <w:r>
        <w:rPr>
          <w:rFonts w:ascii="Times New Roman" w:hAnsi="Times New Roman"/>
          <w:sz w:val="16"/>
        </w:rPr>
        <w:t>[1] J. Fernández Landivar, A. Zanella, I. Gryech, S. Pollin, and H. Sallouha, "Analytical Modeling of Batteryless IoT Sensors Powered by Ambient Energy Harvesting," arXiv preprint arXiv:2507.20952, Jul. 2025. [Online]. Available: https://arxiv.org/abs/2507.20952</w:t>
      </w:r>
    </w:p>
    <w:p>
      <w:pPr>
        <w:spacing w:after="40"/>
        <w:ind w:left="283" w:hanging="283"/>
      </w:pPr>
      <w:r>
        <w:rPr>
          <w:rFonts w:ascii="Times New Roman" w:hAnsi="Times New Roman"/>
          <w:sz w:val="16"/>
        </w:rPr>
        <w:t>[2] L. Liedtke, P. G. Kjeldsberg, F. A. Kraemer, and M. Jahre, "Designing Cost-Effective Battery-Less Energy Harvesting for Intermittent Wireless Communication," IEEE Access, vol. 13, pp. 157044–157058, Jan. 2025. [Online]. Available: https://doi.org/10.1109/ACCESS.2025.3606514</w:t>
      </w:r>
    </w:p>
    <w:p>
      <w:pPr>
        <w:spacing w:after="40"/>
        <w:ind w:left="283" w:hanging="283"/>
      </w:pPr>
      <w:r>
        <w:rPr>
          <w:rFonts w:ascii="Times New Roman" w:hAnsi="Times New Roman"/>
          <w:sz w:val="16"/>
        </w:rPr>
        <w:t>[3] L. Liedtke, P. G. Kjeldsberg, F. A. Kraemer, and M. Jahre, "EStacker: Explaining Battery-Less IoT System Performance with Energy Stacks," ACM Trans. Embed. Comput. Syst., vol. 25, no. 1, 2026. [Online]. Available: https://arxiv.org/abs/2505.22366</w:t>
      </w:r>
    </w:p>
    <w:p>
      <w:pPr>
        <w:spacing w:after="40"/>
        <w:ind w:left="283" w:hanging="283"/>
      </w:pPr>
      <w:r>
        <w:rPr>
          <w:rFonts w:ascii="Times New Roman" w:hAnsi="Times New Roman"/>
          <w:sz w:val="16"/>
        </w:rPr>
        <w:t>[4] R. Sahu, V. Deep, and H. Duwe, "HANNA: Harvesting-Aware Neural Network Architecture Search for Batteryless Intermittent Devices," in Proc. IEEE International Performance, Computing, and Communications Conference (IPCCC), 2024. [Online]. Available: https://doi.org/10.1109/IPCCC59868.2024.10850328</w:t>
      </w:r>
    </w:p>
    <w:p>
      <w:pPr>
        <w:spacing w:after="40"/>
        <w:ind w:left="283" w:hanging="283"/>
      </w:pPr>
      <w:r>
        <w:rPr>
          <w:rFonts w:ascii="Times New Roman" w:hAnsi="Times New Roman"/>
          <w:sz w:val="16"/>
        </w:rPr>
        <w:t>[5] P. S. Kudyba and H. Sun, "Autonomous Agricultural Monitoring with Aerial Drones and RF Energy-Harvesting Sensor Tags," arXiv preprint arXiv:2502.16028, Feb. 2025. [Online]. Available: https://arxiv.org/abs/2502.16028</w:t>
      </w:r>
    </w:p>
    <w:p>
      <w:pPr>
        <w:spacing w:after="40"/>
        <w:ind w:left="283" w:hanging="283"/>
      </w:pPr>
      <w:r>
        <w:rPr>
          <w:rFonts w:ascii="Times New Roman" w:hAnsi="Times New Roman"/>
          <w:sz w:val="16"/>
        </w:rPr>
        <w:t>[6] IEEE MWSCAS, "Batteryless Systems for IoT: A Survey of Circuit and System Design," in Proc. IEEE Midwest Symposium on Circuits and Systems (MWSCAS), 2025. [Online]. Available: https://doi.org/10.1109/MWSCAS53549.2025.11244474</w:t>
      </w:r>
    </w:p>
    <w:sectPr w:rsidR="00FC693F" w:rsidRPr="0006063C" w:rsidSect="00034616">
      <w:pgSz w:w="11906" w:h="16838"/>
      <w:pgMar w:top="1083" w:right="1009" w:bottom="1440" w:left="100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