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8"/>
        </w:rPr>
        <w:t>Recent Improvements in Large Language Models</w:t>
        <w:br/>
        <w:t>(2025–2026): A Comprehensive Review</w:t>
      </w:r>
    </w:p>
    <w:p>
      <w:pPr>
        <w:spacing w:after="40"/>
        <w:jc w:val="center"/>
      </w:pPr>
      <w:r>
        <w:rPr>
          <w:rFonts w:ascii="Times New Roman" w:hAnsi="Times New Roman"/>
          <w:sz w:val="22"/>
        </w:rPr>
        <w:t>Bidur Sapkota</w:t>
      </w:r>
    </w:p>
    <w:p>
      <w:pPr>
        <w:spacing w:after="120"/>
        <w:jc w:val="center"/>
      </w:pPr>
      <w:r>
        <w:rPr>
          <w:rFonts w:ascii="Times New Roman" w:hAnsi="Times New Roman"/>
          <w:i/>
          <w:sz w:val="20"/>
        </w:rPr>
        <w:t>Department of Computer Engineering, Nepal College of Information Technology (NCIT)</w:t>
        <w:br/>
        <w:t>Pokhara University, Nepal</w:t>
        <w:br/>
        <w:t>bidur@ncit.edu.np</w:t>
      </w:r>
    </w:p>
    <w:p>
      <w:pPr>
        <w:spacing w:before="200" w:after="80"/>
        <w:jc w:val="center"/>
      </w:pPr>
      <w:r>
        <w:rPr>
          <w:rFonts w:ascii="Times New Roman" w:hAnsi="Times New Roman"/>
          <w:b/>
          <w:sz w:val="20"/>
        </w:rPr>
        <w:t>ABSTRACT</w:t>
      </w:r>
    </w:p>
    <w:p>
      <w:pPr>
        <w:spacing w:after="40"/>
        <w:jc w:val="both"/>
      </w:pPr>
      <w:r>
        <w:rPr>
          <w:rFonts w:ascii="Times New Roman" w:hAnsi="Times New Roman"/>
          <w:sz w:val="20"/>
        </w:rPr>
        <w:t>Large Language Models (LLMs) have undergone transformative advancements in 2025–2026, shifting the paradigm from parameter scaling to inference-time reasoning, architectural efficiency, and reliability improvements. This review paper examines six seminal research contributions that represent the forefront of LLM development: DeepSeek-R1's reinforcement learning-based reasoning, Qwen3's hybrid thinking architecture, Gemma 3's efficient multimodal design, FlashAttention-3's hardware-optimized attention kernels, EAGLE-3's speculative decoding framework, and SAFE's attribution-based hallucination mitigation. We provide a structured analysis of each contribution, identify critical research gaps including the lack of standardized reasoning evaluation, limited cross-architecture transferability, energy sustainability concerns, and insufficient safety frameworks for autonomous reasoning models. Our findings suggest that future research must prioritize unified benchmarking, energy-efficient training paradigms, and robust interpretability mechanisms to ensure the responsible advancement of LLM technology.</w:t>
      </w:r>
    </w:p>
    <w:p>
      <w:pPr>
        <w:spacing w:before="80" w:after="120"/>
      </w:pPr>
      <w:r>
        <w:rPr>
          <w:rFonts w:ascii="Times New Roman" w:hAnsi="Times New Roman"/>
          <w:b/>
          <w:i/>
          <w:sz w:val="18"/>
        </w:rPr>
        <w:t>Keywords—</w:t>
      </w:r>
      <w:r>
        <w:rPr>
          <w:rFonts w:ascii="Times New Roman" w:hAnsi="Times New Roman"/>
          <w:i/>
          <w:sz w:val="18"/>
        </w:rPr>
        <w:t>Large Language Models, Reinforcement Learning, Reasoning, Mixture-of-Experts, Efficient Attention, Speculative Decoding, Retrieval-Augmented Generation, Research Gaps</w:t>
      </w:r>
    </w:p>
    <w:p>
      <w:pPr>
        <w:spacing w:before="200" w:after="80"/>
        <w:jc w:val="center"/>
      </w:pPr>
      <w:r>
        <w:rPr>
          <w:rFonts w:ascii="Times New Roman" w:hAnsi="Times New Roman"/>
          <w:b/>
          <w:sz w:val="20"/>
        </w:rPr>
        <w:t>I. INTRODUCTION</w:t>
      </w:r>
    </w:p>
    <w:p>
      <w:pPr>
        <w:spacing w:after="40"/>
        <w:ind w:firstLine="283"/>
        <w:jc w:val="both"/>
      </w:pPr>
      <w:r>
        <w:rPr>
          <w:rFonts w:ascii="Times New Roman" w:hAnsi="Times New Roman"/>
          <w:sz w:val="20"/>
        </w:rPr>
        <w:t>The field of Natural Language Processing (NLP) has been fundamentally reshaped by the advent and rapid evolution of Large Language Models (LLMs). Since the release of GPT-3 in 2020 and the subsequent proliferation of models like ChatGPT, LLaMA, and Gemini, LLMs have demonstrated unprecedented capabilities in text generation, reasoning, code synthesis, and multimodal understanding. However, the period spanning 2025 to 2026 marks a pivotal inflection point in LLM research, characterized by a decisive shift away from the brute-force scaling of model parameters toward more nuanced strategies focused on reasoning quality, computational efficiency, and output reliability.</w:t>
      </w:r>
    </w:p>
    <w:p>
      <w:pPr>
        <w:spacing w:after="40"/>
        <w:ind w:firstLine="283"/>
        <w:jc w:val="both"/>
      </w:pPr>
      <w:r>
        <w:rPr>
          <w:rFonts w:ascii="Times New Roman" w:hAnsi="Times New Roman"/>
          <w:sz w:val="20"/>
        </w:rPr>
        <w:t>The emergence of reasoning-focused models such as DeepSeek-R1 [1] and OpenAI's o-series has demonstrated that reinforcement learning (RL) can incentivize emergent reasoning behaviors without extensive supervised fine-tuning. Simultaneously, architectural innovations like Mixture-of-Experts (MoE) in Qwen3 [2] and interleaved attention mechanisms in Gemma 3 [3] have pushed the boundaries of what smaller, more efficient models can achieve. On the systems side, advances in attention computation (FlashAttention-3 [4]), inference acceleration (EAGLE-3 [5]), and output attribution (SAFE [6]) have addressed critical bottlenecks in deploying LLMs at scale.</w:t>
      </w:r>
    </w:p>
    <w:p>
      <w:pPr>
        <w:spacing w:after="40"/>
        <w:ind w:firstLine="283"/>
        <w:jc w:val="both"/>
      </w:pPr>
      <w:r>
        <w:rPr>
          <w:rFonts w:ascii="Times New Roman" w:hAnsi="Times New Roman"/>
          <w:sz w:val="20"/>
        </w:rPr>
        <w:t>This review paper provides a comprehensive examination of these six landmark contributions, analyzing their methodologies, key innovations, and experimental results. Furthermore, we identify and highlight critical research gaps that remain unaddressed, offering directions for future investigation. The remainder of this paper is organized as follows: Section II presents the reviewed literature; Section III provides a comparative analysis; Section IV identifies research gaps; Section V discusses implications; and Section VI concludes the paper.</w:t>
      </w:r>
    </w:p>
    <w:p>
      <w:pPr>
        <w:spacing w:before="200" w:after="80"/>
        <w:jc w:val="center"/>
      </w:pPr>
      <w:r>
        <w:rPr>
          <w:rFonts w:ascii="Times New Roman" w:hAnsi="Times New Roman"/>
          <w:b/>
          <w:sz w:val="20"/>
        </w:rPr>
        <w:t>II. LITERATURE REVIEW</w:t>
      </w:r>
    </w:p>
    <w:p>
      <w:pPr>
        <w:spacing w:before="160" w:after="60"/>
      </w:pPr>
      <w:r>
        <w:rPr>
          <w:rFonts w:ascii="Times New Roman" w:hAnsi="Times New Roman"/>
          <w:b/>
          <w:i/>
          <w:sz w:val="20"/>
        </w:rPr>
        <w:t>A. DeepSeek-R1: Incentivizing Reasoning via Reinforcement Learning</w:t>
      </w:r>
    </w:p>
    <w:p>
      <w:pPr>
        <w:spacing w:after="40"/>
        <w:ind w:firstLine="283"/>
        <w:jc w:val="both"/>
      </w:pPr>
      <w:r>
        <w:rPr>
          <w:rFonts w:ascii="Times New Roman" w:hAnsi="Times New Roman"/>
          <w:sz w:val="20"/>
        </w:rPr>
        <w:t>DeepSeek-R1, introduced by DeepSeek-AI in January 2025 (arXiv:2501.12948), represents a paradigm shift in training LLMs for reasoning tasks [1]. The paper demonstrates that advanced reasoning capabilities—including self-reflection, multi-step verification, and complex mathematical problem-solving—can emerge through pure reinforcement learning, without reliance on expensive human-annotated supervised fine-tuning (SFT) data.</w:t>
      </w:r>
    </w:p>
    <w:p>
      <w:pPr>
        <w:spacing w:after="40"/>
        <w:ind w:firstLine="283"/>
        <w:jc w:val="both"/>
      </w:pPr>
      <w:r>
        <w:rPr>
          <w:rFonts w:ascii="Times New Roman" w:hAnsi="Times New Roman"/>
          <w:sz w:val="20"/>
        </w:rPr>
        <w:t>The key technical innovation is Group Relative Policy Optimization (GRPO), an efficient RL technique that eliminates the need for a separate critic model, thereby significantly reducing computational overhead during training. The initial variant, DeepSeek-R1-Zero, was trained using large-scale RL directly on a base model, exhibiting emergent reasoning behaviors such as "aha moments" where the model spontaneously re-evaluates its approach. However, R1-Zero suffered from readability issues and language mixing. The refined DeepSeek-R1 addresses these limitations through a multi-stage training pipeline incorporating cold-start data, achieving performance competitive with OpenAI's o1 on AIME 2025 benchmarks while remaining fully open-source under the MIT License.</w:t>
      </w:r>
    </w:p>
    <w:p>
      <w:pPr>
        <w:spacing w:before="160" w:after="60"/>
      </w:pPr>
      <w:r>
        <w:rPr>
          <w:rFonts w:ascii="Times New Roman" w:hAnsi="Times New Roman"/>
          <w:b/>
          <w:i/>
          <w:sz w:val="20"/>
        </w:rPr>
        <w:t>B. Qwen3: Unified Hybrid Thinking Architecture</w:t>
      </w:r>
    </w:p>
    <w:p>
      <w:pPr>
        <w:spacing w:after="40"/>
        <w:ind w:firstLine="283"/>
        <w:jc w:val="both"/>
      </w:pPr>
      <w:r>
        <w:rPr>
          <w:rFonts w:ascii="Times New Roman" w:hAnsi="Times New Roman"/>
          <w:sz w:val="20"/>
        </w:rPr>
        <w:t>The Qwen3 Technical Report (arXiv:2505.09388), published by Alibaba's Qwen team in May 2025, presents a comprehensive family of language models ranging from 0.6B to 235B parameters [2]. Qwen3's most significant contribution is the introduction of a unified "thinking mode" for complex reasoning tasks and a "non-thinking mode" for rapid, latency-sensitive responses, enabled by a dynamic thinking budget mechanism that allows users to control the depth of reasoning at inference time.</w:t>
      </w:r>
    </w:p>
    <w:p>
      <w:pPr>
        <w:spacing w:after="40"/>
        <w:ind w:firstLine="283"/>
        <w:jc w:val="both"/>
      </w:pPr>
      <w:r>
        <w:rPr>
          <w:rFonts w:ascii="Times New Roman" w:hAnsi="Times New Roman"/>
          <w:sz w:val="20"/>
        </w:rPr>
        <w:t>The architecture employs both dense and Mixture-of-Expert (MoE) configurations, with the flagship Qwen3-235B-A22B utilizing 235 billion total parameters but activating only 22 billion per token through sparse expert routing. This design achieves a compelling balance between model capacity and computational cost. The training methodology encompasses a four-stage pipeline: (1) pre-training on over 36 trillion tokens across 119 languages, (2) long-context extension to 128K tokens using YaRN-based positional encoding, (3) reasoning-oriented RL post-training, and (4) general-purpose alignment via direct preference optimization (DPO). Qwen3 has since been extended to multimodal (Qwen3-VL), audio (Qwen3-ASR), and omni-modal (Qwen3.5-Omni) variants.</w:t>
      </w:r>
    </w:p>
    <w:p>
      <w:pPr>
        <w:spacing w:before="160" w:after="60"/>
      </w:pPr>
      <w:r>
        <w:rPr>
          <w:rFonts w:ascii="Times New Roman" w:hAnsi="Times New Roman"/>
          <w:b/>
          <w:i/>
          <w:sz w:val="20"/>
        </w:rPr>
        <w:t>C. Gemma 3: Efficient Multimodal Open-Weight Model</w:t>
      </w:r>
    </w:p>
    <w:p>
      <w:pPr>
        <w:spacing w:after="40"/>
        <w:ind w:firstLine="283"/>
        <w:jc w:val="both"/>
      </w:pPr>
      <w:r>
        <w:rPr>
          <w:rFonts w:ascii="Times New Roman" w:hAnsi="Times New Roman"/>
          <w:sz w:val="20"/>
        </w:rPr>
        <w:t>Google DeepMind's Gemma 3 Technical Report (arXiv:2503.19786), released in March 2025, describes a family of lightweight, open-weight multimodal models ranging from 1B to 27B parameters [3]. Gemma 3's architectural innovation lies in its interleaved local/global attention mechanism, where local sliding window attention handles short-range dependencies while global attention layers capture long-range context, enabling support for 128K token context windows without the linear memory growth typical of standard full attention.</w:t>
      </w:r>
    </w:p>
    <w:p>
      <w:pPr>
        <w:spacing w:after="40"/>
        <w:ind w:firstLine="283"/>
        <w:jc w:val="both"/>
      </w:pPr>
      <w:r>
        <w:rPr>
          <w:rFonts w:ascii="Times New Roman" w:hAnsi="Times New Roman"/>
          <w:sz w:val="20"/>
        </w:rPr>
        <w:t>The vision component integrates a SigLIP-based image encoder through a Pan-and-Scan strategy that adaptively crops high-resolution images into multiple sub-images, enabling fine-grained visual understanding. Gemma 3-27B achieves competitive performance with models up to twice its parameter count on benchmarks including MMLU (75.6%), GSM8K (89.0%), and HumanEval (77.4%). The model family is designed for single-GPU deployment, democratizing access to capable multimodal AI for researchers and developers with limited computational resources.</w:t>
      </w:r>
    </w:p>
    <w:p>
      <w:pPr>
        <w:spacing w:before="160" w:after="60"/>
      </w:pPr>
      <w:r>
        <w:rPr>
          <w:rFonts w:ascii="Times New Roman" w:hAnsi="Times New Roman"/>
          <w:b/>
          <w:i/>
          <w:sz w:val="20"/>
        </w:rPr>
        <w:t>D. FlashAttention-3: Hardware-Aware Efficient Attention</w:t>
      </w:r>
    </w:p>
    <w:p>
      <w:pPr>
        <w:spacing w:after="40"/>
        <w:ind w:firstLine="283"/>
        <w:jc w:val="both"/>
      </w:pPr>
      <w:r>
        <w:rPr>
          <w:rFonts w:ascii="Times New Roman" w:hAnsi="Times New Roman"/>
          <w:sz w:val="20"/>
        </w:rPr>
        <w:t>FlashAttention-3 (arXiv:2407.08608), authored by Shah et al., introduces a suite of hardware-specific optimizations for attention computation on NVIDIA Hopper GPUs (H100) [4]. Building upon the I/O-aware foundations of FlashAttention-1 and FlashAttention-2, the third iteration addresses the observation that prior versions achieved only ~35% hardware utilization on H100 GPUs due to underutilization of new hardware features.</w:t>
      </w:r>
    </w:p>
    <w:p>
      <w:pPr>
        <w:spacing w:after="40"/>
        <w:ind w:firstLine="283"/>
        <w:jc w:val="both"/>
      </w:pPr>
      <w:r>
        <w:rPr>
          <w:rFonts w:ascii="Times New Roman" w:hAnsi="Times New Roman"/>
          <w:sz w:val="20"/>
        </w:rPr>
        <w:t>Three core innovations drive the performance gains: (1) Warp Specialization, which exploits the asynchronous nature of Tensor Cores and the Tensor Memory Accelerator (TMA) to overlap data movement with computation; (2) Interleaved GEMM-Softmax scheduling, which pipelines block-wise matrix multiplication and softmax operations to hide computational latency; and (3) native FP8 support with block quantization and incoherent processing to maintain numerical accuracy at reduced precision. FlashAttention-3 achieves up to 740 TFLOPs/s (75% utilization) in FP16 and 1.2 PFLOPs/s in FP8, representing a 1.5–2.0× speedup over FlashAttention-2. The work has since been succeeded by FlashAttention-4, targeting NVIDIA Blackwell (B200) GPUs.</w:t>
      </w:r>
    </w:p>
    <w:p>
      <w:pPr>
        <w:spacing w:before="160" w:after="60"/>
      </w:pPr>
      <w:r>
        <w:rPr>
          <w:rFonts w:ascii="Times New Roman" w:hAnsi="Times New Roman"/>
          <w:b/>
          <w:i/>
          <w:sz w:val="20"/>
        </w:rPr>
        <w:t>E. EAGLE-3: Advanced Speculative Decoding</w:t>
      </w:r>
    </w:p>
    <w:p>
      <w:pPr>
        <w:spacing w:after="40"/>
        <w:ind w:firstLine="283"/>
        <w:jc w:val="both"/>
      </w:pPr>
      <w:r>
        <w:rPr>
          <w:rFonts w:ascii="Times New Roman" w:hAnsi="Times New Roman"/>
          <w:sz w:val="20"/>
        </w:rPr>
        <w:t>EAGLE-3, developed as a state-of-the-art speculative decoding framework in 2025, advances the paradigm of draft-then-verify inference acceleration for autoregressive LLMs [5]. Unlike traditional speculative decoding that requires a separate, smaller draft model, EAGLE-3 attaches autoregressive prediction heads to the target model's internal layers, enabling self-speculative inference without an external drafter.</w:t>
      </w:r>
    </w:p>
    <w:p>
      <w:pPr>
        <w:spacing w:after="40"/>
        <w:ind w:firstLine="283"/>
        <w:jc w:val="both"/>
      </w:pPr>
      <w:r>
        <w:rPr>
          <w:rFonts w:ascii="Times New Roman" w:hAnsi="Times New Roman"/>
          <w:sz w:val="20"/>
        </w:rPr>
        <w:t>The key innovations include: (1) Bayesian optimization for selecting the optimal internal layer from which to derive draft predictions, balancing draft quality against computational overhead; (2) multi-token prediction capability that increases draft depth without proportional increase in compute cost; and (3) cross-attention-based decoding variants (Beagle) that simplify the architecture by eliminating auxiliary components like pooling or fusion layers. EAGLE-3 consistently achieves 2–3× speedups for LLM inference while maintaining lossless output quality, matching or exceeding the performance of EAGLE-v2 with improved training efficiency.</w:t>
      </w:r>
    </w:p>
    <w:p>
      <w:pPr>
        <w:spacing w:before="160" w:after="60"/>
      </w:pPr>
      <w:r>
        <w:rPr>
          <w:rFonts w:ascii="Times New Roman" w:hAnsi="Times New Roman"/>
          <w:b/>
          <w:i/>
          <w:sz w:val="20"/>
        </w:rPr>
        <w:t>F. SAFE: Sentence-Level Attribution for RAG Reliability</w:t>
      </w:r>
    </w:p>
    <w:p>
      <w:pPr>
        <w:spacing w:after="40"/>
        <w:ind w:firstLine="283"/>
        <w:jc w:val="both"/>
      </w:pPr>
      <w:r>
        <w:rPr>
          <w:rFonts w:ascii="Times New Roman" w:hAnsi="Times New Roman"/>
          <w:sz w:val="20"/>
        </w:rPr>
        <w:t>The SAFE framework (arXiv:2505.12621), proposed by Batista et al. in May 2025, addresses one of the most critical challenges in deployed LLM systems: hallucination in Retrieval-Augmented Generation (RAG) pipelines [6]. SAFE introduces a two-step in-generation attribution mechanism that (1) predicts the required number of source references for each generated sentence, and (2) performs fine-grained attribution linking generated claims to specific segments in retrieved source documents.</w:t>
      </w:r>
    </w:p>
    <w:p>
      <w:pPr>
        <w:spacing w:after="40"/>
        <w:ind w:firstLine="283"/>
        <w:jc w:val="both"/>
      </w:pPr>
      <w:r>
        <w:rPr>
          <w:rFonts w:ascii="Times New Roman" w:hAnsi="Times New Roman"/>
          <w:sz w:val="20"/>
        </w:rPr>
        <w:t>Unlike post-hoc fact-checking approaches, SAFE operates during the generation process itself, enabling real-time verification and significantly reducing the latency overhead of attribution. The framework is model-agnostic and can be integrated into existing RAG pipelines with minimal architectural changes. The authors provide both the framework implementation and the training dataset publicly, facilitating reproducibility. SAFE demonstrates meaningful improvements in attribution accuracy and user trust in enterprise RAG deployments where factual reliability is paramount.</w:t>
      </w:r>
    </w:p>
    <w:p>
      <w:pPr>
        <w:spacing w:before="200" w:after="80"/>
        <w:jc w:val="center"/>
      </w:pPr>
      <w:r>
        <w:rPr>
          <w:rFonts w:ascii="Times New Roman" w:hAnsi="Times New Roman"/>
          <w:b/>
          <w:sz w:val="20"/>
        </w:rPr>
        <w:t>III. COMPARATIVE ANALYSIS</w:t>
      </w:r>
    </w:p>
    <w:p>
      <w:pPr>
        <w:spacing w:before="120" w:after="40"/>
        <w:jc w:val="center"/>
      </w:pPr>
      <w:r>
        <w:rPr>
          <w:rFonts w:ascii="Times New Roman" w:hAnsi="Times New Roman"/>
          <w:b/>
          <w:sz w:val="16"/>
        </w:rPr>
        <w:t>TABLE I: Summary of Reviewed Research Papers</w:t>
      </w:r>
    </w:p>
    <w:tbl>
      <w:tblPr>
        <w:tblStyle w:val="TableGrid"/>
        <w:tblW w:type="auto" w:w="0"/>
        <w:tblLook w:firstColumn="1" w:firstRow="1" w:lastColumn="0" w:lastRow="0" w:noHBand="0" w:noVBand="1" w:val="04A0"/>
      </w:tblPr>
      <w:tblGrid>
        <w:gridCol w:w="2555"/>
        <w:gridCol w:w="2555"/>
        <w:gridCol w:w="2555"/>
        <w:gridCol w:w="2555"/>
      </w:tblGrid>
      <w:tr>
        <w:tc>
          <w:tcPr>
            <w:tcW w:type="dxa" w:w="567"/>
            <w:shd w:fill="1F4E79" w:val="clear"/>
          </w:tcPr>
          <w:p>
            <w:r>
              <w:rPr>
                <w:rFonts w:ascii="Times New Roman" w:hAnsi="Times New Roman"/>
                <w:b/>
                <w:color w:val="FFFFFF"/>
                <w:sz w:val="14"/>
              </w:rPr>
              <w:t>Ref.</w:t>
            </w:r>
          </w:p>
        </w:tc>
        <w:tc>
          <w:tcPr>
            <w:tcW w:type="dxa" w:w="3402"/>
            <w:shd w:fill="1F4E79" w:val="clear"/>
          </w:tcPr>
          <w:p>
            <w:r>
              <w:rPr>
                <w:rFonts w:ascii="Times New Roman" w:hAnsi="Times New Roman"/>
                <w:b/>
                <w:color w:val="FFFFFF"/>
                <w:sz w:val="14"/>
              </w:rPr>
              <w:t>Paper Title</w:t>
            </w:r>
          </w:p>
        </w:tc>
        <w:tc>
          <w:tcPr>
            <w:tcW w:type="dxa" w:w="3969"/>
            <w:shd w:fill="1F4E79" w:val="clear"/>
          </w:tcPr>
          <w:p>
            <w:r>
              <w:rPr>
                <w:rFonts w:ascii="Times New Roman" w:hAnsi="Times New Roman"/>
                <w:b/>
                <w:color w:val="FFFFFF"/>
                <w:sz w:val="14"/>
              </w:rPr>
              <w:t>Key Contribution</w:t>
            </w:r>
          </w:p>
        </w:tc>
        <w:tc>
          <w:tcPr>
            <w:tcW w:type="dxa" w:w="680"/>
            <w:shd w:fill="1F4E79" w:val="clear"/>
          </w:tcPr>
          <w:p>
            <w:r>
              <w:rPr>
                <w:rFonts w:ascii="Times New Roman" w:hAnsi="Times New Roman"/>
                <w:b/>
                <w:color w:val="FFFFFF"/>
                <w:sz w:val="14"/>
              </w:rPr>
              <w:t>Year</w:t>
            </w:r>
          </w:p>
        </w:tc>
      </w:tr>
      <w:tr>
        <w:tc>
          <w:tcPr>
            <w:tcW w:type="dxa" w:w="567"/>
          </w:tcPr>
          <w:p>
            <w:r>
              <w:rPr>
                <w:rFonts w:ascii="Times New Roman" w:hAnsi="Times New Roman"/>
                <w:sz w:val="14"/>
              </w:rPr>
              <w:t>[1]</w:t>
            </w:r>
          </w:p>
        </w:tc>
        <w:tc>
          <w:tcPr>
            <w:tcW w:type="dxa" w:w="3402"/>
          </w:tcPr>
          <w:p>
            <w:r>
              <w:rPr>
                <w:rFonts w:ascii="Times New Roman" w:hAnsi="Times New Roman"/>
                <w:sz w:val="14"/>
              </w:rPr>
              <w:t>DeepSeek-R1: Incentivizing Reasoning Capability in LLMs via RL</w:t>
            </w:r>
          </w:p>
        </w:tc>
        <w:tc>
          <w:tcPr>
            <w:tcW w:type="dxa" w:w="3969"/>
          </w:tcPr>
          <w:p>
            <w:r>
              <w:rPr>
                <w:rFonts w:ascii="Times New Roman" w:hAnsi="Times New Roman"/>
                <w:sz w:val="14"/>
              </w:rPr>
              <w:t>Pure RL-based reasoning without SFT; GRPO optimization</w:t>
            </w:r>
          </w:p>
        </w:tc>
        <w:tc>
          <w:tcPr>
            <w:tcW w:type="dxa" w:w="680"/>
          </w:tcPr>
          <w:p>
            <w:r>
              <w:rPr>
                <w:rFonts w:ascii="Times New Roman" w:hAnsi="Times New Roman"/>
                <w:sz w:val="14"/>
              </w:rPr>
              <w:t>2025</w:t>
            </w:r>
          </w:p>
        </w:tc>
      </w:tr>
      <w:tr>
        <w:tc>
          <w:tcPr>
            <w:tcW w:type="dxa" w:w="567"/>
            <w:shd w:fill="D6E4F0" w:val="clear"/>
          </w:tcPr>
          <w:p>
            <w:r>
              <w:rPr>
                <w:rFonts w:ascii="Times New Roman" w:hAnsi="Times New Roman"/>
                <w:sz w:val="14"/>
              </w:rPr>
              <w:t>[2]</w:t>
            </w:r>
          </w:p>
        </w:tc>
        <w:tc>
          <w:tcPr>
            <w:tcW w:type="dxa" w:w="3402"/>
            <w:shd w:fill="D6E4F0" w:val="clear"/>
          </w:tcPr>
          <w:p>
            <w:r>
              <w:rPr>
                <w:rFonts w:ascii="Times New Roman" w:hAnsi="Times New Roman"/>
                <w:sz w:val="14"/>
              </w:rPr>
              <w:t>Qwen3 Technical Report</w:t>
            </w:r>
          </w:p>
        </w:tc>
        <w:tc>
          <w:tcPr>
            <w:tcW w:type="dxa" w:w="3969"/>
            <w:shd w:fill="D6E4F0" w:val="clear"/>
          </w:tcPr>
          <w:p>
            <w:r>
              <w:rPr>
                <w:rFonts w:ascii="Times New Roman" w:hAnsi="Times New Roman"/>
                <w:sz w:val="14"/>
              </w:rPr>
              <w:t>Unified thinking/non-thinking modes; MoE architecture; 119 languages</w:t>
            </w:r>
          </w:p>
        </w:tc>
        <w:tc>
          <w:tcPr>
            <w:tcW w:type="dxa" w:w="680"/>
            <w:shd w:fill="D6E4F0" w:val="clear"/>
          </w:tcPr>
          <w:p>
            <w:r>
              <w:rPr>
                <w:rFonts w:ascii="Times New Roman" w:hAnsi="Times New Roman"/>
                <w:sz w:val="14"/>
              </w:rPr>
              <w:t>2025</w:t>
            </w:r>
          </w:p>
        </w:tc>
      </w:tr>
      <w:tr>
        <w:tc>
          <w:tcPr>
            <w:tcW w:type="dxa" w:w="567"/>
          </w:tcPr>
          <w:p>
            <w:r>
              <w:rPr>
                <w:rFonts w:ascii="Times New Roman" w:hAnsi="Times New Roman"/>
                <w:sz w:val="14"/>
              </w:rPr>
              <w:t>[3]</w:t>
            </w:r>
          </w:p>
        </w:tc>
        <w:tc>
          <w:tcPr>
            <w:tcW w:type="dxa" w:w="3402"/>
          </w:tcPr>
          <w:p>
            <w:r>
              <w:rPr>
                <w:rFonts w:ascii="Times New Roman" w:hAnsi="Times New Roman"/>
                <w:sz w:val="14"/>
              </w:rPr>
              <w:t>Gemma 3 Technical Report</w:t>
            </w:r>
          </w:p>
        </w:tc>
        <w:tc>
          <w:tcPr>
            <w:tcW w:type="dxa" w:w="3969"/>
          </w:tcPr>
          <w:p>
            <w:r>
              <w:rPr>
                <w:rFonts w:ascii="Times New Roman" w:hAnsi="Times New Roman"/>
                <w:sz w:val="14"/>
              </w:rPr>
              <w:t>Multimodal with 128K context; interleaved local/global attention</w:t>
            </w:r>
          </w:p>
        </w:tc>
        <w:tc>
          <w:tcPr>
            <w:tcW w:type="dxa" w:w="680"/>
          </w:tcPr>
          <w:p>
            <w:r>
              <w:rPr>
                <w:rFonts w:ascii="Times New Roman" w:hAnsi="Times New Roman"/>
                <w:sz w:val="14"/>
              </w:rPr>
              <w:t>2025</w:t>
            </w:r>
          </w:p>
        </w:tc>
      </w:tr>
      <w:tr>
        <w:tc>
          <w:tcPr>
            <w:tcW w:type="dxa" w:w="567"/>
            <w:shd w:fill="D6E4F0" w:val="clear"/>
          </w:tcPr>
          <w:p>
            <w:r>
              <w:rPr>
                <w:rFonts w:ascii="Times New Roman" w:hAnsi="Times New Roman"/>
                <w:sz w:val="14"/>
              </w:rPr>
              <w:t>[4]</w:t>
            </w:r>
          </w:p>
        </w:tc>
        <w:tc>
          <w:tcPr>
            <w:tcW w:type="dxa" w:w="3402"/>
            <w:shd w:fill="D6E4F0" w:val="clear"/>
          </w:tcPr>
          <w:p>
            <w:r>
              <w:rPr>
                <w:rFonts w:ascii="Times New Roman" w:hAnsi="Times New Roman"/>
                <w:sz w:val="14"/>
              </w:rPr>
              <w:t>FlashAttention-3: Fast and Accurate Attention</w:t>
            </w:r>
          </w:p>
        </w:tc>
        <w:tc>
          <w:tcPr>
            <w:tcW w:type="dxa" w:w="3969"/>
            <w:shd w:fill="D6E4F0" w:val="clear"/>
          </w:tcPr>
          <w:p>
            <w:r>
              <w:rPr>
                <w:rFonts w:ascii="Times New Roman" w:hAnsi="Times New Roman"/>
                <w:sz w:val="14"/>
              </w:rPr>
              <w:t>Warp specialization; FP8 support; 1.5-2x speedup on H100</w:t>
            </w:r>
          </w:p>
        </w:tc>
        <w:tc>
          <w:tcPr>
            <w:tcW w:type="dxa" w:w="680"/>
            <w:shd w:fill="D6E4F0" w:val="clear"/>
          </w:tcPr>
          <w:p>
            <w:r>
              <w:rPr>
                <w:rFonts w:ascii="Times New Roman" w:hAnsi="Times New Roman"/>
                <w:sz w:val="14"/>
              </w:rPr>
              <w:t>2024</w:t>
            </w:r>
          </w:p>
        </w:tc>
      </w:tr>
      <w:tr>
        <w:tc>
          <w:tcPr>
            <w:tcW w:type="dxa" w:w="567"/>
          </w:tcPr>
          <w:p>
            <w:r>
              <w:rPr>
                <w:rFonts w:ascii="Times New Roman" w:hAnsi="Times New Roman"/>
                <w:sz w:val="14"/>
              </w:rPr>
              <w:t>[5]</w:t>
            </w:r>
          </w:p>
        </w:tc>
        <w:tc>
          <w:tcPr>
            <w:tcW w:type="dxa" w:w="3402"/>
          </w:tcPr>
          <w:p>
            <w:r>
              <w:rPr>
                <w:rFonts w:ascii="Times New Roman" w:hAnsi="Times New Roman"/>
                <w:sz w:val="14"/>
              </w:rPr>
              <w:t>EAGLE-3: Speculative Decoding with Autoregressive Prediction Heads</w:t>
            </w:r>
          </w:p>
        </w:tc>
        <w:tc>
          <w:tcPr>
            <w:tcW w:type="dxa" w:w="3969"/>
          </w:tcPr>
          <w:p>
            <w:r>
              <w:rPr>
                <w:rFonts w:ascii="Times New Roman" w:hAnsi="Times New Roman"/>
                <w:sz w:val="14"/>
              </w:rPr>
              <w:t>Bayesian-optimized layer selection; multi-token prediction</w:t>
            </w:r>
          </w:p>
        </w:tc>
        <w:tc>
          <w:tcPr>
            <w:tcW w:type="dxa" w:w="680"/>
          </w:tcPr>
          <w:p>
            <w:r>
              <w:rPr>
                <w:rFonts w:ascii="Times New Roman" w:hAnsi="Times New Roman"/>
                <w:sz w:val="14"/>
              </w:rPr>
              <w:t>2025</w:t>
            </w:r>
          </w:p>
        </w:tc>
      </w:tr>
      <w:tr>
        <w:tc>
          <w:tcPr>
            <w:tcW w:type="dxa" w:w="567"/>
            <w:shd w:fill="D6E4F0" w:val="clear"/>
          </w:tcPr>
          <w:p>
            <w:r>
              <w:rPr>
                <w:rFonts w:ascii="Times New Roman" w:hAnsi="Times New Roman"/>
                <w:sz w:val="14"/>
              </w:rPr>
              <w:t>[6]</w:t>
            </w:r>
          </w:p>
        </w:tc>
        <w:tc>
          <w:tcPr>
            <w:tcW w:type="dxa" w:w="3402"/>
            <w:shd w:fill="D6E4F0" w:val="clear"/>
          </w:tcPr>
          <w:p>
            <w:r>
              <w:rPr>
                <w:rFonts w:ascii="Times New Roman" w:hAnsi="Times New Roman"/>
                <w:sz w:val="14"/>
              </w:rPr>
              <w:t>SAFE: Sentence-Level In-generation Attribution for RAG</w:t>
            </w:r>
          </w:p>
        </w:tc>
        <w:tc>
          <w:tcPr>
            <w:tcW w:type="dxa" w:w="3969"/>
            <w:shd w:fill="D6E4F0" w:val="clear"/>
          </w:tcPr>
          <w:p>
            <w:r>
              <w:rPr>
                <w:rFonts w:ascii="Times New Roman" w:hAnsi="Times New Roman"/>
                <w:sz w:val="14"/>
              </w:rPr>
              <w:t>Real-time attribution; hallucination mitigation in RAG</w:t>
            </w:r>
          </w:p>
        </w:tc>
        <w:tc>
          <w:tcPr>
            <w:tcW w:type="dxa" w:w="680"/>
            <w:shd w:fill="D6E4F0" w:val="clear"/>
          </w:tcPr>
          <w:p>
            <w:r>
              <w:rPr>
                <w:rFonts w:ascii="Times New Roman" w:hAnsi="Times New Roman"/>
                <w:sz w:val="14"/>
              </w:rPr>
              <w:t>2025</w:t>
            </w:r>
          </w:p>
        </w:tc>
      </w:tr>
    </w:tbl>
    <w:p>
      <w:pPr>
        <w:spacing w:after="120"/>
      </w:pPr>
    </w:p>
    <w:p>
      <w:pPr>
        <w:spacing w:after="40"/>
        <w:ind w:firstLine="283"/>
        <w:jc w:val="both"/>
      </w:pPr>
      <w:r>
        <w:rPr>
          <w:rFonts w:ascii="Times New Roman" w:hAnsi="Times New Roman"/>
          <w:sz w:val="20"/>
        </w:rPr>
        <w:t>The six reviewed papers collectively represent three major thrusts in contemporary LLM research: (1) reasoning and training methodology (DeepSeek-R1, Qwen3), (2) architectural and systems-level efficiency (Gemma 3, FlashAttention-3, EAGLE-3), and (3) output reliability and safety (SAFE). A notable convergence is the shift toward inference-time scaling—rather than simply training larger models, researchers are investing in techniques that allow models to "think harder" (DeepSeek-R1's RL-based reasoning), "think more efficiently" (FlashAttention-3's hardware-aware kernels, EAGLE-3's speculative decoding), or "think more reliably" (SAFE's attribution).</w:t>
      </w:r>
    </w:p>
    <w:p>
      <w:pPr>
        <w:spacing w:after="40"/>
        <w:ind w:firstLine="283"/>
        <w:jc w:val="both"/>
      </w:pPr>
      <w:r>
        <w:rPr>
          <w:rFonts w:ascii="Times New Roman" w:hAnsi="Times New Roman"/>
          <w:sz w:val="20"/>
        </w:rPr>
        <w:t>Another significant trend is the democratization of capabilities. Gemma 3 and Qwen3 both emphasize single-GPU deployability and open-weight distribution, making frontier-level performance accessible to researchers beyond major corporations. The MoE architecture in Qwen3 and the interleaved attention in Gemma 3 represent different but complementary strategies for achieving this goal—sparse expert activation versus memory-efficient attention patterns.</w:t>
      </w:r>
    </w:p>
    <w:p>
      <w:pPr>
        <w:spacing w:before="200" w:after="80"/>
        <w:jc w:val="center"/>
      </w:pPr>
      <w:r>
        <w:rPr>
          <w:rFonts w:ascii="Times New Roman" w:hAnsi="Times New Roman"/>
          <w:b/>
          <w:sz w:val="20"/>
        </w:rPr>
        <w:t>IV. IDENTIFIED RESEARCH GAPS</w:t>
      </w:r>
    </w:p>
    <w:p>
      <w:pPr>
        <w:spacing w:after="40"/>
        <w:jc w:val="both"/>
      </w:pPr>
      <w:r>
        <w:rPr>
          <w:rFonts w:ascii="Times New Roman" w:hAnsi="Times New Roman"/>
          <w:sz w:val="20"/>
        </w:rPr>
        <w:t>Despite the substantial progress documented in the reviewed literature, several critical research gaps remain that warrant urgent investigation. These gaps are highlighted below:</w:t>
      </w:r>
    </w:p>
    <w:p>
      <w:pPr>
        <w:spacing w:before="160" w:after="60"/>
      </w:pPr>
      <w:r>
        <w:rPr>
          <w:rFonts w:ascii="Times New Roman" w:hAnsi="Times New Roman"/>
          <w:b/>
          <w:i/>
          <w:sz w:val="20"/>
        </w:rPr>
        <w:t>A. Lack of Standardized Reasoning Evaluation Benchmarks</w:t>
      </w:r>
    </w:p>
    <w:p>
      <w:pPr>
        <w:spacing w:after="40"/>
        <w:ind w:firstLine="283"/>
        <w:jc w:val="both"/>
      </w:pPr>
      <w:r>
        <w:rPr>
          <w:rFonts w:ascii="Times New Roman" w:hAnsi="Times New Roman"/>
          <w:sz w:val="20"/>
        </w:rPr>
        <w:t xml:space="preserve">While DeepSeek-R1 and Qwen3 demonstrate impressive reasoning capabilities, </w:t>
      </w:r>
      <w:r>
        <w:rPr>
          <w:rFonts w:ascii="Times New Roman" w:hAnsi="Times New Roman"/>
          <w:b/>
          <w:sz w:val="20"/>
          <w:highlight w:val="yellow"/>
        </w:rPr>
        <w:t>there is no universally accepted benchmark suite for evaluating reasoning quality, consistency, and robustness across different LLMs.</w:t>
      </w:r>
      <w:r>
        <w:rPr>
          <w:rFonts w:ascii="Times New Roman" w:hAnsi="Times New Roman"/>
          <w:sz w:val="20"/>
        </w:rPr>
        <w:t xml:space="preserve"> Current evaluations rely on competition-level math problems (AIME, MATH) and coding benchmarks (HumanEval, SWE-bench), which do not capture the full spectrum of reasoning abilities required in real-world applications such as legal analysis, medical diagnosis, or multi-hop scientific reasoning.</w:t>
      </w:r>
    </w:p>
    <w:p>
      <w:pPr>
        <w:spacing w:before="160" w:after="60"/>
      </w:pPr>
      <w:r>
        <w:rPr>
          <w:rFonts w:ascii="Times New Roman" w:hAnsi="Times New Roman"/>
          <w:b/>
          <w:i/>
          <w:sz w:val="20"/>
        </w:rPr>
        <w:t>B. Limited Cross-Architecture Transferability of Optimizations</w:t>
      </w:r>
    </w:p>
    <w:p>
      <w:pPr>
        <w:spacing w:after="40"/>
        <w:ind w:firstLine="283"/>
        <w:jc w:val="both"/>
      </w:pPr>
      <w:r>
        <w:rPr>
          <w:rFonts w:ascii="Times New Roman" w:hAnsi="Times New Roman"/>
          <w:sz w:val="20"/>
        </w:rPr>
        <w:t xml:space="preserve">FlashAttention-3's optimizations are tightly coupled to NVIDIA Hopper GPU architecture, and </w:t>
      </w:r>
      <w:r>
        <w:rPr>
          <w:rFonts w:ascii="Times New Roman" w:hAnsi="Times New Roman"/>
          <w:b/>
          <w:sz w:val="20"/>
          <w:highlight w:val="yellow"/>
        </w:rPr>
        <w:t>there is insufficient research on transferring hardware-aware attention optimizations across heterogeneous hardware platforms</w:t>
      </w:r>
      <w:r>
        <w:rPr>
          <w:rFonts w:ascii="Times New Roman" w:hAnsi="Times New Roman"/>
          <w:sz w:val="20"/>
        </w:rPr>
        <w:t xml:space="preserve"> (e.g., AMD MI300X, Google TPUs, Apple Silicon, Qualcomm NPUs). As edge and on-device deployment becomes increasingly important, hardware-agnostic efficiency techniques represent a critical unmet need.</w:t>
      </w:r>
    </w:p>
    <w:p>
      <w:pPr>
        <w:spacing w:before="160" w:after="60"/>
      </w:pPr>
      <w:r>
        <w:rPr>
          <w:rFonts w:ascii="Times New Roman" w:hAnsi="Times New Roman"/>
          <w:b/>
          <w:i/>
          <w:sz w:val="20"/>
        </w:rPr>
        <w:t>C. Energy Sustainability and Environmental Impact</w:t>
      </w:r>
    </w:p>
    <w:p>
      <w:pPr>
        <w:spacing w:after="40"/>
        <w:ind w:firstLine="283"/>
        <w:jc w:val="both"/>
      </w:pPr>
      <w:r>
        <w:rPr>
          <w:rFonts w:ascii="Times New Roman" w:hAnsi="Times New Roman"/>
          <w:sz w:val="20"/>
        </w:rPr>
        <w:t xml:space="preserve">None of the six reviewed papers comprehensively address the environmental cost of training and deploying LLMs. </w:t>
      </w:r>
      <w:r>
        <w:rPr>
          <w:rFonts w:ascii="Times New Roman" w:hAnsi="Times New Roman"/>
          <w:b/>
          <w:sz w:val="20"/>
          <w:highlight w:val="yellow"/>
        </w:rPr>
        <w:t>There is a significant research gap in developing standardized carbon footprint metrics and energy-efficient training paradigms for LLMs.</w:t>
      </w:r>
      <w:r>
        <w:rPr>
          <w:rFonts w:ascii="Times New Roman" w:hAnsi="Times New Roman"/>
          <w:sz w:val="20"/>
        </w:rPr>
        <w:t xml:space="preserve"> While MoE architectures and efficient attention reduce per-inference costs, the cumulative energy consumption of RL-based training pipelines (as in DeepSeek-R1) and large-scale pre-training (as in Qwen3's 36T token corpus) remains largely unreported and unoptimized.</w:t>
      </w:r>
    </w:p>
    <w:p>
      <w:pPr>
        <w:spacing w:before="160" w:after="60"/>
      </w:pPr>
      <w:r>
        <w:rPr>
          <w:rFonts w:ascii="Times New Roman" w:hAnsi="Times New Roman"/>
          <w:b/>
          <w:i/>
          <w:sz w:val="20"/>
        </w:rPr>
        <w:t>D. Safety Frameworks for Autonomous Reasoning Models</w:t>
      </w:r>
    </w:p>
    <w:p>
      <w:pPr>
        <w:spacing w:after="40"/>
        <w:ind w:firstLine="283"/>
        <w:jc w:val="both"/>
      </w:pPr>
      <w:r>
        <w:rPr>
          <w:rFonts w:ascii="Times New Roman" w:hAnsi="Times New Roman"/>
          <w:sz w:val="20"/>
        </w:rPr>
        <w:t xml:space="preserve">DeepSeek-R1 demonstrates that reasoning capabilities can emerge spontaneously through RL, but </w:t>
      </w:r>
      <w:r>
        <w:rPr>
          <w:rFonts w:ascii="Times New Roman" w:hAnsi="Times New Roman"/>
          <w:b/>
          <w:sz w:val="20"/>
          <w:highlight w:val="yellow"/>
        </w:rPr>
        <w:t>there are no robust frameworks to ensure that emergent reasoning behaviors remain aligned, interpretable, and controllable.</w:t>
      </w:r>
      <w:r>
        <w:rPr>
          <w:rFonts w:ascii="Times New Roman" w:hAnsi="Times New Roman"/>
          <w:sz w:val="20"/>
        </w:rPr>
        <w:t xml:space="preserve"> The risk of models developing opaque reasoning strategies that produce correct outputs through unintended or unsafe intermediate steps is largely unexamined. SAFE addresses attribution for RAG but does not extend to the safety of internal reasoning chains.</w:t>
      </w:r>
    </w:p>
    <w:p>
      <w:pPr>
        <w:spacing w:before="160" w:after="60"/>
      </w:pPr>
      <w:r>
        <w:rPr>
          <w:rFonts w:ascii="Times New Roman" w:hAnsi="Times New Roman"/>
          <w:b/>
          <w:i/>
          <w:sz w:val="20"/>
        </w:rPr>
        <w:t>E. Speculative Decoding Under Real-World Workloads</w:t>
      </w:r>
    </w:p>
    <w:p>
      <w:pPr>
        <w:spacing w:after="40"/>
        <w:ind w:firstLine="283"/>
        <w:jc w:val="both"/>
      </w:pPr>
      <w:r>
        <w:rPr>
          <w:rFonts w:ascii="Times New Roman" w:hAnsi="Times New Roman"/>
          <w:sz w:val="20"/>
        </w:rPr>
        <w:t xml:space="preserve">EAGLE-3's speculative decoding achieves impressive speedups in controlled settings, yet </w:t>
      </w:r>
      <w:r>
        <w:rPr>
          <w:rFonts w:ascii="Times New Roman" w:hAnsi="Times New Roman"/>
          <w:b/>
          <w:sz w:val="20"/>
          <w:highlight w:val="yellow"/>
        </w:rPr>
        <w:t>the fragility of speculative decoding under diverse, real-world production workloads with varying sequence lengths, batch sizes, and request patterns is insufficiently studied.</w:t>
      </w:r>
      <w:r>
        <w:rPr>
          <w:rFonts w:ascii="Times New Roman" w:hAnsi="Times New Roman"/>
          <w:sz w:val="20"/>
        </w:rPr>
        <w:t xml:space="preserve"> Adaptive mechanisms like Online Speculative Decoding (OSD) represent early steps, but comprehensive frameworks for dynamic draft strategy selection in production environments remain absent.</w:t>
      </w:r>
    </w:p>
    <w:p>
      <w:pPr>
        <w:spacing w:before="160" w:after="60"/>
      </w:pPr>
      <w:r>
        <w:rPr>
          <w:rFonts w:ascii="Times New Roman" w:hAnsi="Times New Roman"/>
          <w:b/>
          <w:i/>
          <w:sz w:val="20"/>
        </w:rPr>
        <w:t>F. Multilingual and Low-Resource Language Reasoning</w:t>
      </w:r>
    </w:p>
    <w:p>
      <w:pPr>
        <w:spacing w:after="40"/>
        <w:ind w:firstLine="283"/>
        <w:jc w:val="both"/>
      </w:pPr>
      <w:r>
        <w:rPr>
          <w:rFonts w:ascii="Times New Roman" w:hAnsi="Times New Roman"/>
          <w:sz w:val="20"/>
        </w:rPr>
        <w:t xml:space="preserve">Although Qwen3 supports 119 languages, </w:t>
      </w:r>
      <w:r>
        <w:rPr>
          <w:rFonts w:ascii="Times New Roman" w:hAnsi="Times New Roman"/>
          <w:b/>
          <w:sz w:val="20"/>
          <w:highlight w:val="yellow"/>
        </w:rPr>
        <w:t>the reasoning capabilities of LLMs in low-resource languages remain severely underexplored.</w:t>
      </w:r>
      <w:r>
        <w:rPr>
          <w:rFonts w:ascii="Times New Roman" w:hAnsi="Times New Roman"/>
          <w:sz w:val="20"/>
        </w:rPr>
        <w:t xml:space="preserve"> Most reasoning benchmarks and training data are heavily English-centric, creating a widening capability gap between high-resource and low-resource languages. Research on cross-lingual reasoning transfer and culturally-aware evaluation frameworks is urgently needed.</w:t>
      </w:r>
    </w:p>
    <w:p>
      <w:pPr>
        <w:spacing w:before="200" w:after="80"/>
        <w:jc w:val="center"/>
      </w:pPr>
      <w:r>
        <w:rPr>
          <w:rFonts w:ascii="Times New Roman" w:hAnsi="Times New Roman"/>
          <w:b/>
          <w:sz w:val="20"/>
        </w:rPr>
        <w:t>V. DISCUSSION AND FUTURE DIRECTIONS</w:t>
      </w:r>
    </w:p>
    <w:p>
      <w:pPr>
        <w:spacing w:after="40"/>
        <w:ind w:firstLine="283"/>
        <w:jc w:val="both"/>
      </w:pPr>
      <w:r>
        <w:rPr>
          <w:rFonts w:ascii="Times New Roman" w:hAnsi="Times New Roman"/>
          <w:sz w:val="20"/>
        </w:rPr>
        <w:t>The research landscape of LLMs in 2025–2026 reveals a maturing field that is moving beyond the "scaling law" paradigm toward more sophisticated approaches to intelligence. The convergence of reinforcement learning, sparse architectures, hardware co-design, and reliability engineering suggests that the next generation of LLMs will be defined not by their parameter count but by their reasoning depth, efficiency, and trustworthiness.</w:t>
      </w:r>
    </w:p>
    <w:p>
      <w:pPr>
        <w:spacing w:after="40"/>
        <w:ind w:firstLine="283"/>
        <w:jc w:val="both"/>
      </w:pPr>
      <w:r>
        <w:rPr>
          <w:rFonts w:ascii="Times New Roman" w:hAnsi="Times New Roman"/>
          <w:sz w:val="20"/>
        </w:rPr>
        <w:t>Several promising future directions emerge from this review: (1) Unified reasoning benchmarks that span multiple domains and languages; (2) Hardware-agnostic efficiency frameworks that enable deployment across diverse compute environments; (3) Carbon-aware training schedulers that optimize model quality under energy constraints; (4) Formal verification methods for reasoning chain safety; (5) Cross-lingual reasoning transfer learning that leverages high-resource language capabilities to bootstrap low-resource language reasoning; and (6) Integration of attribution mechanisms into the reasoning process itself, rather than treating generation and verification as separate concerns.</w:t>
      </w:r>
    </w:p>
    <w:p>
      <w:pPr>
        <w:spacing w:after="40"/>
        <w:ind w:firstLine="283"/>
        <w:jc w:val="both"/>
      </w:pPr>
      <w:r>
        <w:rPr>
          <w:rFonts w:ascii="Times New Roman" w:hAnsi="Times New Roman"/>
          <w:sz w:val="20"/>
        </w:rPr>
        <w:t>Furthermore, the open-weight movement exemplified by DeepSeek-R1, Qwen3, and Gemma 3 has profound implications for the democratization of AI research. As these models become increasingly capable and accessible, the research community must develop governance frameworks that balance openness with safety, ensuring that the benefits of advanced reasoning models are broadly distributed while mitigating potential risks.</w:t>
      </w:r>
    </w:p>
    <w:p>
      <w:pPr>
        <w:spacing w:before="200" w:after="80"/>
        <w:jc w:val="center"/>
      </w:pPr>
      <w:r>
        <w:rPr>
          <w:rFonts w:ascii="Times New Roman" w:hAnsi="Times New Roman"/>
          <w:b/>
          <w:sz w:val="20"/>
        </w:rPr>
        <w:t>VI. CONCLUSION</w:t>
      </w:r>
    </w:p>
    <w:p>
      <w:pPr>
        <w:spacing w:after="40"/>
        <w:ind w:firstLine="283"/>
        <w:jc w:val="both"/>
      </w:pPr>
      <w:r>
        <w:rPr>
          <w:rFonts w:ascii="Times New Roman" w:hAnsi="Times New Roman"/>
          <w:sz w:val="20"/>
        </w:rPr>
        <w:t>This review paper has examined six seminal research contributions that define the state-of-the-art in Large Language Model development during 2025–2026. From DeepSeek-R1's demonstration that pure reinforcement learning can produce emergent reasoning, to Qwen3's scalable hybrid thinking architecture, Gemma 3's efficient multimodal design, FlashAttention-3's hardware-level optimizations, EAGLE-3's inference acceleration, and SAFE's real-time attribution framework, these works collectively represent a paradigm shift toward more capable, efficient, and reliable language models.</w:t>
      </w:r>
    </w:p>
    <w:p>
      <w:pPr>
        <w:spacing w:after="40"/>
        <w:ind w:firstLine="283"/>
        <w:jc w:val="both"/>
      </w:pPr>
      <w:r>
        <w:rPr>
          <w:rFonts w:ascii="Times New Roman" w:hAnsi="Times New Roman"/>
          <w:sz w:val="20"/>
        </w:rPr>
        <w:t>However, significant research gaps persist, particularly in standardized reasoning evaluation, cross-hardware optimization transferability, energy sustainability, safety of emergent reasoning behaviors, production-grade speculative decoding, and multilingual reasoning equity. Addressing these gaps will be essential for the responsible and inclusive advancement of LLM technology. We hope this review serves as a useful reference for researchers and practitioners working at the frontier of language model development.</w:t>
      </w:r>
    </w:p>
    <w:p>
      <w:pPr>
        <w:spacing w:before="200" w:after="80"/>
        <w:jc w:val="center"/>
      </w:pPr>
      <w:r>
        <w:rPr>
          <w:rFonts w:ascii="Times New Roman" w:hAnsi="Times New Roman"/>
          <w:b/>
          <w:sz w:val="20"/>
        </w:rPr>
        <w:t>REFERENCES</w:t>
      </w:r>
    </w:p>
    <w:p>
      <w:pPr>
        <w:spacing w:after="40"/>
        <w:ind w:left="283" w:hanging="283"/>
      </w:pPr>
      <w:r>
        <w:rPr>
          <w:rFonts w:ascii="Times New Roman" w:hAnsi="Times New Roman"/>
          <w:sz w:val="16"/>
        </w:rPr>
        <w:t>[1] DeepSeek-AI, "DeepSeek-R1: Incentivizing Reasoning Capability in LLMs via Reinforcement Learning," arXiv preprint arXiv:2501.12948, Jan. 2025. [Online]. Available: https://arxiv.org/abs/2501.12948</w:t>
      </w:r>
    </w:p>
    <w:p>
      <w:pPr>
        <w:spacing w:after="40"/>
        <w:ind w:left="283" w:hanging="283"/>
      </w:pPr>
      <w:r>
        <w:rPr>
          <w:rFonts w:ascii="Times New Roman" w:hAnsi="Times New Roman"/>
          <w:sz w:val="16"/>
        </w:rPr>
        <w:t>[2] Qwen Team, "Qwen3 Technical Report," arXiv preprint arXiv:2505.09388, May 2025. [Online]. Available: https://arxiv.org/abs/2505.09388</w:t>
      </w:r>
    </w:p>
    <w:p>
      <w:pPr>
        <w:spacing w:after="40"/>
        <w:ind w:left="283" w:hanging="283"/>
      </w:pPr>
      <w:r>
        <w:rPr>
          <w:rFonts w:ascii="Times New Roman" w:hAnsi="Times New Roman"/>
          <w:sz w:val="16"/>
        </w:rPr>
        <w:t>[3] Google DeepMind, "Gemma 3 Technical Report," arXiv preprint arXiv:2503.19786, Mar. 2025. [Online]. Available: https://arxiv.org/abs/2503.19786</w:t>
      </w:r>
    </w:p>
    <w:p>
      <w:pPr>
        <w:spacing w:after="40"/>
        <w:ind w:left="283" w:hanging="283"/>
      </w:pPr>
      <w:r>
        <w:rPr>
          <w:rFonts w:ascii="Times New Roman" w:hAnsi="Times New Roman"/>
          <w:sz w:val="16"/>
        </w:rPr>
        <w:t>[4] J. Shah, G. Bikshandi, Y. Zhang, V. Thakkar, P. Ramani, and T. Dao, "FlashAttention-3: Fast and Accurate Attention with Asynchrony and Low-precision," arXiv preprint arXiv:2407.08608, Jul. 2024. [Online]. Available: https://arxiv.org/abs/2407.08608</w:t>
      </w:r>
    </w:p>
    <w:p>
      <w:pPr>
        <w:spacing w:after="40"/>
        <w:ind w:left="283" w:hanging="283"/>
      </w:pPr>
      <w:r>
        <w:rPr>
          <w:rFonts w:ascii="Times New Roman" w:hAnsi="Times New Roman"/>
          <w:sz w:val="16"/>
        </w:rPr>
        <w:t>[5] Y. Li et al., "EAGLE-3: Speculative Decoding with Autoregressive Prediction Heads," arXiv preprint, 2025. [Online]. Available: https://arxiv.org/abs/2503.01840</w:t>
      </w:r>
    </w:p>
    <w:p>
      <w:pPr>
        <w:spacing w:after="40"/>
        <w:ind w:left="283" w:hanging="283"/>
      </w:pPr>
      <w:r>
        <w:rPr>
          <w:rFonts w:ascii="Times New Roman" w:hAnsi="Times New Roman"/>
          <w:sz w:val="16"/>
        </w:rPr>
        <w:t>[6] J. E. Batista, E. Vatai, and M. Wahib, "SAFE: Improving LLM Systems using Sentence-Level In-generation Attribution," arXiv preprint arXiv:2505.12621, May 2025. [Online]. Available: https://arxiv.org/abs/2505.12621</w:t>
      </w:r>
    </w:p>
    <w:sectPr w:rsidR="00FC693F" w:rsidRPr="0006063C" w:rsidSect="00034616">
      <w:pgSz w:w="12240" w:h="15840"/>
      <w:pgMar w:top="1083" w:right="1009" w:bottom="1440" w:left="100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