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73E8"/>
          <w:sz w:val="44"/>
        </w:rPr>
        <w:t>Google Pay Bharat Analytics Dashboard &amp; AI Chatbot</w:t>
      </w:r>
    </w:p>
    <w:p>
      <w:pPr>
        <w:spacing w:after="280"/>
      </w:pPr>
      <w:r>
        <w:rPr>
          <w:i/>
          <w:color w:val="5F6368"/>
          <w:sz w:val="24"/>
        </w:rPr>
        <w:t>End-to-End Business Intelligence, DAX Modeling &amp; Generative AI Data Assistant Project Report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F1F3F4"/>
          </w:tcPr>
          <w:p>
            <w:pPr>
              <w:spacing w:after="0"/>
            </w:pPr>
            <w:r>
              <w:rPr>
                <w:b/>
                <w:color w:val="202124"/>
                <w:sz w:val="19"/>
              </w:rPr>
              <w:t>Project Domain</w:t>
            </w:r>
          </w:p>
        </w:tc>
        <w:tc>
          <w:tcPr>
            <w:tcW w:type="dxa" w:w="2340"/>
            <w:shd w:val="clear" w:color="auto" w:fill="FFFFFF"/>
          </w:tcPr>
          <w:p>
            <w:pPr>
              <w:spacing w:after="0"/>
            </w:pPr>
            <w:r>
              <w:rPr>
                <w:color w:val="1A73E8"/>
                <w:sz w:val="19"/>
              </w:rPr>
              <w:t>FinTech / UPI Analytics</w:t>
            </w:r>
          </w:p>
        </w:tc>
        <w:tc>
          <w:tcPr>
            <w:tcW w:type="dxa" w:w="2340"/>
            <w:shd w:val="clear" w:color="auto" w:fill="F1F3F4"/>
          </w:tcPr>
          <w:p>
            <w:pPr>
              <w:spacing w:after="0"/>
            </w:pPr>
            <w:r>
              <w:rPr>
                <w:b/>
                <w:color w:val="202124"/>
                <w:sz w:val="19"/>
              </w:rPr>
              <w:t>Dataset Size</w:t>
            </w:r>
          </w:p>
        </w:tc>
        <w:tc>
          <w:tcPr>
            <w:tcW w:type="dxa" w:w="2340"/>
            <w:shd w:val="clear" w:color="auto" w:fill="FFFFFF"/>
          </w:tcPr>
          <w:p>
            <w:pPr>
              <w:spacing w:after="0"/>
            </w:pPr>
            <w:r>
              <w:rPr>
                <w:color w:val="1A73E8"/>
                <w:sz w:val="19"/>
              </w:rPr>
              <w:t>250,000 Transactions</w:t>
            </w:r>
          </w:p>
        </w:tc>
      </w:tr>
      <w:tr>
        <w:tc>
          <w:tcPr>
            <w:tcW w:type="dxa" w:w="2340"/>
            <w:shd w:val="clear" w:color="auto" w:fill="F1F3F4"/>
          </w:tcPr>
          <w:p>
            <w:pPr>
              <w:spacing w:after="0"/>
            </w:pPr>
            <w:r>
              <w:rPr>
                <w:b/>
                <w:color w:val="202124"/>
                <w:sz w:val="19"/>
              </w:rPr>
              <w:t>Tech Stack</w:t>
            </w:r>
          </w:p>
        </w:tc>
        <w:tc>
          <w:tcPr>
            <w:tcW w:type="dxa" w:w="2340"/>
            <w:shd w:val="clear" w:color="auto" w:fill="FFFFFF"/>
          </w:tcPr>
          <w:p>
            <w:pPr>
              <w:spacing w:after="0"/>
            </w:pPr>
            <w:r>
              <w:rPr>
                <w:color w:val="1A73E8"/>
                <w:sz w:val="19"/>
              </w:rPr>
              <w:t>Power BI, DAX, Python, Gemini</w:t>
            </w:r>
          </w:p>
        </w:tc>
        <w:tc>
          <w:tcPr>
            <w:tcW w:type="dxa" w:w="2340"/>
            <w:shd w:val="clear" w:color="auto" w:fill="F1F3F4"/>
          </w:tcPr>
          <w:p>
            <w:pPr>
              <w:spacing w:after="0"/>
            </w:pPr>
            <w:r>
              <w:rPr>
                <w:b/>
                <w:color w:val="202124"/>
                <w:sz w:val="19"/>
              </w:rPr>
              <w:t>Total Volume Analyzed</w:t>
            </w:r>
          </w:p>
        </w:tc>
        <w:tc>
          <w:tcPr>
            <w:tcW w:type="dxa" w:w="2340"/>
            <w:shd w:val="clear" w:color="auto" w:fill="FFFFFF"/>
          </w:tcPr>
          <w:p>
            <w:pPr>
              <w:spacing w:after="0"/>
            </w:pPr>
            <w:r>
              <w:rPr>
                <w:color w:val="1A73E8"/>
                <w:sz w:val="19"/>
              </w:rPr>
              <w:t>₹327.94M (95.05% Success)</w:t>
            </w:r>
          </w:p>
        </w:tc>
      </w:tr>
    </w:tbl>
    <w:p/>
    <w:p>
      <w:pPr>
        <w:pStyle w:val="Heading1"/>
        <w:keepNext/>
        <w:spacing w:before="320" w:after="120"/>
      </w:pPr>
      <w:r>
        <w:rPr>
          <w:rFonts w:ascii="Segoe UI" w:hAnsi="Segoe UI"/>
          <w:b/>
          <w:color w:val="1A73E8"/>
          <w:sz w:val="32"/>
        </w:rPr>
        <w:t>1. Executive Summary</w:t>
      </w:r>
    </w:p>
    <w:p>
      <w:r>
        <w:t>The Google Pay Bharat Analytics Project delivers a unified business intelligence dashboard and a generative AI conversational query system designed to monitor, analyze, and optimize digital payments across India. Built on top of 250,000 real-world simulated UPI transaction records totaling ₹327.94 Million in gross transaction value, the solution bridges the gap between complex transactional datasets and executive decision-makers.</w:t>
      </w:r>
    </w:p>
    <w:p>
      <w:r>
        <w:t>The project comprises two foundational pillars: (1) an interactive, branded Power BI executive dashboard with custom DAX data modeling, and (2) a natural language AI chatbot built with Streamlit, Google Gemini LLM, SQLAlchemy, and MySQL that translates business questions into real-time SQL execution.</w:t>
      </w:r>
    </w:p>
    <w:p>
      <w:pPr>
        <w:pStyle w:val="Heading1"/>
        <w:keepNext/>
        <w:spacing w:before="320" w:after="120"/>
      </w:pPr>
      <w:r>
        <w:rPr>
          <w:rFonts w:ascii="Segoe UI" w:hAnsi="Segoe UI"/>
          <w:b/>
          <w:color w:val="1A73E8"/>
          <w:sz w:val="32"/>
        </w:rPr>
        <w:t>2. Key Performance Indicators &amp; Benchmark Metrics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73E8"/>
          </w:tcPr>
          <w:p>
            <w:pPr>
              <w:spacing w:after="40"/>
            </w:pPr>
            <w:r>
              <w:rPr>
                <w:b/>
                <w:color w:val="FFFFFF"/>
                <w:sz w:val="20"/>
              </w:rPr>
              <w:t>KPI Metric</w:t>
            </w:r>
          </w:p>
        </w:tc>
        <w:tc>
          <w:tcPr>
            <w:tcW w:type="dxa" w:w="2340"/>
            <w:shd w:val="clear" w:color="auto" w:fill="1A73E8"/>
          </w:tcPr>
          <w:p>
            <w:pPr>
              <w:spacing w:after="40"/>
            </w:pPr>
            <w:r>
              <w:rPr>
                <w:b/>
                <w:color w:val="FFFFFF"/>
                <w:sz w:val="20"/>
              </w:rPr>
              <w:t>Value</w:t>
            </w:r>
          </w:p>
        </w:tc>
        <w:tc>
          <w:tcPr>
            <w:tcW w:type="dxa" w:w="2340"/>
            <w:shd w:val="clear" w:color="auto" w:fill="1A73E8"/>
          </w:tcPr>
          <w:p>
            <w:pPr>
              <w:spacing w:after="40"/>
            </w:pPr>
            <w:r>
              <w:rPr>
                <w:b/>
                <w:color w:val="FFFFFF"/>
                <w:sz w:val="20"/>
              </w:rPr>
              <w:t>Benchmark / Status</w:t>
            </w:r>
          </w:p>
        </w:tc>
        <w:tc>
          <w:tcPr>
            <w:tcW w:type="dxa" w:w="2340"/>
            <w:shd w:val="clear" w:color="auto" w:fill="1A73E8"/>
          </w:tcPr>
          <w:p>
            <w:pPr>
              <w:spacing w:after="40"/>
            </w:pPr>
            <w:r>
              <w:rPr>
                <w:b/>
                <w:color w:val="FFFFFF"/>
                <w:sz w:val="20"/>
              </w:rPr>
              <w:t>Strategic Significance</w:t>
            </w:r>
          </w:p>
        </w:tc>
      </w:tr>
      <w:tr>
        <w:tc>
          <w:tcPr>
            <w:tcW w:type="dxa" w:w="2340"/>
            <w:shd w:val="clear" w:color="auto" w:fill="FFFFFF"/>
          </w:tcPr>
          <w:p>
            <w:pPr>
              <w:spacing w:after="40"/>
            </w:pPr>
            <w:r>
              <w:rPr>
                <w:sz w:val="19"/>
              </w:rPr>
              <w:t>Total Transactions</w:t>
            </w:r>
          </w:p>
        </w:tc>
        <w:tc>
          <w:tcPr>
            <w:tcW w:type="dxa" w:w="2340"/>
            <w:shd w:val="clear" w:color="auto" w:fill="FFFFFF"/>
          </w:tcPr>
          <w:p>
            <w:pPr>
              <w:spacing w:after="40"/>
            </w:pPr>
            <w:r>
              <w:rPr>
                <w:b/>
                <w:color w:val="1A73E8"/>
                <w:sz w:val="19"/>
              </w:rPr>
              <w:t>250,000 (250K)</w:t>
            </w:r>
          </w:p>
        </w:tc>
        <w:tc>
          <w:tcPr>
            <w:tcW w:type="dxa" w:w="2340"/>
            <w:shd w:val="clear" w:color="auto" w:fill="FFFFFF"/>
          </w:tcPr>
          <w:p>
            <w:pPr>
              <w:spacing w:after="40"/>
            </w:pPr>
            <w:r>
              <w:rPr>
                <w:sz w:val="19"/>
              </w:rPr>
              <w:t>Target Achieved</w:t>
            </w:r>
          </w:p>
        </w:tc>
        <w:tc>
          <w:tcPr>
            <w:tcW w:type="dxa" w:w="2340"/>
            <w:shd w:val="clear" w:color="auto" w:fill="FFFFFF"/>
          </w:tcPr>
          <w:p>
            <w:pPr>
              <w:spacing w:after="40"/>
            </w:pPr>
            <w:r>
              <w:rPr>
                <w:sz w:val="19"/>
              </w:rPr>
              <w:t>Total completed transactional footprint over 12 months.</w:t>
            </w:r>
          </w:p>
        </w:tc>
      </w:tr>
      <w:tr>
        <w:tc>
          <w:tcPr>
            <w:tcW w:type="dxa" w:w="2340"/>
            <w:shd w:val="clear" w:color="auto" w:fill="F8F9FA"/>
          </w:tcPr>
          <w:p>
            <w:pPr>
              <w:spacing w:after="40"/>
            </w:pPr>
            <w:r>
              <w:rPr>
                <w:sz w:val="19"/>
              </w:rPr>
              <w:t>Total Transaction Value</w:t>
            </w:r>
          </w:p>
        </w:tc>
        <w:tc>
          <w:tcPr>
            <w:tcW w:type="dxa" w:w="2340"/>
            <w:shd w:val="clear" w:color="auto" w:fill="F8F9FA"/>
          </w:tcPr>
          <w:p>
            <w:pPr>
              <w:spacing w:after="40"/>
            </w:pPr>
            <w:r>
              <w:rPr>
                <w:b/>
                <w:color w:val="1A73E8"/>
                <w:sz w:val="19"/>
              </w:rPr>
              <w:t>₹327.94M</w:t>
            </w:r>
          </w:p>
        </w:tc>
        <w:tc>
          <w:tcPr>
            <w:tcW w:type="dxa" w:w="2340"/>
            <w:shd w:val="clear" w:color="auto" w:fill="F8F9FA"/>
          </w:tcPr>
          <w:p>
            <w:pPr>
              <w:spacing w:after="40"/>
            </w:pPr>
            <w:r>
              <w:rPr>
                <w:sz w:val="19"/>
              </w:rPr>
              <w:t>High Liquidity</w:t>
            </w:r>
          </w:p>
        </w:tc>
        <w:tc>
          <w:tcPr>
            <w:tcW w:type="dxa" w:w="2340"/>
            <w:shd w:val="clear" w:color="auto" w:fill="F8F9FA"/>
          </w:tcPr>
          <w:p>
            <w:pPr>
              <w:spacing w:after="40"/>
            </w:pPr>
            <w:r>
              <w:rPr>
                <w:sz w:val="19"/>
              </w:rPr>
              <w:t>Gross merchandise volume processed through the GPay gateway.</w:t>
            </w:r>
          </w:p>
        </w:tc>
      </w:tr>
      <w:tr>
        <w:tc>
          <w:tcPr>
            <w:tcW w:type="dxa" w:w="2340"/>
            <w:shd w:val="clear" w:color="auto" w:fill="FFFFFF"/>
          </w:tcPr>
          <w:p>
            <w:pPr>
              <w:spacing w:after="40"/>
            </w:pPr>
            <w:r>
              <w:rPr>
                <w:sz w:val="19"/>
              </w:rPr>
              <w:t>Overall Success Rate</w:t>
            </w:r>
          </w:p>
        </w:tc>
        <w:tc>
          <w:tcPr>
            <w:tcW w:type="dxa" w:w="2340"/>
            <w:shd w:val="clear" w:color="auto" w:fill="FFFFFF"/>
          </w:tcPr>
          <w:p>
            <w:pPr>
              <w:spacing w:after="40"/>
            </w:pPr>
            <w:r>
              <w:rPr>
                <w:b/>
                <w:color w:val="1A73E8"/>
                <w:sz w:val="19"/>
              </w:rPr>
              <w:t>95.05%</w:t>
            </w:r>
          </w:p>
        </w:tc>
        <w:tc>
          <w:tcPr>
            <w:tcW w:type="dxa" w:w="2340"/>
            <w:shd w:val="clear" w:color="auto" w:fill="FFFFFF"/>
          </w:tcPr>
          <w:p>
            <w:pPr>
              <w:spacing w:after="40"/>
            </w:pPr>
            <w:r>
              <w:rPr>
                <w:sz w:val="19"/>
              </w:rPr>
              <w:t>Industry Leading</w:t>
            </w:r>
          </w:p>
        </w:tc>
        <w:tc>
          <w:tcPr>
            <w:tcW w:type="dxa" w:w="2340"/>
            <w:shd w:val="clear" w:color="auto" w:fill="FFFFFF"/>
          </w:tcPr>
          <w:p>
            <w:pPr>
              <w:spacing w:after="40"/>
            </w:pPr>
            <w:r>
              <w:rPr>
                <w:sz w:val="19"/>
              </w:rPr>
              <w:t>High platform reliability with &lt;5% technical drop-off rate.</w:t>
            </w:r>
          </w:p>
        </w:tc>
      </w:tr>
      <w:tr>
        <w:tc>
          <w:tcPr>
            <w:tcW w:type="dxa" w:w="2340"/>
            <w:shd w:val="clear" w:color="auto" w:fill="F8F9FA"/>
          </w:tcPr>
          <w:p>
            <w:pPr>
              <w:spacing w:after="40"/>
            </w:pPr>
            <w:r>
              <w:rPr>
                <w:sz w:val="19"/>
              </w:rPr>
              <w:t>Dominant Age Segment</w:t>
            </w:r>
          </w:p>
        </w:tc>
        <w:tc>
          <w:tcPr>
            <w:tcW w:type="dxa" w:w="2340"/>
            <w:shd w:val="clear" w:color="auto" w:fill="F8F9FA"/>
          </w:tcPr>
          <w:p>
            <w:pPr>
              <w:spacing w:after="40"/>
            </w:pPr>
            <w:r>
              <w:rPr>
                <w:b/>
                <w:color w:val="1A73E8"/>
                <w:sz w:val="19"/>
              </w:rPr>
              <w:t>26-35 Years</w:t>
            </w:r>
          </w:p>
        </w:tc>
        <w:tc>
          <w:tcPr>
            <w:tcW w:type="dxa" w:w="2340"/>
            <w:shd w:val="clear" w:color="auto" w:fill="F8F9FA"/>
          </w:tcPr>
          <w:p>
            <w:pPr>
              <w:spacing w:after="40"/>
            </w:pPr>
            <w:r>
              <w:rPr>
                <w:sz w:val="19"/>
              </w:rPr>
              <w:t>34.97% Share</w:t>
            </w:r>
          </w:p>
        </w:tc>
        <w:tc>
          <w:tcPr>
            <w:tcW w:type="dxa" w:w="2340"/>
            <w:shd w:val="clear" w:color="auto" w:fill="F8F9FA"/>
          </w:tcPr>
          <w:p>
            <w:pPr>
              <w:spacing w:after="40"/>
            </w:pPr>
            <w:r>
              <w:rPr>
                <w:sz w:val="19"/>
              </w:rPr>
              <w:t>Core demographic driving volume in shopping and peer transfers.</w:t>
            </w:r>
          </w:p>
        </w:tc>
      </w:tr>
    </w:tbl>
    <w:p/>
    <w:p>
      <w:pPr>
        <w:pStyle w:val="Heading1"/>
        <w:keepNext/>
        <w:spacing w:before="320" w:after="120"/>
      </w:pPr>
      <w:r>
        <w:rPr>
          <w:rFonts w:ascii="Segoe UI" w:hAnsi="Segoe UI"/>
          <w:b/>
          <w:color w:val="1A73E8"/>
          <w:sz w:val="32"/>
        </w:rPr>
        <w:t>3. Dataset Schema &amp; Architecture</w:t>
      </w:r>
    </w:p>
    <w:p>
      <w:r>
        <w:t>The underlying database schema consists of the transactional table `upi_transactions` within the `gpay_db` database. Each record captures detailed demographic, behavioral, temporal, and financial parameters: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02124"/>
          </w:tcPr>
          <w:p>
            <w:pPr>
              <w:spacing w:after="40"/>
            </w:pPr>
            <w:r>
              <w:rPr>
                <w:b/>
                <w:color w:val="FFFFFF"/>
                <w:sz w:val="19"/>
              </w:rPr>
              <w:t>Column Name</w:t>
            </w:r>
          </w:p>
        </w:tc>
        <w:tc>
          <w:tcPr>
            <w:tcW w:type="dxa" w:w="3120"/>
            <w:shd w:val="clear" w:color="auto" w:fill="202124"/>
          </w:tcPr>
          <w:p>
            <w:pPr>
              <w:spacing w:after="40"/>
            </w:pPr>
            <w:r>
              <w:rPr>
                <w:b/>
                <w:color w:val="FFFFFF"/>
                <w:sz w:val="19"/>
              </w:rPr>
              <w:t>Data Type</w:t>
            </w:r>
          </w:p>
        </w:tc>
        <w:tc>
          <w:tcPr>
            <w:tcW w:type="dxa" w:w="3120"/>
            <w:shd w:val="clear" w:color="auto" w:fill="202124"/>
          </w:tcPr>
          <w:p>
            <w:pPr>
              <w:spacing w:after="40"/>
            </w:pPr>
            <w:r>
              <w:rPr>
                <w:b/>
                <w:color w:val="FFFFFF"/>
                <w:sz w:val="19"/>
              </w:rPr>
              <w:t>Description &amp; Categories</w:t>
            </w:r>
          </w:p>
        </w:tc>
      </w:tr>
      <w:tr>
        <w:tc>
          <w:tcPr>
            <w:tcW w:type="dxa" w:w="3120"/>
            <w:shd w:val="clear" w:color="auto" w:fill="FFFFFF"/>
          </w:tcPr>
          <w:p>
            <w:pPr>
              <w:spacing w:after="40"/>
            </w:pPr>
            <w:r>
              <w:rPr>
                <w:rFonts w:ascii="Consolas" w:hAnsi="Consolas"/>
                <w:b/>
                <w:sz w:val="18"/>
              </w:rPr>
              <w:t>transaction_id</w:t>
            </w:r>
          </w:p>
        </w:tc>
        <w:tc>
          <w:tcPr>
            <w:tcW w:type="dxa" w:w="3120"/>
            <w:shd w:val="clear" w:color="auto" w:fill="FFFFFF"/>
          </w:tcPr>
          <w:p>
            <w:pPr>
              <w:spacing w:after="40"/>
            </w:pPr>
            <w:r>
              <w:rPr>
                <w:sz w:val="18"/>
              </w:rPr>
              <w:t>VARCHAR(64)</w:t>
            </w:r>
          </w:p>
        </w:tc>
        <w:tc>
          <w:tcPr>
            <w:tcW w:type="dxa" w:w="3120"/>
            <w:shd w:val="clear" w:color="auto" w:fill="FFFFFF"/>
          </w:tcPr>
          <w:p>
            <w:pPr>
              <w:spacing w:after="40"/>
            </w:pPr>
            <w:r>
              <w:rPr>
                <w:sz w:val="18"/>
              </w:rPr>
              <w:t>Unique alphanumeric identifier for every transaction.</w:t>
            </w:r>
          </w:p>
        </w:tc>
      </w:tr>
      <w:tr>
        <w:tc>
          <w:tcPr>
            <w:tcW w:type="dxa" w:w="3120"/>
            <w:shd w:val="clear" w:color="auto" w:fill="F8F9FA"/>
          </w:tcPr>
          <w:p>
            <w:pPr>
              <w:spacing w:after="40"/>
            </w:pPr>
            <w:r>
              <w:rPr>
                <w:rFonts w:ascii="Consolas" w:hAnsi="Consolas"/>
                <w:b/>
                <w:sz w:val="18"/>
              </w:rPr>
              <w:t>timestamp</w:t>
            </w:r>
          </w:p>
        </w:tc>
        <w:tc>
          <w:tcPr>
            <w:tcW w:type="dxa" w:w="3120"/>
            <w:shd w:val="clear" w:color="auto" w:fill="F8F9FA"/>
          </w:tcPr>
          <w:p>
            <w:pPr>
              <w:spacing w:after="40"/>
            </w:pPr>
            <w:r>
              <w:rPr>
                <w:sz w:val="18"/>
              </w:rPr>
              <w:t>DATETIME</w:t>
            </w:r>
          </w:p>
        </w:tc>
        <w:tc>
          <w:tcPr>
            <w:tcW w:type="dxa" w:w="3120"/>
            <w:shd w:val="clear" w:color="auto" w:fill="F8F9FA"/>
          </w:tcPr>
          <w:p>
            <w:pPr>
              <w:spacing w:after="40"/>
            </w:pPr>
            <w:r>
              <w:rPr>
                <w:sz w:val="18"/>
              </w:rPr>
              <w:t>Exact timestamp down to the second (2024-01-01 to 2024-12-31).</w:t>
            </w:r>
          </w:p>
        </w:tc>
      </w:tr>
      <w:tr>
        <w:tc>
          <w:tcPr>
            <w:tcW w:type="dxa" w:w="3120"/>
            <w:shd w:val="clear" w:color="auto" w:fill="FFFFFF"/>
          </w:tcPr>
          <w:p>
            <w:pPr>
              <w:spacing w:after="40"/>
            </w:pPr>
            <w:r>
              <w:rPr>
                <w:rFonts w:ascii="Consolas" w:hAnsi="Consolas"/>
                <w:b/>
                <w:sz w:val="18"/>
              </w:rPr>
              <w:t>amount (INR)</w:t>
            </w:r>
          </w:p>
        </w:tc>
        <w:tc>
          <w:tcPr>
            <w:tcW w:type="dxa" w:w="3120"/>
            <w:shd w:val="clear" w:color="auto" w:fill="FFFFFF"/>
          </w:tcPr>
          <w:p>
            <w:pPr>
              <w:spacing w:after="40"/>
            </w:pPr>
            <w:r>
              <w:rPr>
                <w:sz w:val="18"/>
              </w:rPr>
              <w:t>FLOAT / DECIMAL</w:t>
            </w:r>
          </w:p>
        </w:tc>
        <w:tc>
          <w:tcPr>
            <w:tcW w:type="dxa" w:w="3120"/>
            <w:shd w:val="clear" w:color="auto" w:fill="FFFFFF"/>
          </w:tcPr>
          <w:p>
            <w:pPr>
              <w:spacing w:after="40"/>
            </w:pPr>
            <w:r>
              <w:rPr>
                <w:sz w:val="18"/>
              </w:rPr>
              <w:t>Monetary value of the transaction in Indian Rupees (₹).</w:t>
            </w:r>
          </w:p>
        </w:tc>
      </w:tr>
      <w:tr>
        <w:tc>
          <w:tcPr>
            <w:tcW w:type="dxa" w:w="3120"/>
            <w:shd w:val="clear" w:color="auto" w:fill="F8F9FA"/>
          </w:tcPr>
          <w:p>
            <w:pPr>
              <w:spacing w:after="40"/>
            </w:pPr>
            <w:r>
              <w:rPr>
                <w:rFonts w:ascii="Consolas" w:hAnsi="Consolas"/>
                <w:b/>
                <w:sz w:val="18"/>
              </w:rPr>
              <w:t>transaction_type</w:t>
            </w:r>
          </w:p>
        </w:tc>
        <w:tc>
          <w:tcPr>
            <w:tcW w:type="dxa" w:w="3120"/>
            <w:shd w:val="clear" w:color="auto" w:fill="F8F9FA"/>
          </w:tcPr>
          <w:p>
            <w:pPr>
              <w:spacing w:after="40"/>
            </w:pPr>
            <w:r>
              <w:rPr>
                <w:sz w:val="18"/>
              </w:rPr>
              <w:t>VARCHAR(32)</w:t>
            </w:r>
          </w:p>
        </w:tc>
        <w:tc>
          <w:tcPr>
            <w:tcW w:type="dxa" w:w="3120"/>
            <w:shd w:val="clear" w:color="auto" w:fill="F8F9FA"/>
          </w:tcPr>
          <w:p>
            <w:pPr>
              <w:spacing w:after="40"/>
            </w:pPr>
            <w:r>
              <w:rPr>
                <w:sz w:val="18"/>
              </w:rPr>
              <w:t>Categorization: P2P, P2M, Bill Payment, Mobile Recharge.</w:t>
            </w:r>
          </w:p>
        </w:tc>
      </w:tr>
      <w:tr>
        <w:tc>
          <w:tcPr>
            <w:tcW w:type="dxa" w:w="3120"/>
            <w:shd w:val="clear" w:color="auto" w:fill="FFFFFF"/>
          </w:tcPr>
          <w:p>
            <w:pPr>
              <w:spacing w:after="40"/>
            </w:pPr>
            <w:r>
              <w:rPr>
                <w:rFonts w:ascii="Consolas" w:hAnsi="Consolas"/>
                <w:b/>
                <w:sz w:val="18"/>
              </w:rPr>
              <w:t>merchant_category</w:t>
            </w:r>
          </w:p>
        </w:tc>
        <w:tc>
          <w:tcPr>
            <w:tcW w:type="dxa" w:w="3120"/>
            <w:shd w:val="clear" w:color="auto" w:fill="FFFFFF"/>
          </w:tcPr>
          <w:p>
            <w:pPr>
              <w:spacing w:after="40"/>
            </w:pPr>
            <w:r>
              <w:rPr>
                <w:sz w:val="18"/>
              </w:rPr>
              <w:t>VARCHAR(32)</w:t>
            </w:r>
          </w:p>
        </w:tc>
        <w:tc>
          <w:tcPr>
            <w:tcW w:type="dxa" w:w="3120"/>
            <w:shd w:val="clear" w:color="auto" w:fill="FFFFFF"/>
          </w:tcPr>
          <w:p>
            <w:pPr>
              <w:spacing w:after="40"/>
            </w:pPr>
            <w:r>
              <w:rPr>
                <w:sz w:val="18"/>
              </w:rPr>
              <w:t>Top Merchant sectors: Shopping, Grocery, Utilities, Fuel, Education.</w:t>
            </w:r>
          </w:p>
        </w:tc>
      </w:tr>
      <w:tr>
        <w:tc>
          <w:tcPr>
            <w:tcW w:type="dxa" w:w="3120"/>
            <w:shd w:val="clear" w:color="auto" w:fill="F8F9FA"/>
          </w:tcPr>
          <w:p>
            <w:pPr>
              <w:spacing w:after="40"/>
            </w:pPr>
            <w:r>
              <w:rPr>
                <w:rFonts w:ascii="Consolas" w:hAnsi="Consolas"/>
                <w:b/>
                <w:sz w:val="18"/>
              </w:rPr>
              <w:t>transaction_status</w:t>
            </w:r>
          </w:p>
        </w:tc>
        <w:tc>
          <w:tcPr>
            <w:tcW w:type="dxa" w:w="3120"/>
            <w:shd w:val="clear" w:color="auto" w:fill="F8F9FA"/>
          </w:tcPr>
          <w:p>
            <w:pPr>
              <w:spacing w:after="40"/>
            </w:pPr>
            <w:r>
              <w:rPr>
                <w:sz w:val="18"/>
              </w:rPr>
              <w:t>VARCHAR(16)</w:t>
            </w:r>
          </w:p>
        </w:tc>
        <w:tc>
          <w:tcPr>
            <w:tcW w:type="dxa" w:w="3120"/>
            <w:shd w:val="clear" w:color="auto" w:fill="F8F9FA"/>
          </w:tcPr>
          <w:p>
            <w:pPr>
              <w:spacing w:after="40"/>
            </w:pPr>
            <w:r>
              <w:rPr>
                <w:sz w:val="18"/>
              </w:rPr>
              <w:t>Transaction outcome: SUCCESS or FAILED.</w:t>
            </w:r>
          </w:p>
        </w:tc>
      </w:tr>
      <w:tr>
        <w:tc>
          <w:tcPr>
            <w:tcW w:type="dxa" w:w="3120"/>
            <w:shd w:val="clear" w:color="auto" w:fill="FFFFFF"/>
          </w:tcPr>
          <w:p>
            <w:pPr>
              <w:spacing w:after="40"/>
            </w:pPr>
            <w:r>
              <w:rPr>
                <w:rFonts w:ascii="Consolas" w:hAnsi="Consolas"/>
                <w:b/>
                <w:sz w:val="18"/>
              </w:rPr>
              <w:t>sender_age_group</w:t>
            </w:r>
          </w:p>
        </w:tc>
        <w:tc>
          <w:tcPr>
            <w:tcW w:type="dxa" w:w="3120"/>
            <w:shd w:val="clear" w:color="auto" w:fill="FFFFFF"/>
          </w:tcPr>
          <w:p>
            <w:pPr>
              <w:spacing w:after="40"/>
            </w:pPr>
            <w:r>
              <w:rPr>
                <w:sz w:val="18"/>
              </w:rPr>
              <w:t>VARCHAR(16)</w:t>
            </w:r>
          </w:p>
        </w:tc>
        <w:tc>
          <w:tcPr>
            <w:tcW w:type="dxa" w:w="3120"/>
            <w:shd w:val="clear" w:color="auto" w:fill="FFFFFF"/>
          </w:tcPr>
          <w:p>
            <w:pPr>
              <w:spacing w:after="40"/>
            </w:pPr>
            <w:r>
              <w:rPr>
                <w:sz w:val="18"/>
              </w:rPr>
              <w:t>User demographic brackets: 18-25, 26-35, 36-45, 46-55, 56+.</w:t>
            </w:r>
          </w:p>
        </w:tc>
      </w:tr>
      <w:tr>
        <w:tc>
          <w:tcPr>
            <w:tcW w:type="dxa" w:w="3120"/>
            <w:shd w:val="clear" w:color="auto" w:fill="F8F9FA"/>
          </w:tcPr>
          <w:p>
            <w:pPr>
              <w:spacing w:after="40"/>
            </w:pPr>
            <w:r>
              <w:rPr>
                <w:rFonts w:ascii="Consolas" w:hAnsi="Consolas"/>
                <w:b/>
                <w:sz w:val="18"/>
              </w:rPr>
              <w:t>is_weekend</w:t>
            </w:r>
          </w:p>
        </w:tc>
        <w:tc>
          <w:tcPr>
            <w:tcW w:type="dxa" w:w="3120"/>
            <w:shd w:val="clear" w:color="auto" w:fill="F8F9FA"/>
          </w:tcPr>
          <w:p>
            <w:pPr>
              <w:spacing w:after="40"/>
            </w:pPr>
            <w:r>
              <w:rPr>
                <w:sz w:val="18"/>
              </w:rPr>
              <w:t>TINYINT (0 / 1)</w:t>
            </w:r>
          </w:p>
        </w:tc>
        <w:tc>
          <w:tcPr>
            <w:tcW w:type="dxa" w:w="3120"/>
            <w:shd w:val="clear" w:color="auto" w:fill="F8F9FA"/>
          </w:tcPr>
          <w:p>
            <w:pPr>
              <w:spacing w:after="40"/>
            </w:pPr>
            <w:r>
              <w:rPr>
                <w:sz w:val="18"/>
              </w:rPr>
              <w:t>Flag: 0 = Weekday (Mon-Fri), 1 = Weekend (Sat-Sun).</w:t>
            </w:r>
          </w:p>
        </w:tc>
      </w:tr>
    </w:tbl>
    <w:p/>
    <w:p>
      <w:pPr>
        <w:pStyle w:val="Heading1"/>
        <w:keepNext/>
        <w:spacing w:before="320" w:after="120"/>
      </w:pPr>
      <w:r>
        <w:rPr>
          <w:rFonts w:ascii="Segoe UI" w:hAnsi="Segoe UI"/>
          <w:b/>
          <w:color w:val="1A73E8"/>
          <w:sz w:val="32"/>
        </w:rPr>
        <w:t>4. Data Modeling &amp; DAX Measures</w:t>
      </w:r>
    </w:p>
    <w:p>
      <w:r>
        <w:t>To enable responsive aggregations and accurate time intelligence, several calculated columns and DAX measures were implemented in Power BI:</w:t>
      </w:r>
    </w:p>
    <w:p>
      <w:pPr>
        <w:pStyle w:val="Heading2"/>
        <w:keepNext/>
        <w:spacing w:before="240" w:after="80"/>
      </w:pPr>
      <w:r>
        <w:rPr>
          <w:rFonts w:ascii="Segoe UI" w:hAnsi="Segoe UI"/>
          <w:b/>
          <w:color w:val="0D47A1"/>
          <w:sz w:val="26"/>
        </w:rPr>
        <w:t>A. Month Formatting &amp; Chronological Sorting</w:t>
      </w:r>
    </w:p>
    <w:p>
      <w:r>
        <w:t>Created dedicated calculated columns to extract 3-letter month labels and sort them chronologically (Jan to Dec):</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after="0"/>
            </w:pPr>
            <w:r>
              <w:rPr>
                <w:rFonts w:ascii="Consolas" w:hAnsi="Consolas"/>
                <w:color w:val="212121"/>
                <w:sz w:val="19"/>
              </w:rPr>
              <w:t>Month = FORMAT('gpay_db upi_transactions'[timestamp], "mmm")</w:t>
              <w:br/>
              <w:t>MonthNum = MONTH('gpay_db upi_transactions'[timestamp])</w:t>
            </w:r>
          </w:p>
        </w:tc>
      </w:tr>
    </w:tbl>
    <w:p/>
    <w:p>
      <w:pPr>
        <w:pStyle w:val="Heading2"/>
        <w:keepNext/>
        <w:spacing w:before="240" w:after="80"/>
      </w:pPr>
      <w:r>
        <w:rPr>
          <w:rFonts w:ascii="Segoe UI" w:hAnsi="Segoe UI"/>
          <w:b/>
          <w:color w:val="0D47A1"/>
          <w:sz w:val="26"/>
        </w:rPr>
        <w:t>B. Key DAX Business Measures</w:t>
      </w:r>
    </w:p>
    <w:p>
      <w:r>
        <w:t>Implemented explicit business metrics for volume, value, platform reliability, and dominant age cohort: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after="0"/>
            </w:pPr>
            <w:r>
              <w:rPr>
                <w:rFonts w:ascii="Consolas" w:hAnsi="Consolas"/>
                <w:color w:val="212121"/>
                <w:sz w:val="19"/>
              </w:rPr>
              <w:t>Total Transactions = COUNTROWS('gpay_db upi_transactions')</w:t>
              <w:br/>
              <w:br/>
              <w:t>Total Value = "₹" &amp; FORMAT(SUM('gpay_db upi_transactions'[amount (INR)]), "#,##0,,.00M")</w:t>
              <w:br/>
              <w:br/>
              <w:t xml:space="preserve">Success Rate = </w:t>
              <w:br/>
              <w:t>DIVIDE(</w:t>
              <w:br/>
              <w:t xml:space="preserve">    CALCULATE(COUNTROWS('gpay_db upi_transactions'), 'gpay_db upi_transactions'[transaction_status] = "SUCCESS"),</w:t>
              <w:br/>
              <w:t xml:space="preserve">    COUNTROWS('gpay_db upi_transactions'),</w:t>
              <w:br/>
              <w:t xml:space="preserve">    0</w:t>
              <w:br/>
              <w:t>)</w:t>
              <w:br/>
              <w:br/>
              <w:t xml:space="preserve">Dominant Age Group = </w:t>
              <w:br/>
              <w:t>MAXX(</w:t>
              <w:br/>
              <w:t xml:space="preserve">    TOPN(1, SUMMARIZE('gpay_db upi_transactions', 'gpay_db upi_transactions'[sender_age_group], "TxnCount", COUNTROWS('gpay_db upi_transactions')), [TxnCount], DESC),</w:t>
              <w:br/>
              <w:t xml:space="preserve">    'gpay_db upi_transactions'[sender_age_group]</w:t>
              <w:br/>
              <w:t>)</w:t>
            </w:r>
          </w:p>
        </w:tc>
      </w:tr>
    </w:tbl>
    <w:p/>
    <w:p>
      <w:pPr>
        <w:pStyle w:val="Heading1"/>
        <w:keepNext/>
        <w:spacing w:before="320" w:after="120"/>
      </w:pPr>
      <w:r>
        <w:rPr>
          <w:rFonts w:ascii="Segoe UI" w:hAnsi="Segoe UI"/>
          <w:b/>
          <w:color w:val="1A73E8"/>
          <w:sz w:val="32"/>
        </w:rPr>
        <w:t>5. Power BI Dashboard Visual Architecture</w:t>
      </w:r>
    </w:p>
    <w:p>
      <w:r>
        <w:t>The Power BI dashboard layout adheres to modern FinTech UI design principles inspired by Google Pay's brand identity. It features rounded cards (10-12px), soft elevation shadows, and a clean three-tiered visual hierarchy:</w:t>
      </w:r>
    </w:p>
    <w:p>
      <w:pPr>
        <w:spacing w:after="40"/>
      </w:pPr>
      <w:r>
        <w:rPr>
          <w:b/>
          <w:color w:val="1A73E8"/>
        </w:rPr>
        <w:t xml:space="preserve">• Left Branding Hero Card: </w:t>
      </w:r>
      <w:r>
        <w:t>Features official Google Pay branding, corporate tagline ('Payment insights, powering Bharat'), and an interactive 3D mobile payment illustration.</w:t>
      </w:r>
    </w:p>
    <w:p>
      <w:pPr>
        <w:spacing w:after="40"/>
      </w:pPr>
      <w:r>
        <w:rPr>
          <w:b/>
          <w:color w:val="1A73E8"/>
        </w:rPr>
        <w:t xml:space="preserve">• Top KPI Strip: </w:t>
      </w:r>
      <w:r>
        <w:t>Horizontal array of 4 vital cards displaying Total Transactions (250K), Total Value (₹327.94M), Dominant Age Group (26-35), and Success Rate (95.05%).</w:t>
      </w:r>
    </w:p>
    <w:p>
      <w:pPr>
        <w:spacing w:after="40"/>
      </w:pPr>
      <w:r>
        <w:rPr>
          <w:b/>
          <w:color w:val="1A73E8"/>
        </w:rPr>
        <w:t xml:space="preserve">• Monthly Transactions Trend (Line Chart): </w:t>
      </w:r>
      <w:r>
        <w:t>Smooth curve showing monthly transaction volume fluctuations from January to December 2024, highlighting peak seasonal surges.</w:t>
      </w:r>
    </w:p>
    <w:p>
      <w:pPr>
        <w:spacing w:after="40"/>
      </w:pPr>
      <w:r>
        <w:rPr>
          <w:b/>
          <w:color w:val="1A73E8"/>
        </w:rPr>
        <w:t xml:space="preserve">• Age Segment Contribution (Donut Chart): </w:t>
      </w:r>
      <w:r>
        <w:t>Distribution across 5 age brackets, highlighting the dominant share of millennials and young professionals.</w:t>
      </w:r>
    </w:p>
    <w:p>
      <w:pPr>
        <w:spacing w:after="40"/>
      </w:pPr>
      <w:r>
        <w:rPr>
          <w:b/>
          <w:color w:val="1A73E8"/>
        </w:rPr>
        <w:t xml:space="preserve">• Service Value Breakdown (Bar Chart): </w:t>
      </w:r>
      <w:r>
        <w:t>Horizontal clustered bar chart depicting revenue distribution across P2P, P2M, Bill Payment, and Recharge.</w:t>
      </w:r>
    </w:p>
    <w:p>
      <w:pPr>
        <w:spacing w:after="40"/>
      </w:pPr>
      <w:r>
        <w:rPr>
          <w:b/>
          <w:color w:val="1A73E8"/>
        </w:rPr>
        <w:t xml:space="preserve">• Top Merchant Sectors (Column Chart): </w:t>
      </w:r>
      <w:r>
        <w:t>Vertical column chart detailing top spending categories led by Shopping and Grocery.</w:t>
      </w:r>
    </w:p>
    <w:p>
      <w:pPr>
        <w:spacing w:after="40"/>
      </w:pPr>
      <w:r>
        <w:rPr>
          <w:b/>
          <w:color w:val="1A73E8"/>
        </w:rPr>
        <w:t xml:space="preserve">• Weekday vs Weekend Usage (Donut Chart): </w:t>
      </w:r>
      <w:r>
        <w:t>Split illustrating high weekday commerce (71.5%) vs weekend retail spend (28.5%).</w:t>
      </w:r>
    </w:p>
    <w:p>
      <w:pPr>
        <w:spacing w:after="40"/>
      </w:pPr>
      <w:r>
        <w:rPr>
          <w:b/>
          <w:color w:val="1A73E8"/>
        </w:rPr>
        <w:t xml:space="preserve">• Executive Insights Panel: </w:t>
      </w:r>
      <w:r>
        <w:t>High-contrast Google Blue card summarizing core takeaways directly for business stakeholders.</w:t>
      </w:r>
    </w:p>
    <w:p/>
    <w:tbl>
      <w:tblPr>
        <w:tblW w:type="auto" w:w="0"/>
        <w:jc w:val="center"/>
        <w:tblLayout w:type="fixed"/>
        <w:tblLook w:firstColumn="1" w:firstRow="1" w:lastColumn="0" w:lastRow="0" w:noHBand="0" w:noVBand="1" w:val="04A0"/>
      </w:tblPr>
      <w:tblGrid>
        <w:gridCol w:w="9360"/>
      </w:tblGrid>
      <w:tr>
        <w:tc>
          <w:tcPr>
            <w:tcW w:type="dxa" w:w="9360"/>
            <w:shd w:val="clear" w:color="auto" w:fill="E8F0FE"/>
            <w:tcMar>
              <w:top w:w="140" w:type="dxa"/>
              <w:bottom w:w="140" w:type="dxa"/>
              <w:left w:w="180" w:type="dxa"/>
              <w:right w:w="180" w:type="dxa"/>
            </w:tcMar>
          </w:tcPr>
          <w:p>
            <w:pPr>
              <w:spacing w:after="80"/>
            </w:pPr>
            <w:r>
              <w:rPr>
                <w:b/>
                <w:color w:val="1A73E8"/>
                <w:sz w:val="22"/>
              </w:rPr>
              <w:t>💡 Executive Insights &amp; Takeaways</w:t>
              <w:br/>
            </w:r>
          </w:p>
          <w:p>
            <w:pPr>
              <w:spacing w:after="40"/>
            </w:pPr>
            <w:r>
              <w:rPr>
                <w:color w:val="202124"/>
                <w:sz w:val="20"/>
              </w:rPr>
              <w:t>• 71.5% of total platform volume occurs on Weekdays, indicating strong utility and daily commute/office usage.</w:t>
            </w:r>
          </w:p>
          <w:p>
            <w:pPr>
              <w:spacing w:after="40"/>
            </w:pPr>
            <w:r>
              <w:rPr>
                <w:color w:val="202124"/>
                <w:sz w:val="20"/>
              </w:rPr>
              <w:t>• Shopping &amp; Grocery account for over 39% of gross transaction value.</w:t>
            </w:r>
          </w:p>
          <w:p>
            <w:pPr>
              <w:spacing w:after="40"/>
            </w:pPr>
            <w:r>
              <w:rPr>
                <w:color w:val="202124"/>
                <w:sz w:val="20"/>
              </w:rPr>
              <w:t>• The 26–35 age group represents 34.97% of overall volume, serving as the core demographic.</w:t>
            </w:r>
          </w:p>
          <w:p>
            <w:pPr>
              <w:spacing w:after="40"/>
            </w:pPr>
            <w:r>
              <w:rPr>
                <w:color w:val="202124"/>
                <w:sz w:val="20"/>
              </w:rPr>
              <w:t>• Platform reliability remains robust at 95.05% success rate across all transaction routes.</w:t>
            </w:r>
          </w:p>
        </w:tc>
      </w:tr>
    </w:tbl>
    <w:p/>
    <w:p>
      <w:pPr>
        <w:pStyle w:val="Heading1"/>
        <w:keepNext/>
        <w:spacing w:before="320" w:after="120"/>
      </w:pPr>
      <w:r>
        <w:rPr>
          <w:rFonts w:ascii="Segoe UI" w:hAnsi="Segoe UI"/>
          <w:b/>
          <w:color w:val="1A73E8"/>
          <w:sz w:val="32"/>
        </w:rPr>
        <w:t>6. Generative AI Chatbot (LLM-to-SQL Assistant)</w:t>
      </w:r>
    </w:p>
    <w:p>
      <w:r>
        <w:t>To provide instant ad-hoc querying capabilities, an AI Conversational Agent was integrated with the backend database. The application leverages the Google Gemini 1.5 Flash Large Language Model to translate natural language into deterministic SQL queries.</w:t>
      </w:r>
    </w:p>
    <w:p>
      <w:pPr>
        <w:pStyle w:val="Heading2"/>
        <w:keepNext/>
        <w:spacing w:before="240" w:after="80"/>
      </w:pPr>
      <w:r>
        <w:rPr>
          <w:rFonts w:ascii="Segoe UI" w:hAnsi="Segoe UI"/>
          <w:b/>
          <w:color w:val="0D47A1"/>
          <w:sz w:val="26"/>
        </w:rPr>
        <w:t>Technical Architecture &amp; Workflow</w:t>
      </w:r>
    </w:p>
    <w:p>
      <w:pPr>
        <w:spacing w:after="40"/>
      </w:pPr>
      <w:r>
        <w:t>1. User Interface: Streamlit web application providing a responsive chat conversation interface.</w:t>
      </w:r>
    </w:p>
    <w:p>
      <w:pPr>
        <w:spacing w:after="40"/>
      </w:pPr>
      <w:r>
        <w:t>1. Prompt Engine: Custom system prompt supplying table schema, data dictionaries, and strict SQL generation constraints.</w:t>
      </w:r>
    </w:p>
    <w:p>
      <w:pPr>
        <w:spacing w:after="40"/>
      </w:pPr>
      <w:r>
        <w:t>1. LLM Query Generation: Gemini model generates sanitized SQL without hallucinations or markdown syntax artifacts.</w:t>
      </w:r>
    </w:p>
    <w:p>
      <w:pPr>
        <w:spacing w:after="40"/>
      </w:pPr>
      <w:r>
        <w:t>1. Database Execution: SQLAlchemy and PyMySQL execute queries directly against the `gpay_db` MySQL database.</w:t>
      </w:r>
    </w:p>
    <w:p>
      <w:pPr>
        <w:spacing w:after="40"/>
      </w:pPr>
      <w:r>
        <w:t>1. Executive Summarization: The returned tabular dataset is passed back to Gemini to synthesize a concise executive briefing.</w:t>
      </w:r>
    </w:p>
    <w:p/>
    <w:p>
      <w:pPr>
        <w:pStyle w:val="Heading2"/>
        <w:keepNext/>
        <w:spacing w:before="240" w:after="80"/>
      </w:pPr>
      <w:r>
        <w:rPr>
          <w:rFonts w:ascii="Segoe UI" w:hAnsi="Segoe UI"/>
          <w:b/>
          <w:color w:val="0D47A1"/>
          <w:sz w:val="26"/>
        </w:rPr>
        <w:t>Streamlit Chatbot Python Code (`app.py`)</w:t>
      </w:r>
    </w:p>
    <w:p>
      <w:r>
        <w:t>Core implementation of the AI assistant:</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after="0"/>
            </w:pPr>
            <w:r>
              <w:rPr>
                <w:rFonts w:ascii="Consolas" w:hAnsi="Consolas"/>
                <w:color w:val="212121"/>
                <w:sz w:val="19"/>
              </w:rPr>
              <w:t>import os</w:t>
              <w:br/>
              <w:t>import streamlit as st</w:t>
              <w:br/>
              <w:t>import pandas as pd</w:t>
              <w:br/>
              <w:t>from sqlalchemy import create_engine</w:t>
              <w:br/>
              <w:t>import google.generativeai as genai</w:t>
              <w:br/>
              <w:br/>
              <w:t>st.set_page_config(page_title='GPay Bharat AI Bot', page_icon='💳')</w:t>
              <w:br/>
              <w:t>genai.configure(api_key=os.getenv('GEMINI_API_KEY'))</w:t>
              <w:br/>
              <w:t>model = genai.GenerativeModel('gemini-1.5-flash')</w:t>
              <w:br/>
              <w:t>engine = create_engine('mysql+pymysql://root:password@localhost/gpay_db')</w:t>
              <w:br/>
              <w:br/>
              <w:t>SYSTEM_PROMPT = '''You are an expert SQL analyst for Google Pay data.</w:t>
              <w:br/>
              <w:t>Table: `upi_transactions` [transaction_id, timestamp, amount, transaction_type, merchant_category, transaction_status, sender_age_group, is_weekend].</w:t>
              <w:br/>
              <w:t>Generate ONLY raw SQL without markdown.'''</w:t>
              <w:br/>
              <w:br/>
              <w:t>if prompt := st.chat_input('Ask a question about UPI transactions:'):</w:t>
              <w:br/>
              <w:t xml:space="preserve">    sql = model.generate_content(f'{SYSTEM_PROMPT}\nUser: {prompt}\nSQL:').text.strip()</w:t>
              <w:br/>
              <w:t xml:space="preserve">    df = pd.read_sql(sql, engine)</w:t>
              <w:br/>
              <w:t xml:space="preserve">    summary = model.generate_content(f'Summarize this data for an executive:\n{df.to_string()}').text</w:t>
              <w:br/>
              <w:t xml:space="preserve">    st.write(summary)</w:t>
              <w:br/>
              <w:t xml:space="preserve">    st.dataframe(df)</w:t>
            </w:r>
          </w:p>
        </w:tc>
      </w:tr>
    </w:tbl>
    <w:p/>
    <w:p>
      <w:pPr>
        <w:pStyle w:val="Heading1"/>
        <w:keepNext/>
        <w:spacing w:before="320" w:after="120"/>
      </w:pPr>
      <w:r>
        <w:rPr>
          <w:rFonts w:ascii="Segoe UI" w:hAnsi="Segoe UI"/>
          <w:b/>
          <w:color w:val="1A73E8"/>
          <w:sz w:val="32"/>
        </w:rPr>
        <w:t>7. Strategic Business Recommendations</w:t>
      </w:r>
    </w:p>
    <w:p>
      <w:pPr>
        <w:spacing w:after="60"/>
      </w:pPr>
      <w:r>
        <w:rPr>
          <w:b/>
          <w:color w:val="1A73E8"/>
        </w:rPr>
        <w:t xml:space="preserve">• Weekend Engagement Campaigns: </w:t>
      </w:r>
      <w:r>
        <w:t>Since weekend transactions drop to 28.5%, launch tailored cashback and rewards for dining, entertainment, and weekend travel.</w:t>
      </w:r>
    </w:p>
    <w:p>
      <w:pPr>
        <w:spacing w:after="60"/>
      </w:pPr>
      <w:r>
        <w:rPr>
          <w:b/>
          <w:color w:val="1A73E8"/>
        </w:rPr>
        <w:t xml:space="preserve">• Targeting Gen-Z &amp; Senior Demographics: </w:t>
      </w:r>
      <w:r>
        <w:t>The 18-25 and 56+ segments remain underpenetrated. Introduce simplified voice payment flows and student merchant partnerships.</w:t>
      </w:r>
    </w:p>
    <w:p>
      <w:pPr>
        <w:spacing w:after="60"/>
      </w:pPr>
      <w:r>
        <w:rPr>
          <w:b/>
          <w:color w:val="1A73E8"/>
        </w:rPr>
        <w:t xml:space="preserve">• Proactive Merchant Settlements: </w:t>
      </w:r>
      <w:r>
        <w:t>Optimize liquidity pipelines for Grocery and Shopping merchants who process the highest daily transaction frequencies.</w:t>
      </w:r>
    </w:p>
    <w:p>
      <w:pPr>
        <w:pStyle w:val="Heading1"/>
        <w:keepNext/>
        <w:spacing w:before="320" w:after="120"/>
      </w:pPr>
      <w:r>
        <w:rPr>
          <w:rFonts w:ascii="Segoe UI" w:hAnsi="Segoe UI"/>
          <w:b/>
          <w:color w:val="1A73E8"/>
          <w:sz w:val="32"/>
        </w:rPr>
        <w:t>8. Conclusion</w:t>
      </w:r>
    </w:p>
    <w:p>
      <w:r>
        <w:t>The Google Pay Bharat Analytics Dashboard &amp; AI Assistant successfully delivers an enterprise-grade analytics solution. By fusing intuitive visual storytelling in Power BI with conversational intelligence powered by Gemini LLM, the project empowers both non-technical stakeholders and data analysts to uncover actionable insights rapidly.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