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2697" w14:textId="77777777" w:rsidR="008D59FE" w:rsidRDefault="008D59FE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8D59FE" w14:paraId="04382699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04382698" w14:textId="77777777" w:rsidR="008D59F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8D59FE" w14:paraId="0438269E" w14:textId="77777777">
        <w:trPr>
          <w:trHeight w:val="540"/>
        </w:trPr>
        <w:tc>
          <w:tcPr>
            <w:tcW w:w="9570" w:type="dxa"/>
            <w:vAlign w:val="center"/>
          </w:tcPr>
          <w:p w14:paraId="0438269A" w14:textId="77777777" w:rsidR="008D59FE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0438269B" w14:textId="77777777" w:rsidR="008D59FE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0438269C" w14:textId="77777777" w:rsidR="008D59FE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0438269D" w14:textId="77777777" w:rsidR="008D59FE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0438269F" w14:textId="77777777" w:rsidR="008D59FE" w:rsidRDefault="008D59FE">
      <w:pPr>
        <w:rPr>
          <w:rFonts w:ascii="Arial" w:eastAsia="Arial" w:hAnsi="Arial" w:cs="Arial"/>
        </w:rPr>
      </w:pPr>
    </w:p>
    <w:p w14:paraId="043826A0" w14:textId="77777777" w:rsidR="008D59F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043826A1" w14:textId="77777777" w:rsidR="008D59FE" w:rsidRDefault="008D59FE">
      <w:pPr>
        <w:rPr>
          <w:rFonts w:ascii="Arial" w:eastAsia="Arial" w:hAnsi="Arial" w:cs="Arial"/>
        </w:rPr>
      </w:pPr>
    </w:p>
    <w:p w14:paraId="043826A2" w14:textId="77777777" w:rsidR="008D59F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043826A3" w14:textId="77777777" w:rsidR="008D59F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43826A4" w14:textId="77777777" w:rsidR="008D59FE" w:rsidRDefault="008D59FE">
      <w:pPr>
        <w:rPr>
          <w:rFonts w:ascii="Arial" w:eastAsia="Arial" w:hAnsi="Arial" w:cs="Arial"/>
          <w:b/>
        </w:rPr>
      </w:pPr>
    </w:p>
    <w:p w14:paraId="043826A5" w14:textId="77777777" w:rsidR="008D59F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043826A6" w14:textId="0AAAB8C5" w:rsidR="00E46793" w:rsidRDefault="00E467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27F01AE" w14:textId="77777777" w:rsidR="008D59FE" w:rsidRDefault="008D59FE">
      <w:pPr>
        <w:rPr>
          <w:rFonts w:ascii="Arial" w:eastAsia="Arial" w:hAnsi="Arial" w:cs="Arial"/>
        </w:rPr>
      </w:pPr>
    </w:p>
    <w:tbl>
      <w:tblPr>
        <w:tblW w:w="969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E46793" w14:paraId="26190BFE" w14:textId="77777777" w:rsidTr="00A329C8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39A4D069" w14:textId="77777777" w:rsidR="00E46793" w:rsidRDefault="00E46793" w:rsidP="00022564">
            <w:pPr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2DC0CA9" w14:textId="77777777" w:rsidR="00E46793" w:rsidRDefault="00E46793" w:rsidP="00A329C8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4EDE71EE" w14:textId="77777777" w:rsidR="00E46793" w:rsidRDefault="00E46793" w:rsidP="00A329C8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46C59CB1" w14:textId="77777777" w:rsidR="00E46793" w:rsidRDefault="00E46793" w:rsidP="00A329C8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E46793" w14:paraId="3B739D85" w14:textId="77777777" w:rsidTr="00A329C8">
        <w:trPr>
          <w:trHeight w:val="540"/>
        </w:trPr>
        <w:tc>
          <w:tcPr>
            <w:tcW w:w="3230" w:type="dxa"/>
            <w:vAlign w:val="center"/>
          </w:tcPr>
          <w:p w14:paraId="29EDD303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INCOMPLETA / COMPLETA</w:t>
            </w:r>
          </w:p>
        </w:tc>
        <w:tc>
          <w:tcPr>
            <w:tcW w:w="3230" w:type="dxa"/>
            <w:vMerge w:val="restart"/>
            <w:vAlign w:val="center"/>
          </w:tcPr>
          <w:p w14:paraId="5139F7E6" w14:textId="6238B83F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UC_2-0491-11_3: desenvolupar elements software a l’entorn client</w:t>
            </w:r>
          </w:p>
          <w:p w14:paraId="5B221C85" w14:textId="018EE5CA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UC0491_3: desenvolupar elements software a l’entorn client</w:t>
            </w:r>
          </w:p>
          <w:p w14:paraId="749DEE83" w14:textId="5BA21EE5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UC_2-0492-11_3: desenvolupar elements software a l’entorn servidor</w:t>
            </w:r>
          </w:p>
          <w:p w14:paraId="04630962" w14:textId="16CB4C85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UC0492_3: desenvolupar elements software a l’entorn servidor</w:t>
            </w:r>
          </w:p>
          <w:p w14:paraId="49D147CF" w14:textId="38CE1286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UC_2-0493-11_3: implementar, verificar i documentar aplicacions web en entorns internet, intranet i extranet</w:t>
            </w:r>
          </w:p>
          <w:p w14:paraId="6ECB1CAC" w14:textId="3AB14B1F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UC0493_3: implementar, verificar i documentar aplicacions web en entorns internet, intranet i extranet</w:t>
            </w:r>
          </w:p>
          <w:p w14:paraId="0A20113B" w14:textId="4CCFFEF2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UC_2-0223-11_3: configurar i explotar sistemes informàtics</w:t>
            </w:r>
          </w:p>
          <w:p w14:paraId="712B3A7B" w14:textId="34FF91F2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UC0223_3: configurar i explotar sistemes informàtics</w:t>
            </w:r>
          </w:p>
          <w:p w14:paraId="2ADA044D" w14:textId="5C88AB19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UC_2-0226-11_3: gestionar bases de dades relacionals</w:t>
            </w:r>
          </w:p>
          <w:p w14:paraId="11DA37FA" w14:textId="08EA4128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UC0226_3: programar bases de dades relacionals</w:t>
            </w:r>
          </w:p>
          <w:p w14:paraId="7BA230FB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UC_2-0223-11_3: configurar i explotar sistemes informàtics</w:t>
            </w:r>
          </w:p>
          <w:p w14:paraId="204978A4" w14:textId="5E5F550D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UC0223_3: configurar i explotar sistemes informàtics</w:t>
            </w:r>
          </w:p>
          <w:p w14:paraId="3DA5F575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UC_2-0226-11_3: gestionar bases de dades relacionals</w:t>
            </w:r>
          </w:p>
          <w:p w14:paraId="306DB22D" w14:textId="37C0F69C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UC0226_3: programar bases de dades relacionals</w:t>
            </w:r>
          </w:p>
        </w:tc>
        <w:tc>
          <w:tcPr>
            <w:tcW w:w="3230" w:type="dxa"/>
            <w:vMerge w:val="restart"/>
            <w:vAlign w:val="center"/>
          </w:tcPr>
          <w:p w14:paraId="7B59337F" w14:textId="5F1873A3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Sistemes informàtics</w:t>
            </w:r>
          </w:p>
          <w:p w14:paraId="28199676" w14:textId="09676849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Base de dades</w:t>
            </w:r>
          </w:p>
          <w:p w14:paraId="78ADE223" w14:textId="74A5B0BE" w:rsidR="00E46793" w:rsidRPr="00E46793" w:rsidRDefault="002505CA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Programació</w:t>
            </w:r>
          </w:p>
          <w:p w14:paraId="41C95E89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Llenguatge de marques i sistemes de gestió de la informació</w:t>
            </w:r>
          </w:p>
          <w:p w14:paraId="653C977E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Entorns de desenvolupament</w:t>
            </w:r>
          </w:p>
          <w:p w14:paraId="608CA1ED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Desenvolupament web en entorn client</w:t>
            </w:r>
          </w:p>
          <w:p w14:paraId="0E2CE32F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Desenvolupament web en entorn servidor</w:t>
            </w:r>
          </w:p>
          <w:p w14:paraId="6B142CA2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Desplegament d’aplicacions web</w:t>
            </w:r>
          </w:p>
          <w:p w14:paraId="0001234A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Disseny d’interfícies web</w:t>
            </w:r>
          </w:p>
          <w:p w14:paraId="46B378AB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Formació i orientació laboral</w:t>
            </w:r>
          </w:p>
          <w:p w14:paraId="6E290718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Empresa i iniciativa emprenedora</w:t>
            </w:r>
          </w:p>
          <w:p w14:paraId="37021CA7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Projecte de desenvolupament d’aplicacions web</w:t>
            </w:r>
          </w:p>
          <w:p w14:paraId="67121319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Formació en centres de treball</w:t>
            </w:r>
          </w:p>
        </w:tc>
      </w:tr>
      <w:tr w:rsidR="00E46793" w14:paraId="0E236AD3" w14:textId="77777777" w:rsidTr="00A329C8">
        <w:trPr>
          <w:trHeight w:val="540"/>
        </w:trPr>
        <w:tc>
          <w:tcPr>
            <w:tcW w:w="3230" w:type="dxa"/>
            <w:vAlign w:val="center"/>
          </w:tcPr>
          <w:p w14:paraId="5D6EBF52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Incompleta:</w:t>
            </w:r>
          </w:p>
          <w:p w14:paraId="7CAE9BFB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Programació en llenguatges estructurats d’aplicacions de gestió</w:t>
            </w:r>
          </w:p>
          <w:p w14:paraId="51A2DB4D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</w:p>
          <w:p w14:paraId="6FC40132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Programació amb llenguatges orientats a objectes i bases de dades relacionals</w:t>
            </w:r>
          </w:p>
          <w:p w14:paraId="4D6ECE67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</w:p>
          <w:p w14:paraId="2EF12D58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Completa:</w:t>
            </w:r>
          </w:p>
          <w:p w14:paraId="75656055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Desenvolupament d’aplicacions amb tecnologies web</w:t>
            </w:r>
          </w:p>
        </w:tc>
        <w:tc>
          <w:tcPr>
            <w:tcW w:w="3230" w:type="dxa"/>
            <w:vMerge/>
            <w:vAlign w:val="center"/>
          </w:tcPr>
          <w:p w14:paraId="4D2D9523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</w:p>
        </w:tc>
        <w:tc>
          <w:tcPr>
            <w:tcW w:w="3230" w:type="dxa"/>
            <w:vMerge/>
            <w:vAlign w:val="center"/>
          </w:tcPr>
          <w:p w14:paraId="68BF4E15" w14:textId="77777777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</w:p>
        </w:tc>
      </w:tr>
      <w:tr w:rsidR="00E46793" w14:paraId="669822EE" w14:textId="77777777" w:rsidTr="00A329C8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7FC5E967" w14:textId="77777777" w:rsidR="00E46793" w:rsidRPr="00022564" w:rsidRDefault="00E46793" w:rsidP="0002256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022564"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E46793" w14:paraId="6EA5E192" w14:textId="77777777" w:rsidTr="00A329C8">
        <w:trPr>
          <w:trHeight w:val="540"/>
        </w:trPr>
        <w:tc>
          <w:tcPr>
            <w:tcW w:w="9690" w:type="dxa"/>
            <w:gridSpan w:val="3"/>
            <w:vAlign w:val="center"/>
          </w:tcPr>
          <w:p w14:paraId="7580F0E1" w14:textId="48191A1E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 xml:space="preserve">Llenguatges i sistemes </w:t>
            </w:r>
            <w:r w:rsidR="008E0035"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>informàtics</w:t>
            </w:r>
          </w:p>
        </w:tc>
      </w:tr>
      <w:tr w:rsidR="00E46793" w14:paraId="56C82D35" w14:textId="77777777" w:rsidTr="00A329C8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6CCB855D" w14:textId="77777777" w:rsidR="00E46793" w:rsidRPr="00E46793" w:rsidRDefault="00E46793" w:rsidP="0002256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2564">
              <w:rPr>
                <w:rFonts w:ascii="Arial" w:eastAsia="Arial" w:hAnsi="Arial" w:cs="Arial"/>
                <w:b/>
              </w:rPr>
              <w:lastRenderedPageBreak/>
              <w:t>Ocupacions relacionades</w:t>
            </w:r>
          </w:p>
        </w:tc>
      </w:tr>
      <w:tr w:rsidR="00E46793" w14:paraId="5F08CDD5" w14:textId="77777777" w:rsidTr="00A329C8">
        <w:trPr>
          <w:trHeight w:val="540"/>
        </w:trPr>
        <w:tc>
          <w:tcPr>
            <w:tcW w:w="9690" w:type="dxa"/>
            <w:gridSpan w:val="3"/>
            <w:vAlign w:val="center"/>
          </w:tcPr>
          <w:p w14:paraId="06330942" w14:textId="222DE285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 xml:space="preserve"> Programador web</w:t>
            </w:r>
          </w:p>
          <w:p w14:paraId="0F855F0A" w14:textId="0D9B8444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 xml:space="preserve"> Programador multimèdia</w:t>
            </w:r>
          </w:p>
          <w:p w14:paraId="5AD6019D" w14:textId="060BCBF1" w:rsidR="00E46793" w:rsidRPr="00E46793" w:rsidRDefault="00E46793" w:rsidP="00E467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E46793">
              <w:rPr>
                <w:rFonts w:ascii="Arial" w:eastAsia="Arial" w:hAnsi="Arial" w:cs="Arial"/>
                <w:sz w:val="20"/>
                <w:szCs w:val="20"/>
                <w:lang w:val="ca-ES"/>
              </w:rPr>
              <w:t xml:space="preserve"> Desenvolupador d’aplicacions en entorns web</w:t>
            </w:r>
          </w:p>
        </w:tc>
      </w:tr>
    </w:tbl>
    <w:p w14:paraId="043826BC" w14:textId="3E4B1897" w:rsidR="00E46793" w:rsidRDefault="00E46793">
      <w:pPr>
        <w:rPr>
          <w:rFonts w:ascii="Arial" w:eastAsia="Arial" w:hAnsi="Arial" w:cs="Arial"/>
        </w:rPr>
      </w:pPr>
    </w:p>
    <w:p w14:paraId="61FB40C7" w14:textId="77777777" w:rsidR="00E46793" w:rsidRDefault="00E467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43826BE" w14:textId="77777777" w:rsidR="008D59FE" w:rsidRDefault="000000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043826BF" w14:textId="77777777" w:rsidR="008D59FE" w:rsidRDefault="008D59FE">
      <w:pPr>
        <w:rPr>
          <w:rFonts w:ascii="Arial" w:eastAsia="Arial" w:hAnsi="Arial" w:cs="Arial"/>
        </w:rPr>
      </w:pPr>
    </w:p>
    <w:p w14:paraId="043826C0" w14:textId="77777777" w:rsidR="008D59FE" w:rsidRDefault="008D59FE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8D59FE" w14:paraId="043826C5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043826C1" w14:textId="77777777" w:rsidR="008D59FE" w:rsidRDefault="00000000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43826C2" w14:textId="77777777" w:rsidR="008D59FE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43826C3" w14:textId="77777777" w:rsidR="008D59FE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043826C4" w14:textId="77777777" w:rsidR="008D59FE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8D59FE" w14:paraId="043826CD" w14:textId="77777777">
        <w:trPr>
          <w:trHeight w:val="540"/>
        </w:trPr>
        <w:tc>
          <w:tcPr>
            <w:tcW w:w="3230" w:type="dxa"/>
            <w:vAlign w:val="center"/>
          </w:tcPr>
          <w:p w14:paraId="043826C6" w14:textId="77777777" w:rsidR="008D59F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043826C7" w14:textId="77777777" w:rsidR="008D59FE" w:rsidRDefault="00000000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043826C8" w14:textId="77777777" w:rsidR="008D59FE" w:rsidRDefault="00000000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043826C9" w14:textId="77777777" w:rsidR="008D59FE" w:rsidRDefault="00000000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14:paraId="043826CA" w14:textId="77777777" w:rsidR="008D59F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043826CB" w14:textId="77777777" w:rsidR="008D59FE" w:rsidRDefault="00000000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043826CC" w14:textId="77777777" w:rsidR="008D59F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8D59FE" w14:paraId="043826D1" w14:textId="77777777">
        <w:trPr>
          <w:trHeight w:val="540"/>
        </w:trPr>
        <w:tc>
          <w:tcPr>
            <w:tcW w:w="3230" w:type="dxa"/>
            <w:vAlign w:val="center"/>
          </w:tcPr>
          <w:p w14:paraId="043826CE" w14:textId="77777777" w:rsidR="008D59FE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043826CF" w14:textId="77777777" w:rsidR="008D59FE" w:rsidRDefault="008D59F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043826D0" w14:textId="77777777" w:rsidR="008D59FE" w:rsidRDefault="008D59FE">
            <w:pPr>
              <w:rPr>
                <w:rFonts w:ascii="Arial" w:eastAsia="Arial" w:hAnsi="Arial" w:cs="Arial"/>
              </w:rPr>
            </w:pPr>
          </w:p>
        </w:tc>
      </w:tr>
      <w:tr w:rsidR="008D59FE" w14:paraId="043826D3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043826D2" w14:textId="77777777" w:rsidR="008D59FE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8D59FE" w14:paraId="043826D5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043826D4" w14:textId="77777777" w:rsidR="008D59F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8D59FE" w14:paraId="043826D7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043826D6" w14:textId="77777777" w:rsidR="008D59FE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8D59FE" w14:paraId="043826DD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043826D8" w14:textId="77777777" w:rsidR="008D59FE" w:rsidRDefault="00000000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043826D9" w14:textId="77777777" w:rsidR="008D59FE" w:rsidRDefault="00000000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043826DA" w14:textId="77777777" w:rsidR="008D59FE" w:rsidRDefault="00000000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043826DB" w14:textId="77777777" w:rsidR="008D59FE" w:rsidRDefault="00000000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043826DC" w14:textId="77777777" w:rsidR="008D59F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043826DE" w14:textId="714E83C5" w:rsidR="008D59FE" w:rsidRDefault="008D59FE"/>
    <w:sectPr w:rsidR="008D59F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D861" w14:textId="77777777" w:rsidR="00BF13A9" w:rsidRDefault="00BF13A9">
      <w:r>
        <w:separator/>
      </w:r>
    </w:p>
  </w:endnote>
  <w:endnote w:type="continuationSeparator" w:id="0">
    <w:p w14:paraId="39F7BA1E" w14:textId="77777777" w:rsidR="00BF13A9" w:rsidRDefault="00BF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6EF" w14:textId="4CB8C5B5" w:rsidR="008D59FE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73B38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73B38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F4D7" w14:textId="77777777" w:rsidR="00BF13A9" w:rsidRDefault="00BF13A9">
      <w:r>
        <w:separator/>
      </w:r>
    </w:p>
  </w:footnote>
  <w:footnote w:type="continuationSeparator" w:id="0">
    <w:p w14:paraId="2F0B2058" w14:textId="77777777" w:rsidR="00BF13A9" w:rsidRDefault="00BF1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6DF" w14:textId="77777777" w:rsidR="008D59FE" w:rsidRDefault="008D59FE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8D59FE" w14:paraId="043826E6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043826E0" w14:textId="77777777" w:rsidR="008D59FE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43826F0" wp14:editId="043826F1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43826E1" w14:textId="77777777" w:rsidR="008D59FE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043826E2" w14:textId="77777777" w:rsidR="008D59FE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Institut Sa Palomera</w:t>
          </w:r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043826E3" w14:textId="77777777" w:rsidR="008D59FE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s">
                <w:drawing>
                  <wp:inline distT="0" distB="0" distL="114300" distR="114300" wp14:anchorId="043826F2" wp14:editId="043826F3">
                    <wp:extent cx="614997" cy="574537"/>
                    <wp:effectExtent l="0" t="0" r="0" b="0"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3826F6" w14:textId="77777777" w:rsidR="008D59FE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043826F2" id="Oval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43826F6" w14:textId="77777777" w:rsidR="008D59FE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2B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043826E4" w14:textId="77777777" w:rsidR="008D59FE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43826E5" w14:textId="77777777" w:rsidR="008D59FE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043826F4" wp14:editId="043826F5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D59FE" w14:paraId="043826ED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043826E7" w14:textId="77777777" w:rsidR="008D59FE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043826E8" w14:textId="77777777" w:rsidR="008D59FE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043826E9" w14:textId="77777777" w:rsidR="008D59FE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043826EA" w14:textId="77777777" w:rsidR="008D59FE" w:rsidRDefault="008D59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043826EB" w14:textId="77777777" w:rsidR="008D59FE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43826EC" w14:textId="77777777" w:rsidR="008D59FE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043826EE" w14:textId="77777777" w:rsidR="008D59FE" w:rsidRDefault="008D59F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5BBA"/>
    <w:multiLevelType w:val="hybridMultilevel"/>
    <w:tmpl w:val="98928CF8"/>
    <w:lvl w:ilvl="0" w:tplc="F1E204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C510F"/>
    <w:multiLevelType w:val="multilevel"/>
    <w:tmpl w:val="C07CC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17721">
    <w:abstractNumId w:val="1"/>
  </w:num>
  <w:num w:numId="2" w16cid:durableId="8881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FE"/>
    <w:rsid w:val="00022564"/>
    <w:rsid w:val="002505CA"/>
    <w:rsid w:val="004C6BB6"/>
    <w:rsid w:val="007E4687"/>
    <w:rsid w:val="008D59FE"/>
    <w:rsid w:val="008E0035"/>
    <w:rsid w:val="00BF13A9"/>
    <w:rsid w:val="00D07ABB"/>
    <w:rsid w:val="00E46793"/>
    <w:rsid w:val="00F7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2697"/>
  <w15:docId w15:val="{5134B949-8469-4406-AF2D-B8011F46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67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argrafdellista">
    <w:name w:val="List Paragraph"/>
    <w:basedOn w:val="Normal"/>
    <w:uiPriority w:val="34"/>
    <w:qFormat/>
    <w:rsid w:val="00E4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604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Soler Lasuncion, Biel</cp:lastModifiedBy>
  <cp:revision>8</cp:revision>
  <dcterms:created xsi:type="dcterms:W3CDTF">2024-02-08T09:45:00Z</dcterms:created>
  <dcterms:modified xsi:type="dcterms:W3CDTF">2024-04-11T09:19:00Z</dcterms:modified>
</cp:coreProperties>
</file>