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left"/>
        <w:tblBorders>
          <w:top w:val="nil"/>
          <w:left w:val="nil"/>
          <w:bottom w:val="nil"/>
          <w:right w:val="nil"/>
          <w:insideH w:val="nil"/>
          <w:insideV w:val="nil"/>
        </w:tblBorders>
        <w:tblCellMar>
          <w:top w:w="0" w:type="dxa"/>
          <w:left w:w="0" w:type="dxa"/>
          <w:bottom w:w="0" w:type="dxa"/>
          <w:right w:w="0" w:type="dxa"/>
        </w:tblCellMar>
        <w:tblInd w:w="0" w:type="dxa"/>
      </w:tblPr>
      <w:tblGrid>
        <w:gridCol w:w="3685"/>
        <w:gridCol w:w="5386"/>
      </w:tblGrid>
      <w:tr>
        <w:tc>
          <w:tcPr>
            <w:tcW w:type="dxa" w:w="3685"/>
          </w:tcPr>
          <w:p>
            <w:pPr>
              <w:jc w:val="center"/>
              <w:spacing w:before="0" w:after="0" w:line="240" w:lineRule="auto"/>
            </w:pPr>
            <w:r/>
            <w:r>
              <w:rPr>
                <w:rFonts w:ascii="Times New Roman" w:hAnsi="Times New Roman" w:cs="Times New Roman" w:eastAsia="Times New Roman"/>
                <w:b w:val="0"/>
                <w:i w:val="0"/>
                <w:sz w:val="26"/>
              </w:rPr>
              <w:t>UBND TỈNH TUYÊN QUANG</w:t>
            </w:r>
          </w:p>
          <w:p>
            <w:pPr>
              <w:jc w:val="center"/>
              <w:spacing w:before="0" w:after="0" w:line="240" w:lineRule="auto"/>
            </w:pPr>
            <w:r>
              <w:rPr>
                <w:rFonts w:ascii="Times New Roman" w:hAnsi="Times New Roman" w:cs="Times New Roman" w:eastAsia="Times New Roman"/>
                <w:b/>
                <w:i w:val="0"/>
                <w:sz w:val="26"/>
              </w:rPr>
              <w:t>SỞ GIÁO DỤC VÀ ĐÀO TẠO</w:t>
            </w:r>
          </w:p>
          <w:p>
            <w:pPr>
              <w:jc w:val="center"/>
              <w:ind w:left="916" w:right="916"/>
              <w:spacing w:before="24" w:after="40" w:line="20" w:lineRule="exact"/>
              <w:pBdr>
                <w:top w:val="single" w:sz="4" w:space="0" w:color="000000"/>
              </w:pBdr>
            </w:pPr>
          </w:p>
        </w:tc>
        <w:tc>
          <w:tcPr>
            <w:tcW w:type="dxa" w:w="5386"/>
          </w:tcPr>
          <w:p>
            <w:pPr>
              <w:jc w:val="center"/>
              <w:spacing w:before="0" w:after="0" w:line="240" w:lineRule="auto"/>
            </w:pPr>
            <w:r>
              <w:rPr>
                <w:spacing w:val="-2"/>
              </w:rPr>
            </w:r>
            <w:r>
              <w:rPr>
                <w:rFonts w:ascii="Times New Roman" w:hAnsi="Times New Roman" w:cs="Times New Roman" w:eastAsia="Times New Roman"/>
                <w:b/>
                <w:i w:val="0"/>
                <w:sz w:val="26"/>
                <w:spacing w:val="-2"/>
              </w:rPr>
              <w:t>CỘNG HÒA XÃ HỘI CHỦ NGHĨA VIỆT NAM</w:t>
            </w:r>
          </w:p>
          <w:p>
            <w:pPr>
              <w:jc w:val="center"/>
              <w:spacing w:before="0" w:after="0" w:line="240" w:lineRule="auto"/>
            </w:pPr>
            <w:r>
              <w:rPr>
                <w:rFonts w:ascii="Times New Roman" w:hAnsi="Times New Roman" w:cs="Times New Roman" w:eastAsia="Times New Roman"/>
                <w:b/>
                <w:i w:val="0"/>
                <w:sz w:val="28"/>
              </w:rPr>
              <w:t>Độc lập - Tự do - Hạnh phúc</w:t>
            </w:r>
          </w:p>
          <w:p>
            <w:pPr>
              <w:jc w:val="center"/>
              <w:ind w:left="1162" w:right="1162"/>
              <w:spacing w:before="24" w:after="40" w:line="20" w:lineRule="exact"/>
              <w:pBdr>
                <w:top w:val="single" w:sz="4" w:space="0" w:color="000000"/>
              </w:pBdr>
            </w:pP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CellMar>
          <w:top w:w="0" w:type="dxa"/>
          <w:left w:w="0" w:type="dxa"/>
          <w:bottom w:w="0" w:type="dxa"/>
          <w:right w:w="0" w:type="dxa"/>
        </w:tblCellMar>
        <w:tblInd w:w="0" w:type="dxa"/>
      </w:tblPr>
      <w:tblGrid>
        <w:gridCol w:w="3685"/>
        <w:gridCol w:w="5386"/>
      </w:tblGrid>
      <w:tr>
        <w:tc>
          <w:tcPr>
            <w:tcW w:type="dxa" w:w="3685"/>
          </w:tcPr>
          <w:p>
            <w:pPr>
              <w:jc w:val="center"/>
              <w:spacing w:before="0" w:after="0" w:line="240" w:lineRule="auto"/>
            </w:pPr>
            <w:r/>
            <w:r>
              <w:rPr>
                <w:rFonts w:ascii="Times New Roman" w:hAnsi="Times New Roman" w:cs="Times New Roman" w:eastAsia="Times New Roman"/>
                <w:b w:val="0"/>
                <w:i w:val="0"/>
                <w:sz w:val="26"/>
              </w:rPr>
              <w:t>Số:        /BC-SGDĐT</w:t>
            </w:r>
          </w:p>
        </w:tc>
        <w:tc>
          <w:tcPr>
            <w:tcW w:type="dxa" w:w="5386"/>
          </w:tcPr>
          <w:p>
            <w:pPr>
              <w:jc w:val="center"/>
              <w:spacing w:before="0" w:after="0" w:line="240" w:lineRule="auto"/>
            </w:pPr>
            <w:r/>
            <w:r>
              <w:rPr>
                <w:rFonts w:ascii="Times New Roman" w:hAnsi="Times New Roman" w:cs="Times New Roman" w:eastAsia="Times New Roman"/>
                <w:b w:val="0"/>
                <w:i/>
                <w:sz w:val="26"/>
              </w:rPr>
              <w:t>Tuyên Quang, ngày        tháng 05 năm 2026</w:t>
            </w:r>
          </w:p>
        </w:tc>
      </w:tr>
    </w:tbl>
    <w:p>
      <w:pPr>
        <w:jc w:val="center"/>
        <w:spacing w:before="280" w:after="0" w:line="240" w:lineRule="auto"/>
      </w:pPr>
      <w:r>
        <w:rPr>
          <w:rFonts w:ascii="Times New Roman" w:hAnsi="Times New Roman" w:cs="Times New Roman" w:eastAsia="Times New Roman"/>
          <w:b/>
          <w:i w:val="0"/>
          <w:sz w:val="28"/>
        </w:rPr>
        <w:t>BÁO CÁO</w:t>
      </w:r>
    </w:p>
    <w:p>
      <w:pPr>
        <w:jc w:val="center"/>
        <w:spacing w:before="0" w:after="0" w:line="240" w:lineRule="auto"/>
      </w:pPr>
      <w:r>
        <w:rPr>
          <w:rFonts w:ascii="Times New Roman" w:hAnsi="Times New Roman" w:cs="Times New Roman" w:eastAsia="Times New Roman"/>
          <w:b/>
          <w:i w:val="0"/>
          <w:sz w:val="28"/>
        </w:rPr>
        <w:t>Công tác giáo dục và đào tạo Quý I năm 2026</w:t>
      </w:r>
    </w:p>
    <w:p>
      <w:pPr>
        <w:jc w:val="center"/>
        <w:spacing w:before="0" w:after="0" w:line="240" w:lineRule="auto"/>
      </w:pPr>
      <w:r>
        <w:rPr>
          <w:rFonts w:ascii="Times New Roman" w:hAnsi="Times New Roman" w:cs="Times New Roman" w:eastAsia="Times New Roman"/>
          <w:b/>
          <w:i w:val="0"/>
          <w:sz w:val="28"/>
        </w:rPr>
        <w:t>và nhiệm vụ trọng tâm Quý II năm 2026</w:t>
      </w:r>
    </w:p>
    <w:p>
      <w:pPr>
        <w:jc w:val="center"/>
        <w:ind w:left="2948" w:right="2948"/>
        <w:spacing w:before="0" w:after="0" w:line="20" w:lineRule="exact"/>
        <w:pBdr>
          <w:top w:val="single" w:sz="4" w:space="0" w:color="000000"/>
        </w:pBdr>
      </w:pPr>
    </w:p>
    <w:p>
      <w:pPr>
        <w:jc w:val="both"/>
        <w:spacing w:before="120" w:after="120" w:line="240" w:lineRule="auto"/>
        <w:ind w:firstLine="623"/>
      </w:pPr>
      <w:r>
        <w:rPr>
          <w:rFonts w:ascii="Times New Roman" w:hAnsi="Times New Roman" w:cs="Times New Roman" w:eastAsia="Times New Roman"/>
          <w:b w:val="0"/>
          <w:i w:val="0"/>
          <w:sz w:val="26"/>
          <w:spacing w:val="-2"/>
        </w:rPr>
        <w:t>Thực hiện Chương trình công tác năm 2026 của Sở Giáo dục và Đào tạo tỉnh Tuyên Quang;</w:t>
      </w:r>
    </w:p>
    <w:p>
      <w:pPr>
        <w:jc w:val="both"/>
        <w:spacing w:before="120" w:after="120" w:line="240" w:lineRule="auto"/>
        <w:ind w:firstLine="623"/>
      </w:pPr>
      <w:r>
        <w:rPr>
          <w:rFonts w:ascii="Times New Roman" w:hAnsi="Times New Roman" w:cs="Times New Roman" w:eastAsia="Times New Roman"/>
          <w:b w:val="0"/>
          <w:i w:val="0"/>
          <w:sz w:val="26"/>
        </w:rPr>
        <w:t>Thực hiện chỉ đạo của Bộ Giáo dục và Đào tạo và UBND tỉnh Tuyên Quang về nhiệm vụ năm học 2025-2026.</w:t>
      </w:r>
    </w:p>
    <w:p>
      <w:pPr>
        <w:jc w:val="both"/>
        <w:spacing w:before="120" w:after="120" w:line="240" w:lineRule="auto"/>
        <w:ind w:firstLine="623"/>
      </w:pPr>
      <w:r>
        <w:rPr>
          <w:rFonts w:ascii="Times New Roman" w:hAnsi="Times New Roman" w:cs="Times New Roman" w:eastAsia="Times New Roman"/>
          <w:b w:val="0"/>
          <w:i w:val="0"/>
          <w:sz w:val="26"/>
        </w:rPr>
        <w:t>Sở Giáo dục và Đào tạo báo cáo kết quả công tác Quý I năm 2026 và nhiệm vụ trọng tâm Quý II năm 2026 như sau:</w:t>
      </w:r>
    </w:p>
    <w:p>
      <w:pPr>
        <w:jc w:val="left"/>
        <w:spacing w:before="120" w:after="40" w:line="240" w:lineRule="auto"/>
        <w:ind w:firstLine="623"/>
      </w:pPr>
      <w:r>
        <w:rPr>
          <w:rFonts w:ascii="Times New Roman" w:hAnsi="Times New Roman" w:cs="Times New Roman" w:eastAsia="Times New Roman"/>
          <w:b/>
          <w:i w:val="0"/>
          <w:sz w:val="26"/>
        </w:rPr>
        <w:t>I. TÌNH HÌNH VÀ KẾT QUẢ THỰC HIỆN</w:t>
      </w:r>
    </w:p>
    <w:p>
      <w:pPr>
        <w:jc w:val="left"/>
        <w:spacing w:before="120" w:after="40" w:line="240" w:lineRule="auto"/>
        <w:ind w:firstLine="623"/>
      </w:pPr>
      <w:r>
        <w:rPr>
          <w:rFonts w:ascii="Times New Roman" w:hAnsi="Times New Roman" w:cs="Times New Roman" w:eastAsia="Times New Roman"/>
          <w:b/>
          <w:i w:val="0"/>
          <w:sz w:val="26"/>
        </w:rPr>
        <w:t>1. Công tác chỉ đạo, điều hành</w:t>
      </w:r>
    </w:p>
    <w:p>
      <w:pPr>
        <w:jc w:val="both"/>
        <w:spacing w:before="120" w:after="120" w:line="240" w:lineRule="auto"/>
        <w:ind w:firstLine="623"/>
      </w:pPr>
      <w:r>
        <w:rPr>
          <w:rFonts w:ascii="Times New Roman" w:hAnsi="Times New Roman" w:cs="Times New Roman" w:eastAsia="Times New Roman"/>
          <w:b w:val="0"/>
          <w:i w:val="0"/>
          <w:sz w:val="26"/>
        </w:rPr>
        <w:t>Trong Quý I năm 2026, Sở Giáo dục và Đào tạo đã ban hành đầy đủ các văn bản chỉ đạo triển khai nhiệm vụ học kỳ II năm học 2025-2026; tổ chức quán triệt sâu rộng tới các đơn vị trực thuộc; phối hợp chặt chẽ với UBND các huyện, thành phố trong công tác quản lý, điều hành; thực hiện tốt công tác kiểm tra chuyên đề và đột xuất.</w:t>
      </w:r>
    </w:p>
    <w:p>
      <w:pPr>
        <w:jc w:val="left"/>
        <w:spacing w:before="120" w:after="40" w:line="240" w:lineRule="auto"/>
        <w:ind w:firstLine="623"/>
      </w:pPr>
      <w:r>
        <w:rPr>
          <w:rFonts w:ascii="Times New Roman" w:hAnsi="Times New Roman" w:cs="Times New Roman" w:eastAsia="Times New Roman"/>
          <w:b/>
          <w:i w:val="0"/>
          <w:sz w:val="26"/>
        </w:rPr>
        <w:t>2. Kết quả thực hiện các nhiệm vụ trọng tâm</w:t>
      </w:r>
    </w:p>
    <w:p>
      <w:pPr>
        <w:jc w:val="both"/>
        <w:spacing w:before="120" w:after="120" w:line="240" w:lineRule="auto"/>
        <w:ind w:firstLine="623"/>
      </w:pPr>
      <w:r>
        <w:rPr>
          <w:rFonts w:ascii="Times New Roman" w:hAnsi="Times New Roman" w:cs="Times New Roman" w:eastAsia="Times New Roman"/>
          <w:b w:val="0"/>
          <w:i w:val="0"/>
          <w:sz w:val="26"/>
          <w:spacing w:val="-2"/>
        </w:rPr>
        <w:t>Hoàn thành tổ chức kỳ thi chọn học sinh giỏi cấp tỉnh năm học 2025-2026 với 12 môn học, có 2.150 học sinh dự thi. Triển khai đại trà học bạ điện tử ở 100% trường phổ thông, kết nối liên thông với hệ thống cơ sở dữ liệu ngành. Tổ chức thành công Hội thi giáo viên dạy giỏi cấp tỉnh bậc tiểu học. Công tác bồi dưỡng giáo viên thực hiện Chương trình giáo dục phổ thông 2018 tiếp tục được đẩy mạnh.</w:t>
      </w:r>
    </w:p>
    <w:p>
      <w:pPr>
        <w:jc w:val="left"/>
        <w:spacing w:before="120" w:after="40" w:line="240" w:lineRule="auto"/>
        <w:ind w:firstLine="623"/>
      </w:pPr>
      <w:r>
        <w:rPr>
          <w:rFonts w:ascii="Times New Roman" w:hAnsi="Times New Roman" w:cs="Times New Roman" w:eastAsia="Times New Roman"/>
          <w:b/>
          <w:i w:val="0"/>
          <w:sz w:val="26"/>
        </w:rPr>
        <w:t>II. ĐÁNH GIÁ CHUNG</w:t>
      </w:r>
    </w:p>
    <w:p>
      <w:pPr>
        <w:jc w:val="left"/>
        <w:spacing w:before="120" w:after="40" w:line="240" w:lineRule="auto"/>
        <w:ind w:firstLine="623"/>
      </w:pPr>
      <w:r>
        <w:rPr>
          <w:rFonts w:ascii="Times New Roman" w:hAnsi="Times New Roman" w:cs="Times New Roman" w:eastAsia="Times New Roman"/>
          <w:b/>
          <w:i w:val="0"/>
          <w:sz w:val="26"/>
        </w:rPr>
        <w:t>1. Ưu điểm</w:t>
      </w:r>
    </w:p>
    <w:p>
      <w:pPr>
        <w:jc w:val="both"/>
        <w:spacing w:before="120" w:after="120" w:line="240" w:lineRule="auto"/>
        <w:ind w:firstLine="623"/>
      </w:pPr>
      <w:r>
        <w:rPr>
          <w:rFonts w:ascii="Times New Roman" w:hAnsi="Times New Roman" w:cs="Times New Roman" w:eastAsia="Times New Roman"/>
          <w:b w:val="0"/>
          <w:i w:val="0"/>
          <w:sz w:val="26"/>
        </w:rPr>
        <w:t>Công tác lãnh đạo, chỉ đạo bám sát chương trình công tác và kịp thời tháo gỡ vướng mắc tại cơ sở. Đội ngũ cán bộ, giáo viên ổn định, có ý thức học tập, bồi dưỡng nâng cao chuyên môn nghiệp vụ. Việc ứng dụng công nghệ thông tin trong dạy học và quản lý giáo dục được đẩy mạnh.</w:t>
      </w:r>
    </w:p>
    <w:p>
      <w:pPr>
        <w:jc w:val="left"/>
        <w:spacing w:before="120" w:after="40" w:line="240" w:lineRule="auto"/>
        <w:ind w:firstLine="623"/>
      </w:pPr>
      <w:r>
        <w:rPr>
          <w:rFonts w:ascii="Times New Roman" w:hAnsi="Times New Roman" w:cs="Times New Roman" w:eastAsia="Times New Roman"/>
          <w:b/>
          <w:i w:val="0"/>
          <w:sz w:val="26"/>
        </w:rPr>
        <w:t>2. Hạn chế, tồn tại</w:t>
      </w:r>
    </w:p>
    <w:p>
      <w:pPr>
        <w:jc w:val="both"/>
        <w:spacing w:before="120" w:after="120" w:line="240" w:lineRule="auto"/>
        <w:ind w:firstLine="623"/>
      </w:pPr>
      <w:r>
        <w:rPr>
          <w:rFonts w:ascii="Times New Roman" w:hAnsi="Times New Roman" w:cs="Times New Roman" w:eastAsia="Times New Roman"/>
          <w:b w:val="0"/>
          <w:i w:val="0"/>
          <w:sz w:val="26"/>
          <w:spacing w:val="-2"/>
        </w:rPr>
        <w:t>Vẫn còn tình trạng thiếu giáo viên ở một số môn học, đặc biệt là Tin học, Tiếng Anh tại các xã vùng sâu, vùng xa. Cơ sở vật chất, trang thiết bị dạy học của một số trường còn thiếu so với yêu cầu Chương trình giáo dục phổ thông 2018.</w:t>
      </w:r>
    </w:p>
    <w:p>
      <w:pPr>
        <w:jc w:val="left"/>
        <w:spacing w:before="120" w:after="40" w:line="240" w:lineRule="auto"/>
        <w:ind w:firstLine="623"/>
      </w:pPr>
      <w:r>
        <w:rPr>
          <w:rFonts w:ascii="Times New Roman" w:hAnsi="Times New Roman" w:cs="Times New Roman" w:eastAsia="Times New Roman"/>
          <w:b/>
          <w:i w:val="0"/>
          <w:sz w:val="26"/>
        </w:rPr>
        <w:t>3. Nguyên nhân</w:t>
      </w:r>
    </w:p>
    <w:p>
      <w:pPr>
        <w:jc w:val="both"/>
        <w:spacing w:before="120" w:after="120" w:line="240" w:lineRule="auto"/>
        <w:ind w:firstLine="623"/>
      </w:pPr>
      <w:r>
        <w:rPr>
          <w:rFonts w:ascii="Times New Roman" w:hAnsi="Times New Roman" w:cs="Times New Roman" w:eastAsia="Times New Roman"/>
          <w:b w:val="0"/>
          <w:i w:val="0"/>
          <w:sz w:val="26"/>
        </w:rPr>
        <w:t>Nguyên nhân chủ quan do công tác dự báo nhu cầu giáo viên ở một số đơn vị chưa sát thực tế. Nguyên nhân khách quan do địa bàn rộng, nhiều xã miền núi đặc biệt khó khăn; nguồn ngân sách hạn chế.</w:t>
      </w:r>
    </w:p>
    <w:p>
      <w:pPr>
        <w:jc w:val="left"/>
        <w:spacing w:before="120" w:after="40" w:line="240" w:lineRule="auto"/>
        <w:ind w:firstLine="623"/>
      </w:pPr>
      <w:r>
        <w:rPr>
          <w:rFonts w:ascii="Times New Roman" w:hAnsi="Times New Roman" w:cs="Times New Roman" w:eastAsia="Times New Roman"/>
          <w:b/>
          <w:i w:val="0"/>
          <w:sz w:val="26"/>
        </w:rPr>
        <w:t>III. PHƯƠNG HƯỚNG, NHIỆM VỤ TRỌNG TÂM QUÝ II NĂM 2026</w:t>
      </w:r>
    </w:p>
    <w:p>
      <w:pPr>
        <w:jc w:val="both"/>
        <w:spacing w:before="120" w:after="120" w:line="240" w:lineRule="auto"/>
        <w:ind w:firstLine="623"/>
      </w:pPr>
      <w:r>
        <w:rPr>
          <w:rFonts w:ascii="Times New Roman" w:hAnsi="Times New Roman" w:cs="Times New Roman" w:eastAsia="Times New Roman"/>
          <w:b w:val="0"/>
          <w:i w:val="0"/>
          <w:sz w:val="26"/>
        </w:rPr>
        <w:t>Tập trung tổ chức tốt kỳ thi tốt nghiệp THPT năm 2026 và kỳ thi tuyển sinh vào lớp 10 năm học 2026-2027. Tiếp tục triển khai có hiệu quả Chương trình giáo dục phổ thông 2018 đối với các lớp cuối cấp. Khắc phục tình trạng thiếu giáo viên; rà soát, sắp xếp mạng lưới trường lớp phù hợp với điều kiện thực tế. Đẩy mạnh chuyển đổi số trong giáo dục.</w:t>
      </w:r>
    </w:p>
    <w:p>
      <w:pPr>
        <w:jc w:val="left"/>
        <w:spacing w:before="120" w:after="40" w:line="240" w:lineRule="auto"/>
        <w:ind w:firstLine="623"/>
      </w:pPr>
      <w:r>
        <w:rPr>
          <w:rFonts w:ascii="Times New Roman" w:hAnsi="Times New Roman" w:cs="Times New Roman" w:eastAsia="Times New Roman"/>
          <w:b/>
          <w:i w:val="0"/>
          <w:sz w:val="26"/>
        </w:rPr>
        <w:t>IV. ĐỀ XUẤT, KIẾN NGHỊ</w:t>
      </w:r>
    </w:p>
    <w:p>
      <w:pPr>
        <w:jc w:val="both"/>
        <w:spacing w:before="120" w:after="120" w:line="240" w:lineRule="auto"/>
        <w:ind w:firstLine="623"/>
      </w:pPr>
      <w:r>
        <w:rPr>
          <w:rFonts w:ascii="Times New Roman" w:hAnsi="Times New Roman" w:cs="Times New Roman" w:eastAsia="Times New Roman"/>
          <w:b w:val="0"/>
          <w:i w:val="0"/>
          <w:sz w:val="26"/>
        </w:rPr>
        <w:t>Đề nghị Bộ Giáo dục và Đào tạo tiếp tục hướng dẫn cụ thể về định mức giáo viên cho các môn học mới và cơ chế hợp đồng đối với giáo viên Tin học, Tiếng Anh ở vùng khó khăn. Đề nghị UBND tỉnh quan tâm bố trí ngân sách đầu tư cơ sở vật chất, trang thiết bị dạy học cho các trường còn thiếu, ưu tiên xã miền núi và vùng đặc biệt khó khăn.</w:t>
      </w:r>
    </w:p>
    <w:p>
      <w:pPr>
        <w:jc w:val="both"/>
        <w:spacing w:before="120" w:after="120" w:line="240" w:lineRule="auto"/>
        <w:ind w:firstLine="623"/>
      </w:pPr>
      <w:r>
        <w:rPr>
          <w:rFonts w:ascii="Times New Roman" w:hAnsi="Times New Roman" w:cs="Times New Roman" w:eastAsia="Times New Roman"/>
          <w:b w:val="0"/>
          <w:i w:val="0"/>
          <w:sz w:val="26"/>
          <w:spacing w:val="-2"/>
        </w:rPr>
        <w:t>Trên đây là báo cáo kết quả công tác Quý I năm 2026 và phương hướng, nhiệm vụ trọng tâm Quý II năm 2026 của Sở Giáo dục và Đào tạo, trân trọng báo cáo./.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left"/>
              <w:spacing w:before="0" w:after="0" w:line="240" w:lineRule="auto"/>
            </w:pPr>
            <w:r/>
            <w:r>
              <w:rPr>
                <w:rFonts w:ascii="Times New Roman" w:hAnsi="Times New Roman" w:cs="Times New Roman" w:eastAsia="Times New Roman"/>
                <w:b/>
                <w:i/>
                <w:sz w:val="22"/>
              </w:rPr>
              <w:t>Nơi nhận:</w:t>
            </w:r>
          </w:p>
          <w:p>
            <w:pPr>
              <w:jc w:val="left"/>
              <w:spacing w:before="0" w:after="0" w:line="240" w:lineRule="auto"/>
            </w:pPr>
            <w:r>
              <w:rPr>
                <w:rFonts w:ascii="Times New Roman" w:hAnsi="Times New Roman" w:cs="Times New Roman" w:eastAsia="Times New Roman"/>
                <w:b w:val="0"/>
                <w:i w:val="0"/>
                <w:sz w:val="22"/>
              </w:rPr>
              <w:t>- UBND tỉnh (b/c);</w:t>
            </w:r>
          </w:p>
          <w:p>
            <w:pPr>
              <w:jc w:val="left"/>
              <w:spacing w:before="0" w:after="0" w:line="240" w:lineRule="auto"/>
            </w:pPr>
            <w:r>
              <w:rPr>
                <w:rFonts w:ascii="Times New Roman" w:hAnsi="Times New Roman" w:cs="Times New Roman" w:eastAsia="Times New Roman"/>
                <w:b w:val="0"/>
                <w:i w:val="0"/>
                <w:sz w:val="22"/>
              </w:rPr>
              <w:t>- Bộ Giáo dục và Đào tạo (b/c);</w:t>
            </w:r>
          </w:p>
          <w:p>
            <w:pPr>
              <w:jc w:val="left"/>
              <w:spacing w:before="0" w:after="0" w:line="240" w:lineRule="auto"/>
            </w:pPr>
            <w:r>
              <w:rPr>
                <w:rFonts w:ascii="Times New Roman" w:hAnsi="Times New Roman" w:cs="Times New Roman" w:eastAsia="Times New Roman"/>
                <w:b w:val="0"/>
                <w:i w:val="0"/>
                <w:sz w:val="22"/>
              </w:rPr>
              <w:t>- Lãnh đạo Sở;</w:t>
            </w:r>
          </w:p>
          <w:p>
            <w:pPr>
              <w:jc w:val="left"/>
              <w:spacing w:before="0" w:after="0" w:line="240" w:lineRule="auto"/>
            </w:pPr>
            <w:r>
              <w:rPr>
                <w:rFonts w:ascii="Times New Roman" w:hAnsi="Times New Roman" w:cs="Times New Roman" w:eastAsia="Times New Roman"/>
                <w:b w:val="0"/>
                <w:i w:val="0"/>
                <w:sz w:val="22"/>
              </w:rPr>
              <w:t>- Các phòng, ban thuộc Sở;</w:t>
            </w:r>
          </w:p>
          <w:p>
            <w:pPr>
              <w:jc w:val="left"/>
              <w:spacing w:before="0" w:after="0" w:line="240" w:lineRule="auto"/>
            </w:pPr>
            <w:r>
              <w:rPr>
                <w:rFonts w:ascii="Times New Roman" w:hAnsi="Times New Roman" w:cs="Times New Roman" w:eastAsia="Times New Roman"/>
                <w:b w:val="0"/>
                <w:i w:val="0"/>
                <w:sz w:val="22"/>
              </w:rPr>
              <w:t>- Phòng GD&amp;ĐT các huyện, thành phố;</w:t>
            </w:r>
          </w:p>
          <w:p>
            <w:pPr>
              <w:jc w:val="left"/>
              <w:spacing w:before="0" w:after="0" w:line="240" w:lineRule="auto"/>
            </w:pPr>
            <w:r>
              <w:rPr>
                <w:rFonts w:ascii="Times New Roman" w:hAnsi="Times New Roman" w:cs="Times New Roman" w:eastAsia="Times New Roman"/>
                <w:b w:val="0"/>
                <w:i w:val="0"/>
                <w:sz w:val="22"/>
              </w:rPr>
              <w:t>- Lưu: VT, VP.</w:t>
            </w:r>
          </w:p>
        </w:tc>
        <w:tc>
          <w:tcPr>
            <w:tcW w:type="dxa" w:w="4536"/>
          </w:tcPr>
          <w:p>
            <w:pPr>
              <w:jc w:val="center"/>
              <w:spacing w:before="0" w:after="0" w:line="240" w:lineRule="auto"/>
            </w:pPr>
            <w:r/>
            <w:r>
              <w:rPr>
                <w:rFonts w:ascii="Times New Roman" w:hAnsi="Times New Roman" w:cs="Times New Roman" w:eastAsia="Times New Roman"/>
                <w:b/>
                <w:i w:val="0"/>
                <w:sz w:val="26"/>
              </w:rPr>
              <w:t>GIÁM ĐỐC</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eastAsia="Times New Roman"/>
                <w:b/>
                <w:i w:val="0"/>
                <w:sz w:val="26"/>
              </w:rPr>
              <w:t>Vũ Đình Hưng</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