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left"/>
        <w:tblBorders>
          <w:top w:val="nil"/>
          <w:left w:val="nil"/>
          <w:bottom w:val="nil"/>
          <w:right w:val="nil"/>
          <w:insideH w:val="nil"/>
          <w:insideV w:val="nil"/>
        </w:tblBorders>
        <w:tblCellMar>
          <w:top w:w="0" w:type="dxa"/>
          <w:left w:w="0" w:type="dxa"/>
          <w:bottom w:w="0" w:type="dxa"/>
          <w:right w:w="0" w:type="dxa"/>
        </w:tblCellMar>
        <w:tblInd w:w="0" w:type="dxa"/>
      </w:tblPr>
      <w:tblGrid>
        <w:gridCol w:w="3685"/>
        <w:gridCol w:w="5386"/>
      </w:tblGrid>
      <w:tr>
        <w:tc>
          <w:tcPr>
            <w:tcW w:type="dxa" w:w="3685"/>
          </w:tcPr>
          <w:p>
            <w:pPr>
              <w:jc w:val="center"/>
              <w:spacing w:before="0" w:after="0" w:line="240" w:lineRule="auto"/>
            </w:pPr>
            <w:r/>
            <w:r>
              <w:rPr>
                <w:rFonts w:ascii="Times New Roman" w:hAnsi="Times New Roman" w:cs="Times New Roman" w:eastAsia="Times New Roman"/>
                <w:b w:val="0"/>
                <w:i w:val="0"/>
                <w:sz w:val="26"/>
              </w:rPr>
              <w:t>UBND TỈNH TUYÊN QUANG</w:t>
            </w:r>
          </w:p>
          <w:p>
            <w:pPr>
              <w:jc w:val="center"/>
              <w:spacing w:before="0" w:after="0" w:line="240" w:lineRule="auto"/>
            </w:pPr>
            <w:r>
              <w:rPr>
                <w:rFonts w:ascii="Times New Roman" w:hAnsi="Times New Roman" w:cs="Times New Roman" w:eastAsia="Times New Roman"/>
                <w:b/>
                <w:i w:val="0"/>
                <w:sz w:val="26"/>
              </w:rPr>
              <w:t>SỞ GIÁO DỤC VÀ ĐÀO TẠO</w:t>
            </w:r>
          </w:p>
          <w:p>
            <w:pPr>
              <w:jc w:val="center"/>
              <w:ind w:left="916" w:right="916"/>
              <w:spacing w:before="24" w:after="40" w:line="20" w:lineRule="exact"/>
              <w:pBdr>
                <w:top w:val="single" w:sz="4" w:space="0" w:color="000000"/>
              </w:pBdr>
            </w:pPr>
          </w:p>
        </w:tc>
        <w:tc>
          <w:tcPr>
            <w:tcW w:type="dxa" w:w="5386"/>
          </w:tcPr>
          <w:p>
            <w:pPr>
              <w:jc w:val="center"/>
              <w:spacing w:before="0" w:after="0" w:line="240" w:lineRule="auto"/>
            </w:pPr>
            <w:r>
              <w:rPr>
                <w:spacing w:val="-2"/>
              </w:rPr>
            </w:r>
            <w:r>
              <w:rPr>
                <w:rFonts w:ascii="Times New Roman" w:hAnsi="Times New Roman" w:cs="Times New Roman" w:eastAsia="Times New Roman"/>
                <w:b/>
                <w:i w:val="0"/>
                <w:sz w:val="26"/>
                <w:spacing w:val="-2"/>
              </w:rPr>
              <w:t>CỘNG HÒA XÃ HỘI CHỦ NGHĨA VIỆT NAM</w:t>
            </w:r>
          </w:p>
          <w:p>
            <w:pPr>
              <w:jc w:val="center"/>
              <w:spacing w:before="0" w:after="0" w:line="240" w:lineRule="auto"/>
            </w:pPr>
            <w:r>
              <w:rPr>
                <w:rFonts w:ascii="Times New Roman" w:hAnsi="Times New Roman" w:cs="Times New Roman" w:eastAsia="Times New Roman"/>
                <w:b/>
                <w:i w:val="0"/>
                <w:sz w:val="28"/>
              </w:rPr>
              <w:t>Độc lập - Tự do - Hạnh phúc</w:t>
            </w:r>
          </w:p>
          <w:p>
            <w:pPr>
              <w:jc w:val="center"/>
              <w:ind w:left="1162" w:right="1162"/>
              <w:spacing w:before="24" w:after="40" w:line="20" w:lineRule="exact"/>
              <w:pBdr>
                <w:top w:val="single" w:sz="4" w:space="0" w:color="000000"/>
              </w:pBdr>
            </w:pP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CellMar>
          <w:top w:w="0" w:type="dxa"/>
          <w:left w:w="0" w:type="dxa"/>
          <w:bottom w:w="0" w:type="dxa"/>
          <w:right w:w="0" w:type="dxa"/>
        </w:tblCellMar>
        <w:tblInd w:w="0" w:type="dxa"/>
      </w:tblPr>
      <w:tblGrid>
        <w:gridCol w:w="3685"/>
        <w:gridCol w:w="5386"/>
      </w:tblGrid>
      <w:tr>
        <w:tc>
          <w:tcPr>
            <w:tcW w:type="dxa" w:w="3685"/>
          </w:tcPr>
          <w:p>
            <w:pPr>
              <w:jc w:val="center"/>
              <w:spacing w:before="0" w:after="0" w:line="240" w:lineRule="auto"/>
            </w:pPr>
            <w:r/>
            <w:r>
              <w:rPr>
                <w:rFonts w:ascii="Times New Roman" w:hAnsi="Times New Roman" w:cs="Times New Roman" w:eastAsia="Times New Roman"/>
                <w:b w:val="0"/>
                <w:i w:val="0"/>
                <w:sz w:val="26"/>
              </w:rPr>
              <w:t>Số:        /SGDĐT-GDTrH</w:t>
            </w:r>
          </w:p>
          <w:p>
            <w:pPr>
              <w:jc w:val="center"/>
              <w:spacing w:before="0" w:after="0" w:line="240" w:lineRule="auto"/>
            </w:pPr>
            <w:r>
              <w:rPr>
                <w:rFonts w:ascii="Times New Roman" w:hAnsi="Times New Roman" w:cs="Times New Roman" w:eastAsia="Times New Roman"/>
                <w:b w:val="0"/>
                <w:i w:val="0"/>
                <w:sz w:val="26"/>
              </w:rPr>
              <w:t>V/v góp ý dự thảo Thông tư quy định về quản lý và sử dụng Học bạ số trong các cơ sở giáo dục phổ thông và cơ sở giáo dục thường xuyên</w:t>
            </w:r>
          </w:p>
        </w:tc>
        <w:tc>
          <w:tcPr>
            <w:tcW w:type="dxa" w:w="5386"/>
          </w:tcPr>
          <w:p>
            <w:pPr>
              <w:jc w:val="center"/>
              <w:spacing w:before="0" w:after="0" w:line="240" w:lineRule="auto"/>
            </w:pPr>
            <w:r/>
            <w:r>
              <w:rPr>
                <w:rFonts w:ascii="Times New Roman" w:hAnsi="Times New Roman" w:cs="Times New Roman" w:eastAsia="Times New Roman"/>
                <w:b w:val="0"/>
                <w:i/>
                <w:sz w:val="26"/>
              </w:rPr>
              <w:t>Tuyên Quang, ngày        tháng 05 năm 2026</w:t>
            </w:r>
          </w:p>
        </w:tc>
      </w:tr>
    </w:tbl>
    <w:p>
      <w:pPr>
        <w:jc w:val="center"/>
        <w:spacing w:before="120" w:after="120" w:line="360" w:lineRule="auto"/>
      </w:pPr>
      <w:r>
        <w:rPr>
          <w:rFonts w:ascii="Times New Roman" w:hAnsi="Times New Roman" w:cs="Times New Roman" w:eastAsia="Times New Roman"/>
          <w:b w:val="0"/>
          <w:i w:val="0"/>
          <w:sz w:val="26"/>
        </w:rPr>
        <w:t>Kính gửi: Bộ Giáo dục và Đào tạo</w:t>
      </w:r>
    </w:p>
    <w:p>
      <w:pPr>
        <w:jc w:val="both"/>
        <w:spacing w:before="120" w:after="120" w:line="240" w:lineRule="auto"/>
        <w:ind w:firstLine="623"/>
      </w:pPr>
      <w:r>
        <w:rPr>
          <w:rFonts w:ascii="Times New Roman" w:hAnsi="Times New Roman" w:cs="Times New Roman" w:eastAsia="Times New Roman"/>
          <w:b w:val="0"/>
          <w:i w:val="0"/>
          <w:sz w:val="26"/>
          <w:spacing w:val="-2"/>
        </w:rPr>
        <w:t>Thực hiện Công văn số 2250/BGDĐT-GDPT ngày 29/4/2026 của Bộ Giáo dục và Đào tạo về việc góp ý dự thảo Thông tư quy định về quản lý và sử dụng Học bạ số.</w:t>
      </w:r>
    </w:p>
    <w:p>
      <w:pPr>
        <w:jc w:val="both"/>
        <w:spacing w:before="120" w:after="120" w:line="240" w:lineRule="auto"/>
        <w:ind w:firstLine="623"/>
      </w:pPr>
      <w:r>
        <w:rPr>
          <w:rFonts w:ascii="Times New Roman" w:hAnsi="Times New Roman" w:cs="Times New Roman" w:eastAsia="Times New Roman"/>
          <w:b w:val="0"/>
          <w:i w:val="0"/>
          <w:sz w:val="26"/>
          <w:spacing w:val="-2"/>
        </w:rPr>
        <w:t>Sở Giáo dục và Đào tạo tỉnh Tuyên Quang đã tổ chức lấy ý kiến rộng rãi của 235 cán bộ quản lý, giáo viên, nhân viên các cơ sở giáo dục và cơ quan quản lý trên địa bàn. Sau khi nghiên cứu, Sở Giáo dục và Đào tạo có ý kiến góp ý như sau:</w:t>
      </w:r>
    </w:p>
    <w:p>
      <w:pPr>
        <w:jc w:val="left"/>
        <w:spacing w:before="120" w:after="40" w:line="240" w:lineRule="auto"/>
        <w:ind w:firstLine="623"/>
      </w:pPr>
      <w:r>
        <w:rPr>
          <w:rFonts w:ascii="Times New Roman" w:hAnsi="Times New Roman" w:cs="Times New Roman" w:eastAsia="Times New Roman"/>
          <w:b/>
          <w:i w:val="0"/>
          <w:sz w:val="26"/>
        </w:rPr>
        <w:t>1. Góp ý cụ thể từng điều</w:t>
      </w:r>
    </w:p>
    <w:p>
      <w:pPr>
        <w:jc w:val="both"/>
        <w:spacing w:before="120" w:after="120" w:line="240" w:lineRule="auto"/>
        <w:ind w:firstLine="623"/>
      </w:pPr>
      <w:r>
        <w:rPr>
          <w:rFonts w:ascii="Times New Roman" w:hAnsi="Times New Roman" w:cs="Times New Roman" w:eastAsia="Times New Roman"/>
          <w:b w:val="0"/>
          <w:i w:val="0"/>
          <w:sz w:val="26"/>
          <w:spacing w:val="-2"/>
        </w:rPr>
        <w:t>1.1. Tại Điều 4, khoản 3, điểm đ: đề nghị bỏ cụm từ "có điều kiện khai thác, sử dụng dữ liệu". Lý do: quy định này dẫn đến giá trị pháp lý của Học bạ số phụ thuộc vào điều kiện hạ tầng, không khả thi với các cơ sở giáo dục vùng khó khăn.</w:t>
      </w:r>
    </w:p>
    <w:p>
      <w:pPr>
        <w:jc w:val="both"/>
        <w:spacing w:before="120" w:after="120" w:line="240" w:lineRule="auto"/>
        <w:ind w:firstLine="623"/>
      </w:pPr>
      <w:r>
        <w:rPr>
          <w:rFonts w:ascii="Times New Roman" w:hAnsi="Times New Roman" w:cs="Times New Roman" w:eastAsia="Times New Roman"/>
          <w:b w:val="0"/>
          <w:i w:val="0"/>
          <w:sz w:val="26"/>
          <w:spacing w:val="-2"/>
        </w:rPr>
        <w:t>1.2. Tại Điều 7, khoản 1, điểm a: đề nghị bỏ cụm từ "Mã số hồ sơ học tập suốt đời (mã người học)" và sử dụng số định danh cá nhân. Lý do: số định danh cá nhân đã đầy đủ chức năng định danh duy nhất, không cần thêm mã song song.</w:t>
      </w:r>
    </w:p>
    <w:p>
      <w:pPr>
        <w:jc w:val="both"/>
        <w:spacing w:before="120" w:after="120" w:line="240" w:lineRule="auto"/>
        <w:ind w:firstLine="623"/>
      </w:pPr>
      <w:r>
        <w:rPr>
          <w:rFonts w:ascii="Times New Roman" w:hAnsi="Times New Roman" w:cs="Times New Roman" w:eastAsia="Times New Roman"/>
          <w:b w:val="0"/>
          <w:i w:val="0"/>
          <w:sz w:val="26"/>
        </w:rPr>
        <w:t>1.3. Tại Điều 11: đề nghị sửa cụm từ "yêu cầu chỉnh sửa" (thông tin trên Học bạ số) thành "đề nghị rà soát". Lý do: việc chỉnh sửa nội dung Học bạ phải qua quy trình thẩm định, không thể "yêu cầu" trực tiếp.</w:t>
      </w:r>
    </w:p>
    <w:p>
      <w:pPr>
        <w:jc w:val="both"/>
        <w:spacing w:before="120" w:after="120" w:line="240" w:lineRule="auto"/>
        <w:ind w:firstLine="623"/>
      </w:pPr>
      <w:r>
        <w:rPr>
          <w:rFonts w:ascii="Times New Roman" w:hAnsi="Times New Roman" w:cs="Times New Roman" w:eastAsia="Times New Roman"/>
          <w:b w:val="0"/>
          <w:i w:val="0"/>
          <w:sz w:val="26"/>
          <w:spacing w:val="-2"/>
        </w:rPr>
        <w:t>1.4. Tại Điều 17 và Điều 19 (về bảo mật, an toàn thông tin): đề nghị quy định theo nguyên tắc dẫn chiếu "thực hiện theo quy định của pháp luật về an toàn, an ninh mạng" thay vì liệt kê biện pháp cụ thể, để bảo đảm cập nhật theo công nghệ.</w:t>
      </w:r>
    </w:p>
    <w:p>
      <w:pPr>
        <w:jc w:val="both"/>
        <w:spacing w:before="120" w:after="120" w:line="240" w:lineRule="auto"/>
        <w:ind w:firstLine="623"/>
      </w:pPr>
      <w:r>
        <w:rPr>
          <w:rFonts w:ascii="Times New Roman" w:hAnsi="Times New Roman" w:cs="Times New Roman" w:eastAsia="Times New Roman"/>
          <w:b w:val="0"/>
          <w:i w:val="0"/>
          <w:sz w:val="26"/>
          <w:spacing w:val="-2"/>
        </w:rPr>
        <w:t>1.5. Tại các Điều 19, 20, 21 (về trách nhiệm tổ chức thực hiện): đề nghị phân định rõ hai nhóm trách nhiệm: (i) Quản lý chuyên môn (Bộ Giáo dục và Đào tạo, Sở Giáo dục và Đào tạo) và (ii) Vận hành kỹ thuật (đơn vị cung cấp hạ tầng).</w:t>
      </w:r>
    </w:p>
    <w:p>
      <w:pPr>
        <w:jc w:val="left"/>
        <w:spacing w:before="120" w:after="40" w:line="240" w:lineRule="auto"/>
        <w:ind w:firstLine="623"/>
      </w:pPr>
      <w:r>
        <w:rPr>
          <w:rFonts w:ascii="Times New Roman" w:hAnsi="Times New Roman" w:cs="Times New Roman" w:eastAsia="Times New Roman"/>
          <w:b/>
          <w:i w:val="0"/>
          <w:sz w:val="26"/>
        </w:rPr>
        <w:t>2. Đề xuất, kiến nghị</w:t>
      </w:r>
    </w:p>
    <w:p>
      <w:pPr>
        <w:jc w:val="both"/>
        <w:spacing w:before="120" w:after="120" w:line="240" w:lineRule="auto"/>
        <w:ind w:firstLine="623"/>
      </w:pPr>
      <w:r>
        <w:rPr>
          <w:rFonts w:ascii="Times New Roman" w:hAnsi="Times New Roman" w:cs="Times New Roman" w:eastAsia="Times New Roman"/>
          <w:b w:val="0"/>
          <w:i w:val="0"/>
          <w:sz w:val="26"/>
          <w:spacing w:val="-2"/>
        </w:rPr>
        <w:t>Để bảo đảm tính khả thi, đồng bộ và sớm hoàn thành lộ trình triển khai Học bạ số toàn quốc, Sở Giáo dục và Đào tạo tỉnh Tuyên Quang trân trọng đề nghị:</w:t>
      </w:r>
    </w:p>
    <w:p>
      <w:pPr>
        <w:jc w:val="both"/>
        <w:spacing w:before="120" w:after="120" w:line="240" w:lineRule="auto"/>
        <w:ind w:firstLine="623"/>
      </w:pPr>
      <w:r>
        <w:rPr>
          <w:rFonts w:ascii="Times New Roman" w:hAnsi="Times New Roman" w:cs="Times New Roman" w:eastAsia="Times New Roman"/>
          <w:b w:val="0"/>
          <w:i w:val="0"/>
          <w:sz w:val="26"/>
          <w:spacing w:val="-2"/>
        </w:rPr>
        <w:t>2.1. Sớm ban hành hướng dẫn số hóa học bạ giấy đối với học sinh chưa có Học bạ số ở các năm học, lớp học, cấp học trước (đặc biệt là học sinh đã tốt nghiệp THCS, THPT).</w:t>
      </w:r>
    </w:p>
    <w:p>
      <w:pPr>
        <w:jc w:val="both"/>
        <w:spacing w:before="120" w:after="120" w:line="240" w:lineRule="auto"/>
        <w:ind w:firstLine="623"/>
      </w:pPr>
      <w:r>
        <w:rPr>
          <w:rFonts w:ascii="Times New Roman" w:hAnsi="Times New Roman" w:cs="Times New Roman" w:eastAsia="Times New Roman"/>
          <w:b w:val="0"/>
          <w:i w:val="0"/>
          <w:sz w:val="26"/>
          <w:spacing w:val="-2"/>
        </w:rPr>
        <w:t>2.2. Phối hợp với Bộ Tài chính ban hành hướng dẫn đầy đủ, chi tiết về kinh phí thực hiện Học bạ số (nội dung chi và định mức chi đối với chữ ký số, lưu trữ, vận hành).</w:t>
      </w:r>
    </w:p>
    <w:p>
      <w:pPr>
        <w:jc w:val="both"/>
        <w:spacing w:before="120" w:after="120" w:line="240" w:lineRule="auto"/>
        <w:ind w:firstLine="623"/>
      </w:pPr>
      <w:r>
        <w:rPr>
          <w:rFonts w:ascii="Times New Roman" w:hAnsi="Times New Roman" w:cs="Times New Roman" w:eastAsia="Times New Roman"/>
          <w:b w:val="0"/>
          <w:i w:val="0"/>
          <w:sz w:val="26"/>
        </w:rPr>
        <w:t>2.3. Bổ sung trong Thông tư cơ chế phối hợp, hỗ trợ về chữ ký số, an toàn thông tin và bảo mật dữ liệu giữa các bên liên quan (Bộ Giáo dục và Đào tạo, Bộ Công an, đơn vị cung cấp hạ tầng, các cơ sở giáo dục).</w:t>
      </w:r>
    </w:p>
    <w:p>
      <w:pPr>
        <w:jc w:val="both"/>
        <w:spacing w:before="120" w:after="120" w:line="240" w:lineRule="auto"/>
        <w:ind w:firstLine="623"/>
      </w:pPr>
      <w:r>
        <w:rPr>
          <w:rFonts w:ascii="Times New Roman" w:hAnsi="Times New Roman" w:cs="Times New Roman" w:eastAsia="Times New Roman"/>
          <w:b w:val="0"/>
          <w:i w:val="0"/>
          <w:sz w:val="26"/>
        </w:rPr>
        <w:t>Sở Giáo dục và Đào tạo trân trọng kính gửi./.</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jc w:val="left"/>
              <w:spacing w:before="0" w:after="0" w:line="240" w:lineRule="auto"/>
            </w:pPr>
            <w:r/>
            <w:r>
              <w:rPr>
                <w:rFonts w:ascii="Times New Roman" w:hAnsi="Times New Roman" w:cs="Times New Roman" w:eastAsia="Times New Roman"/>
                <w:b/>
                <w:i/>
                <w:sz w:val="22"/>
              </w:rPr>
              <w:t>Nơi nhận:</w:t>
            </w:r>
          </w:p>
          <w:p>
            <w:pPr>
              <w:jc w:val="left"/>
              <w:spacing w:before="0" w:after="0" w:line="240" w:lineRule="auto"/>
            </w:pPr>
            <w:r>
              <w:rPr>
                <w:rFonts w:ascii="Times New Roman" w:hAnsi="Times New Roman" w:cs="Times New Roman" w:eastAsia="Times New Roman"/>
                <w:b w:val="0"/>
                <w:i w:val="0"/>
                <w:sz w:val="22"/>
              </w:rPr>
              <w:t>- Như trên;</w:t>
            </w:r>
          </w:p>
          <w:p>
            <w:pPr>
              <w:jc w:val="left"/>
              <w:spacing w:before="0" w:after="0" w:line="240" w:lineRule="auto"/>
            </w:pPr>
            <w:r>
              <w:rPr>
                <w:rFonts w:ascii="Times New Roman" w:hAnsi="Times New Roman" w:cs="Times New Roman" w:eastAsia="Times New Roman"/>
                <w:b w:val="0"/>
                <w:i w:val="0"/>
                <w:sz w:val="22"/>
              </w:rPr>
              <w:t>- Lãnh đạo Sở GDĐT;</w:t>
            </w:r>
          </w:p>
          <w:p>
            <w:pPr>
              <w:jc w:val="left"/>
              <w:spacing w:before="0" w:after="0" w:line="240" w:lineRule="auto"/>
            </w:pPr>
            <w:r>
              <w:rPr>
                <w:rFonts w:ascii="Times New Roman" w:hAnsi="Times New Roman" w:cs="Times New Roman" w:eastAsia="Times New Roman"/>
                <w:b w:val="0"/>
                <w:i w:val="0"/>
                <w:sz w:val="22"/>
              </w:rPr>
              <w:t>- Lưu: VT, GDTrH.</w:t>
            </w:r>
          </w:p>
        </w:tc>
        <w:tc>
          <w:tcPr>
            <w:tcW w:type="dxa" w:w="4536"/>
          </w:tcPr>
          <w:p>
            <w:pPr>
              <w:jc w:val="center"/>
              <w:spacing w:before="0" w:after="0" w:line="240" w:lineRule="auto"/>
            </w:pPr>
            <w:r/>
            <w:r>
              <w:rPr>
                <w:rFonts w:ascii="Times New Roman" w:hAnsi="Times New Roman" w:cs="Times New Roman" w:eastAsia="Times New Roman"/>
                <w:b/>
                <w:i w:val="0"/>
                <w:sz w:val="26"/>
              </w:rPr>
              <w:t>KT. GIÁM ĐỐC</w:t>
            </w:r>
          </w:p>
          <w:p>
            <w:pPr>
              <w:jc w:val="center"/>
              <w:spacing w:before="0" w:after="0" w:line="240" w:lineRule="auto"/>
            </w:pPr>
            <w:r>
              <w:rPr>
                <w:rFonts w:ascii="Times New Roman" w:hAnsi="Times New Roman" w:cs="Times New Roman" w:eastAsia="Times New Roman"/>
                <w:b/>
                <w:i w:val="0"/>
                <w:sz w:val="26"/>
              </w:rPr>
              <w:t>PHÓ GIÁM ĐỐC</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jc w:val="center"/>
              <w:spacing w:before="0" w:after="0" w:line="240" w:lineRule="auto"/>
            </w:pPr>
            <w:r>
              <w:rPr>
                <w:rFonts w:ascii="Times New Roman" w:hAnsi="Times New Roman" w:cs="Times New Roman" w:eastAsia="Times New Roman"/>
                <w:b/>
                <w:i w:val="0"/>
                <w:sz w:val="26"/>
              </w:rPr>
              <w:t>Đinh Thế Hiệp</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