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186C7F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  <w:keepLines/>
            </w:pPr>
            <w:r>
              <w:rPr>
                <w:rFonts w:ascii="Aptos" w:hAnsi="Aptos"/>
                <w:b/>
                <w:color w:val="FFFFFF"/>
                <w:sz w:val="32"/>
              </w:rPr>
              <w:t>BIENESTAR VIBRACIONAL  |  WIBindex</w:t>
            </w:r>
          </w:p>
        </w:tc>
      </w:tr>
    </w:tbl>
    <w:p/>
    <w:p>
      <w:pPr>
        <w:spacing w:before="280" w:after="100" w:line="240" w:lineRule="auto"/>
        <w:jc w:val="center"/>
      </w:pPr>
      <w:r>
        <w:rPr>
          <w:rFonts w:ascii="Aptos" w:hAnsi="Aptos"/>
          <w:b/>
          <w:color w:val="F299A3"/>
          <w:sz w:val="36"/>
        </w:rPr>
        <w:t>PROTOCOLO PILOTO</w:t>
      </w:r>
    </w:p>
    <w:p>
      <w:pPr>
        <w:spacing w:before="0" w:after="140" w:line="240" w:lineRule="auto"/>
        <w:jc w:val="center"/>
      </w:pPr>
      <w:r>
        <w:rPr>
          <w:rFonts w:ascii="Aptos" w:hAnsi="Aptos"/>
          <w:b/>
          <w:color w:val="0E4F5D"/>
          <w:sz w:val="58"/>
        </w:rPr>
        <w:t>Coherencia Social y</w:t>
        <w:br/>
        <w:t>Regulación Vibroacústica</w:t>
      </w:r>
    </w:p>
    <w:p>
      <w:pPr>
        <w:spacing w:before="0" w:after="360" w:line="259" w:lineRule="auto"/>
        <w:jc w:val="center"/>
      </w:pPr>
      <w:r>
        <w:rPr>
          <w:rFonts w:ascii="Aptos" w:hAnsi="Aptos"/>
          <w:i/>
          <w:color w:val="186C7F"/>
          <w:sz w:val="30"/>
        </w:rPr>
        <w:t>Guía operativa para los grupos A, B y 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</w:trPr>
        <w:tc>
          <w:tcPr>
            <w:tcW w:type="dxa" w:w="3175"/>
            <w:shd w:fill="C4E4E7"/>
            <w:tcMar>
              <w:top w:w="180" w:type="dxa"/>
              <w:start w:w="120" w:type="dxa"/>
              <w:bottom w:w="180" w:type="dxa"/>
              <w:end w:w="120" w:type="dxa"/>
            </w:tcMar>
            <w:tcBorders>
              <w:top w:val="single" w:sz="12" w:color="186C7F"/>
              <w:left w:val="single" w:sz="12" w:color="186C7F"/>
              <w:bottom w:val="single" w:sz="12" w:color="186C7F"/>
              <w:right w:val="single" w:sz="12" w:color="186C7F"/>
            </w:tcBorders>
          </w:tcPr>
          <w:p>
            <w:pPr>
              <w:spacing w:before="0" w:after="100" w:line="259" w:lineRule="auto"/>
              <w:jc w:val="center"/>
              <w:keepLines/>
            </w:pPr>
            <w:r>
              <w:rPr>
                <w:rFonts w:ascii="Aptos" w:hAnsi="Aptos"/>
                <w:b/>
                <w:color w:val="186C7F"/>
                <w:sz w:val="26"/>
              </w:rPr>
              <w:t>GRUPO A</w:t>
            </w:r>
          </w:p>
          <w:p>
            <w:pPr>
              <w:spacing w:before="0" w:after="0" w:line="259" w:lineRule="auto"/>
              <w:jc w:val="center"/>
              <w:keepLines/>
            </w:pPr>
            <w:r>
              <w:rPr>
                <w:rFonts w:ascii="Aptos" w:hAnsi="Aptos"/>
                <w:color w:val="1D2528"/>
                <w:sz w:val="20"/>
              </w:rPr>
              <w:t>Gong + respiración</w:t>
              <w:br/>
              <w:t>+ conexión interpersonal</w:t>
            </w:r>
          </w:p>
        </w:tc>
        <w:tc>
          <w:tcPr>
            <w:tcW w:type="dxa" w:w="3175"/>
            <w:shd w:fill="F7FBFB"/>
            <w:tcMar>
              <w:top w:w="180" w:type="dxa"/>
              <w:start w:w="120" w:type="dxa"/>
              <w:bottom w:w="180" w:type="dxa"/>
              <w:end w:w="120" w:type="dxa"/>
            </w:tcMar>
            <w:tcBorders>
              <w:top w:val="single" w:sz="12" w:color="186C7F"/>
              <w:left w:val="single" w:sz="12" w:color="186C7F"/>
              <w:bottom w:val="single" w:sz="12" w:color="186C7F"/>
              <w:right w:val="single" w:sz="12" w:color="186C7F"/>
            </w:tcBorders>
          </w:tcPr>
          <w:p>
            <w:pPr>
              <w:spacing w:before="0" w:after="100" w:line="259" w:lineRule="auto"/>
              <w:jc w:val="center"/>
              <w:keepLines/>
            </w:pPr>
            <w:r>
              <w:rPr>
                <w:rFonts w:ascii="Aptos" w:hAnsi="Aptos"/>
                <w:b/>
                <w:color w:val="186C7F"/>
                <w:sz w:val="26"/>
              </w:rPr>
              <w:t>GRUPO B</w:t>
            </w:r>
          </w:p>
          <w:p>
            <w:pPr>
              <w:spacing w:before="0" w:after="0" w:line="259" w:lineRule="auto"/>
              <w:jc w:val="center"/>
              <w:keepLines/>
            </w:pPr>
            <w:r>
              <w:rPr>
                <w:rFonts w:ascii="Aptos" w:hAnsi="Aptos"/>
                <w:color w:val="1D2528"/>
                <w:sz w:val="20"/>
              </w:rPr>
              <w:t>Gong + respiración</w:t>
              <w:br/>
              <w:t>sin dinámica social</w:t>
            </w:r>
          </w:p>
        </w:tc>
        <w:tc>
          <w:tcPr>
            <w:tcW w:type="dxa" w:w="3175"/>
            <w:shd w:fill="F9D3CA"/>
            <w:tcMar>
              <w:top w:w="180" w:type="dxa"/>
              <w:start w:w="120" w:type="dxa"/>
              <w:bottom w:w="180" w:type="dxa"/>
              <w:end w:w="120" w:type="dxa"/>
            </w:tcMar>
            <w:tcBorders>
              <w:top w:val="single" w:sz="12" w:color="F299A3"/>
              <w:left w:val="single" w:sz="12" w:color="F299A3"/>
              <w:bottom w:val="single" w:sz="12" w:color="F299A3"/>
              <w:right w:val="single" w:sz="12" w:color="F299A3"/>
            </w:tcBorders>
          </w:tcPr>
          <w:p>
            <w:pPr>
              <w:spacing w:before="0" w:after="100" w:line="259" w:lineRule="auto"/>
              <w:jc w:val="center"/>
              <w:keepLines/>
            </w:pPr>
            <w:r>
              <w:rPr>
                <w:rFonts w:ascii="Aptos" w:hAnsi="Aptos"/>
                <w:b/>
                <w:color w:val="F299A3"/>
                <w:sz w:val="26"/>
              </w:rPr>
              <w:t>GRUPO C</w:t>
            </w:r>
          </w:p>
          <w:p>
            <w:pPr>
              <w:spacing w:before="0" w:after="0" w:line="259" w:lineRule="auto"/>
              <w:jc w:val="center"/>
              <w:keepLines/>
            </w:pPr>
            <w:r>
              <w:rPr>
                <w:rFonts w:ascii="Aptos" w:hAnsi="Aptos"/>
                <w:color w:val="1D2528"/>
                <w:sz w:val="20"/>
              </w:rPr>
              <w:t>Reposo silencioso</w:t>
              <w:br/>
              <w:t>o audio neutral</w:t>
            </w:r>
          </w:p>
        </w:tc>
      </w:tr>
    </w:tbl>
    <w:p/>
    <w:p>
      <w:pPr>
        <w:spacing w:before="160" w:after="40" w:line="259" w:lineRule="auto"/>
        <w:jc w:val="center"/>
      </w:pPr>
      <w:r>
        <w:rPr>
          <w:rFonts w:ascii="Aptos" w:hAnsi="Aptos"/>
          <w:b/>
          <w:color w:val="4A5A5F"/>
          <w:sz w:val="22"/>
        </w:rPr>
        <w:t>Versión 1.0  |  22 de julio de 2026</w:t>
      </w:r>
    </w:p>
    <w:p>
      <w:pPr>
        <w:spacing w:before="0" w:after="320" w:line="259" w:lineRule="auto"/>
        <w:jc w:val="center"/>
      </w:pPr>
      <w:r>
        <w:rPr>
          <w:rFonts w:ascii="Aptos" w:hAnsi="Aptos"/>
          <w:i/>
          <w:color w:val="4A5A5F"/>
          <w:sz w:val="20"/>
        </w:rPr>
        <w:t>Uso previsto: investigación piloto, evaluación de factibilidad y generación de hipótesis.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9D3CA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single" w:sz="10" w:color="F299A3"/>
              <w:left w:val="single" w:sz="10" w:color="F299A3"/>
              <w:bottom w:val="single" w:sz="10" w:color="F299A3"/>
              <w:right w:val="single" w:sz="10" w:color="F299A3"/>
            </w:tcBorders>
          </w:tcPr>
          <w:p>
            <w:pPr>
              <w:spacing w:before="0" w:after="40" w:line="259" w:lineRule="auto"/>
              <w:keepLines/>
            </w:pPr>
            <w:r>
              <w:rPr>
                <w:rFonts w:ascii="Aptos" w:hAnsi="Aptos"/>
                <w:b/>
                <w:color w:val="F299A3"/>
                <w:sz w:val="24"/>
              </w:rPr>
              <w:t xml:space="preserve">! </w:t>
            </w:r>
            <w:r>
              <w:rPr>
                <w:rFonts w:ascii="Aptos" w:hAnsi="Aptos"/>
                <w:b/>
                <w:color w:val="F299A3"/>
                <w:sz w:val="22"/>
              </w:rPr>
              <w:t>Alcance y prudencia</w:t>
            </w:r>
          </w:p>
          <w:p>
            <w:pPr>
              <w:spacing w:before="0" w:after="0" w:line="259" w:lineRule="auto"/>
              <w:keepLines/>
            </w:pPr>
            <w:r>
              <w:rPr>
                <w:rFonts w:ascii="Aptos" w:hAnsi="Aptos"/>
                <w:color w:val="1D2528"/>
                <w:sz w:val="20"/>
              </w:rPr>
              <w:t>Este protocolo no constituye tratamiento médico ni demuestra activación o desactivación de circuitos cerebrales. El WIBindex y las lecturas GDV se utilizan como indicadores exploratorios; las conclusiones deben apoyarse en datos crudos, medidas autonómicas y autoinformes, con interpretación metodológicamente prudente.</w:t>
            </w:r>
          </w:p>
        </w:tc>
      </w:tr>
    </w:tbl>
    <w:p>
      <w:r/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</w:trPr>
        <w:tc>
          <w:tcPr>
            <w:tcW w:type="dxa" w:w="9866"/>
            <w:shd w:fill="186C7F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start w:w="150" w:type="dxa"/>
              <w:bottom w:w="90" w:type="dxa"/>
              <w:end w:w="150" w:type="dxa"/>
            </w:tcMar>
          </w:tcPr>
          <w:p>
            <w:pPr>
              <w:spacing w:before="0" w:after="0" w:line="259" w:lineRule="auto"/>
              <w:jc w:val="left"/>
              <w:keepLines/>
            </w:pPr>
            <w:r>
              <w:rPr>
                <w:rFonts w:ascii="Aptos" w:hAnsi="Aptos"/>
                <w:b/>
                <w:color w:val="FFFFFF"/>
                <w:sz w:val="25"/>
              </w:rPr>
              <w:t>RESUMEN EJECUTIVO</w:t>
            </w:r>
          </w:p>
        </w:tc>
      </w:tr>
    </w:tbl>
    <w:p>
      <w:pPr>
        <w:pStyle w:val="Title"/>
        <w:spacing w:before="40" w:after="100" w:line="240" w:lineRule="auto"/>
      </w:pPr>
      <w:r>
        <w:rPr>
          <w:rFonts w:ascii="Aptos" w:hAnsi="Aptos"/>
          <w:b/>
          <w:color w:val="0E4F5D"/>
          <w:sz w:val="52"/>
        </w:rPr>
        <w:t>Protocolo comparativo A/B/C</w:t>
      </w:r>
    </w:p>
    <w:p>
      <w:pPr>
        <w:spacing w:before="0" w:after="240" w:line="259" w:lineRule="auto"/>
      </w:pPr>
      <w:r>
        <w:rPr>
          <w:rFonts w:ascii="Aptos" w:hAnsi="Aptos"/>
          <w:i/>
          <w:color w:val="4A5A5F"/>
          <w:sz w:val="26"/>
        </w:rPr>
        <w:t>Del contexto social de seguridad a la regulación autonómica medible</w:t>
      </w:r>
    </w:p>
    <w:p>
      <w:pPr>
        <w:spacing w:before="0" w:after="120" w:line="269" w:lineRule="auto"/>
      </w:pPr>
      <w:r>
        <w:rPr>
          <w:rFonts w:ascii="Aptos" w:hAnsi="Aptos"/>
          <w:i w:val="0"/>
          <w:color w:val="1D2528"/>
          <w:sz w:val="21"/>
        </w:rPr>
        <w:t>El objetivo es evaluar si una experiencia grupal que combina respiración lenta, estimulación sonora con gong y una breve inducción de conexión interpersonal produce cambios distintos de: (a) la misma experiencia sin interacción social y (b) un control de reposo. El diseño permite separar, de manera exploratoria, el componente social del paquete respiración + gong.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871"/>
            <w:shd w:fill="186C7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  <w:keepLines/>
            </w:pPr>
            <w:r>
              <w:rPr>
                <w:rFonts w:ascii="Aptos" w:hAnsi="Aptos"/>
                <w:b/>
                <w:color w:val="FFFFFF"/>
                <w:sz w:val="19"/>
              </w:rPr>
              <w:t>Contraste</w:t>
            </w:r>
          </w:p>
        </w:tc>
        <w:tc>
          <w:tcPr>
            <w:tcW w:type="dxa" w:w="3515"/>
            <w:shd w:fill="186C7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  <w:keepLines/>
            </w:pPr>
            <w:r>
              <w:rPr>
                <w:rFonts w:ascii="Aptos" w:hAnsi="Aptos"/>
                <w:b/>
                <w:color w:val="FFFFFF"/>
                <w:sz w:val="19"/>
              </w:rPr>
              <w:t>Pregunta que responde</w:t>
            </w:r>
          </w:p>
        </w:tc>
        <w:tc>
          <w:tcPr>
            <w:tcW w:type="dxa" w:w="4252"/>
            <w:shd w:fill="186C7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  <w:keepLines/>
            </w:pPr>
            <w:r>
              <w:rPr>
                <w:rFonts w:ascii="Aptos" w:hAnsi="Aptos"/>
                <w:b/>
                <w:color w:val="FFFFFF"/>
                <w:sz w:val="19"/>
              </w:rPr>
              <w:t>Interpretación prudente</w:t>
            </w:r>
          </w:p>
        </w:tc>
      </w:tr>
      <w:tr>
        <w:trPr>
          <w:cantSplit/>
          <w:cantSplit/>
        </w:trPr>
        <w:tc>
          <w:tcPr>
            <w:tcW w:type="dxa" w:w="187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8"/>
              </w:rPr>
              <w:t>Grupo A vs. Grupo B</w:t>
            </w:r>
          </w:p>
        </w:tc>
        <w:tc>
          <w:tcPr>
            <w:tcW w:type="dxa" w:w="351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8"/>
              </w:rPr>
              <w:t>¿Agregar conexión interpersonal modifica el resultado?</w:t>
            </w:r>
          </w:p>
        </w:tc>
        <w:tc>
          <w:tcPr>
            <w:tcW w:type="dxa" w:w="425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8"/>
              </w:rPr>
              <w:t>Estimación del componente social completo: ser escuchado, reconocimiento y contexto de apoyo.</w:t>
            </w:r>
          </w:p>
        </w:tc>
      </w:tr>
      <w:tr>
        <w:trPr>
          <w:cantSplit/>
          <w:cantSplit/>
        </w:trPr>
        <w:tc>
          <w:tcPr>
            <w:tcW w:type="dxa" w:w="187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8"/>
              </w:rPr>
              <w:t>Grupo B vs. Grupo C</w:t>
            </w:r>
          </w:p>
        </w:tc>
        <w:tc>
          <w:tcPr>
            <w:tcW w:type="dxa" w:w="351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8"/>
              </w:rPr>
              <w:t>¿Respiración + gong supera al reposo?</w:t>
            </w:r>
          </w:p>
        </w:tc>
        <w:tc>
          <w:tcPr>
            <w:tcW w:type="dxa" w:w="425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8"/>
              </w:rPr>
              <w:t>Estimación conjunta del componente respiratorio y vibroacústico.</w:t>
            </w:r>
          </w:p>
        </w:tc>
      </w:tr>
      <w:tr>
        <w:trPr>
          <w:cantSplit/>
          <w:cantSplit/>
        </w:trPr>
        <w:tc>
          <w:tcPr>
            <w:tcW w:type="dxa" w:w="187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8"/>
              </w:rPr>
              <w:t>Grupo A vs. Grupo C</w:t>
            </w:r>
          </w:p>
        </w:tc>
        <w:tc>
          <w:tcPr>
            <w:tcW w:type="dxa" w:w="351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8"/>
              </w:rPr>
              <w:t>¿El paquete completo supera al control?</w:t>
            </w:r>
          </w:p>
        </w:tc>
        <w:tc>
          <w:tcPr>
            <w:tcW w:type="dxa" w:w="425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8"/>
              </w:rPr>
              <w:t>Efecto total exploratorio de conexión + respiración + gong.</w:t>
            </w:r>
          </w:p>
        </w:tc>
      </w:tr>
    </w:tbl>
    <w:p>
      <w:pPr>
        <w:pStyle w:val="Heading2"/>
        <w:keepNext/>
        <w:spacing w:before="140" w:after="80"/>
      </w:pPr>
      <w:r>
        <w:rPr>
          <w:rFonts w:ascii="Aptos" w:hAnsi="Aptos"/>
          <w:b/>
          <w:color w:val="186C7F"/>
          <w:sz w:val="27"/>
        </w:rPr>
        <w:t>Principio rector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C4E4E7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single" w:sz="10" w:color="186C7F"/>
              <w:left w:val="single" w:sz="10" w:color="186C7F"/>
              <w:bottom w:val="single" w:sz="10" w:color="186C7F"/>
              <w:right w:val="single" w:sz="10" w:color="186C7F"/>
            </w:tcBorders>
          </w:tcPr>
          <w:p>
            <w:pPr>
              <w:spacing w:before="0" w:after="40" w:line="259" w:lineRule="auto"/>
              <w:keepLines/>
            </w:pPr>
            <w:r>
              <w:rPr>
                <w:rFonts w:ascii="Aptos" w:hAnsi="Aptos"/>
                <w:b/>
                <w:color w:val="186C7F"/>
                <w:sz w:val="24"/>
              </w:rPr>
              <w:t xml:space="preserve">✓ </w:t>
            </w:r>
            <w:r>
              <w:rPr>
                <w:rFonts w:ascii="Aptos" w:hAnsi="Aptos"/>
                <w:b/>
                <w:color w:val="186C7F"/>
                <w:sz w:val="22"/>
              </w:rPr>
              <w:t>Cambiar una sola condición por vez</w:t>
            </w:r>
          </w:p>
          <w:p>
            <w:pPr>
              <w:spacing w:before="0" w:after="0" w:line="259" w:lineRule="auto"/>
              <w:keepLines/>
            </w:pPr>
            <w:r>
              <w:rPr>
                <w:rFonts w:ascii="Aptos" w:hAnsi="Aptos"/>
                <w:color w:val="1D2528"/>
                <w:sz w:val="20"/>
              </w:rPr>
              <w:t>Todos los grupos deben compartir la misma sala, duración, horario aproximado, evaluador, instrucciones iniciales, postura, secuencia de medición y tiempo de recuperación. Las diferencias se limitan a los componentes definidos para cada brazo.</w:t>
            </w:r>
          </w:p>
        </w:tc>
      </w:tr>
    </w:tbl>
    <w:p>
      <w:pPr>
        <w:pStyle w:val="Heading2"/>
        <w:keepNext/>
        <w:spacing w:before="140" w:after="80"/>
      </w:pPr>
      <w:r>
        <w:rPr>
          <w:rFonts w:ascii="Aptos" w:hAnsi="Aptos"/>
          <w:b/>
          <w:color w:val="186C7F"/>
          <w:sz w:val="27"/>
        </w:rPr>
        <w:t>Duración recomendada por participante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2268"/>
            <w:shd w:fill="186C7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  <w:keepLines/>
            </w:pPr>
            <w:r>
              <w:rPr>
                <w:rFonts w:ascii="Aptos" w:hAnsi="Aptos"/>
                <w:b/>
                <w:color w:val="FFFFFF"/>
                <w:sz w:val="19"/>
              </w:rPr>
              <w:t>Fase</w:t>
            </w:r>
          </w:p>
        </w:tc>
        <w:tc>
          <w:tcPr>
            <w:tcW w:type="dxa" w:w="1361"/>
            <w:shd w:fill="186C7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  <w:keepLines/>
            </w:pPr>
            <w:r>
              <w:rPr>
                <w:rFonts w:ascii="Aptos" w:hAnsi="Aptos"/>
                <w:b/>
                <w:color w:val="FFFFFF"/>
                <w:sz w:val="19"/>
              </w:rPr>
              <w:t>Duración</w:t>
            </w:r>
          </w:p>
        </w:tc>
        <w:tc>
          <w:tcPr>
            <w:tcW w:type="dxa" w:w="6009"/>
            <w:shd w:fill="186C7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  <w:keepLines/>
            </w:pPr>
            <w:r>
              <w:rPr>
                <w:rFonts w:ascii="Aptos" w:hAnsi="Aptos"/>
                <w:b/>
                <w:color w:val="FFFFFF"/>
                <w:sz w:val="19"/>
              </w:rPr>
              <w:t>Contenido</w:t>
            </w:r>
          </w:p>
        </w:tc>
      </w:tr>
      <w:tr>
        <w:trPr>
          <w:cantSplit/>
          <w:cantSplit/>
        </w:trPr>
        <w:tc>
          <w:tcPr>
            <w:tcW w:type="dxa" w:w="22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8"/>
              </w:rPr>
              <w:t>Recepción y seguridad</w:t>
            </w:r>
          </w:p>
        </w:tc>
        <w:tc>
          <w:tcPr>
            <w:tcW w:type="dxa" w:w="13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8"/>
              </w:rPr>
              <w:t>10 min</w:t>
            </w:r>
          </w:p>
        </w:tc>
        <w:tc>
          <w:tcPr>
            <w:tcW w:type="dxa" w:w="600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8"/>
              </w:rPr>
              <w:t>Consentimiento, criterios de participación y registro de variables de contexto.</w:t>
            </w:r>
          </w:p>
        </w:tc>
      </w:tr>
      <w:tr>
        <w:trPr>
          <w:cantSplit/>
          <w:cantSplit/>
        </w:trPr>
        <w:tc>
          <w:tcPr>
            <w:tcW w:type="dxa" w:w="22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8"/>
              </w:rPr>
              <w:t>Acomodación basal</w:t>
            </w:r>
          </w:p>
        </w:tc>
        <w:tc>
          <w:tcPr>
            <w:tcW w:type="dxa" w:w="13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8"/>
              </w:rPr>
              <w:t>5 min</w:t>
            </w:r>
          </w:p>
        </w:tc>
        <w:tc>
          <w:tcPr>
            <w:tcW w:type="dxa" w:w="600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8"/>
              </w:rPr>
              <w:t>Reposo sentado, sin conversación ni teléfono.</w:t>
            </w:r>
          </w:p>
        </w:tc>
      </w:tr>
      <w:tr>
        <w:trPr>
          <w:cantSplit/>
          <w:cantSplit/>
        </w:trPr>
        <w:tc>
          <w:tcPr>
            <w:tcW w:type="dxa" w:w="22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8"/>
              </w:rPr>
              <w:t>Medición pre</w:t>
            </w:r>
          </w:p>
        </w:tc>
        <w:tc>
          <w:tcPr>
            <w:tcW w:type="dxa" w:w="13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8"/>
              </w:rPr>
              <w:t>15–20 min</w:t>
            </w:r>
          </w:p>
        </w:tc>
        <w:tc>
          <w:tcPr>
            <w:tcW w:type="dxa" w:w="600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8"/>
              </w:rPr>
              <w:t>Autoinforme, HRV/HeartMath y lectura GDV, siempre en el mismo orden.</w:t>
            </w:r>
          </w:p>
        </w:tc>
      </w:tr>
      <w:tr>
        <w:trPr>
          <w:cantSplit/>
          <w:cantSplit/>
        </w:trPr>
        <w:tc>
          <w:tcPr>
            <w:tcW w:type="dxa" w:w="22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8"/>
              </w:rPr>
              <w:t>Experiencia asignada</w:t>
            </w:r>
          </w:p>
        </w:tc>
        <w:tc>
          <w:tcPr>
            <w:tcW w:type="dxa" w:w="13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8"/>
              </w:rPr>
              <w:t>35 min</w:t>
            </w:r>
          </w:p>
        </w:tc>
        <w:tc>
          <w:tcPr>
            <w:tcW w:type="dxa" w:w="600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8"/>
              </w:rPr>
              <w:t>Protocolo A, B o C.</w:t>
            </w:r>
          </w:p>
        </w:tc>
      </w:tr>
      <w:tr>
        <w:trPr>
          <w:cantSplit/>
          <w:cantSplit/>
        </w:trPr>
        <w:tc>
          <w:tcPr>
            <w:tcW w:type="dxa" w:w="22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8"/>
              </w:rPr>
              <w:t>Medición post</w:t>
            </w:r>
          </w:p>
        </w:tc>
        <w:tc>
          <w:tcPr>
            <w:tcW w:type="dxa" w:w="13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8"/>
              </w:rPr>
              <w:t>15–20 min</w:t>
            </w:r>
          </w:p>
        </w:tc>
        <w:tc>
          <w:tcPr>
            <w:tcW w:type="dxa" w:w="600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8"/>
              </w:rPr>
              <w:t>Mismas medidas, respiración espontánea y evaluador idealmente ciego.</w:t>
            </w:r>
          </w:p>
        </w:tc>
      </w:tr>
      <w:tr>
        <w:trPr>
          <w:cantSplit/>
          <w:cantSplit/>
        </w:trPr>
        <w:tc>
          <w:tcPr>
            <w:tcW w:type="dxa" w:w="22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8"/>
              </w:rPr>
              <w:t>Cierre y debrief</w:t>
            </w:r>
          </w:p>
        </w:tc>
        <w:tc>
          <w:tcPr>
            <w:tcW w:type="dxa" w:w="13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8"/>
              </w:rPr>
              <w:t>5 min</w:t>
            </w:r>
          </w:p>
        </w:tc>
        <w:tc>
          <w:tcPr>
            <w:tcW w:type="dxa" w:w="600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8"/>
              </w:rPr>
              <w:t>Chequeo de bienestar, información general y seguimiento.</w:t>
            </w:r>
          </w:p>
        </w:tc>
      </w:tr>
    </w:tbl>
    <w:p>
      <w:pPr>
        <w:spacing w:before="0" w:after="120" w:line="269" w:lineRule="auto"/>
      </w:pPr>
      <w:r>
        <w:rPr>
          <w:rFonts w:ascii="Aptos" w:hAnsi="Aptos"/>
          <w:i/>
          <w:color w:val="4A5A5F"/>
          <w:sz w:val="21"/>
        </w:rPr>
        <w:t>Tiempo total estimado: 85–95 minutos por participante o cohorte, según la velocidad de las mediciones.</w:t>
      </w:r>
    </w:p>
    <w:p>
      <w:pPr>
        <w:pStyle w:val="Heading2"/>
        <w:keepNext/>
        <w:spacing w:before="140" w:after="80"/>
      </w:pPr>
      <w:r>
        <w:rPr>
          <w:rFonts w:ascii="Aptos" w:hAnsi="Aptos"/>
          <w:b/>
          <w:color w:val="186C7F"/>
          <w:sz w:val="27"/>
        </w:rPr>
        <w:t>Contenido del documento</w:t>
      </w:r>
    </w:p>
    <w:p>
      <w:pPr>
        <w:pStyle w:val="ListBullet"/>
        <w:spacing w:before="0" w:after="60" w:line="259" w:lineRule="auto"/>
        <w:ind w:left="369" w:hanging="142"/>
      </w:pPr>
      <w:r>
        <w:rPr>
          <w:rFonts w:ascii="Aptos" w:hAnsi="Aptos"/>
          <w:color w:val="1D2528"/>
          <w:sz w:val="20"/>
        </w:rPr>
        <w:t>1. Fundamento, objetivos e hipótesis</w:t>
      </w:r>
    </w:p>
    <w:p>
      <w:pPr>
        <w:pStyle w:val="ListBullet"/>
        <w:spacing w:before="0" w:after="60" w:line="259" w:lineRule="auto"/>
        <w:ind w:left="369" w:hanging="142"/>
      </w:pPr>
      <w:r>
        <w:rPr>
          <w:rFonts w:ascii="Aptos" w:hAnsi="Aptos"/>
          <w:color w:val="1D2528"/>
          <w:sz w:val="20"/>
        </w:rPr>
        <w:t>2. Diseño, asignación y roles</w:t>
      </w:r>
    </w:p>
    <w:p>
      <w:pPr>
        <w:pStyle w:val="ListBullet"/>
        <w:spacing w:before="0" w:after="60" w:line="259" w:lineRule="auto"/>
        <w:ind w:left="369" w:hanging="142"/>
      </w:pPr>
      <w:r>
        <w:rPr>
          <w:rFonts w:ascii="Aptos" w:hAnsi="Aptos"/>
          <w:color w:val="1D2528"/>
          <w:sz w:val="20"/>
        </w:rPr>
        <w:t>3. Participantes, preparación y seguridad</w:t>
      </w:r>
    </w:p>
    <w:p>
      <w:pPr>
        <w:pStyle w:val="ListBullet"/>
        <w:spacing w:before="0" w:after="60" w:line="259" w:lineRule="auto"/>
        <w:ind w:left="369" w:hanging="142"/>
      </w:pPr>
      <w:r>
        <w:rPr>
          <w:rFonts w:ascii="Aptos" w:hAnsi="Aptos"/>
          <w:color w:val="1D2528"/>
          <w:sz w:val="20"/>
        </w:rPr>
        <w:t>4. Plan de mediciones y uso del WIBindex</w:t>
      </w:r>
    </w:p>
    <w:p>
      <w:pPr>
        <w:pStyle w:val="ListBullet"/>
        <w:spacing w:before="0" w:after="60" w:line="259" w:lineRule="auto"/>
        <w:ind w:left="369" w:hanging="142"/>
      </w:pPr>
      <w:r>
        <w:rPr>
          <w:rFonts w:ascii="Aptos" w:hAnsi="Aptos"/>
          <w:color w:val="1D2528"/>
          <w:sz w:val="20"/>
        </w:rPr>
        <w:t>5. Procedimiento común a los tres grupos</w:t>
      </w:r>
    </w:p>
    <w:p>
      <w:pPr>
        <w:pStyle w:val="ListBullet"/>
        <w:spacing w:before="0" w:after="60" w:line="259" w:lineRule="auto"/>
        <w:ind w:left="369" w:hanging="142"/>
      </w:pPr>
      <w:r>
        <w:rPr>
          <w:rFonts w:ascii="Aptos" w:hAnsi="Aptos"/>
          <w:color w:val="1D2528"/>
          <w:sz w:val="20"/>
        </w:rPr>
        <w:t>6. Guion operativo del Grupo A</w:t>
      </w:r>
    </w:p>
    <w:p>
      <w:pPr>
        <w:pStyle w:val="ListBullet"/>
        <w:spacing w:before="0" w:after="60" w:line="259" w:lineRule="auto"/>
        <w:ind w:left="369" w:hanging="142"/>
      </w:pPr>
      <w:r>
        <w:rPr>
          <w:rFonts w:ascii="Aptos" w:hAnsi="Aptos"/>
          <w:color w:val="1D2528"/>
          <w:sz w:val="20"/>
        </w:rPr>
        <w:t>7. Guion operativo del Grupo B</w:t>
      </w:r>
    </w:p>
    <w:p>
      <w:pPr>
        <w:pStyle w:val="ListBullet"/>
        <w:spacing w:before="0" w:after="60" w:line="259" w:lineRule="auto"/>
        <w:ind w:left="369" w:hanging="142"/>
      </w:pPr>
      <w:r>
        <w:rPr>
          <w:rFonts w:ascii="Aptos" w:hAnsi="Aptos"/>
          <w:color w:val="1D2528"/>
          <w:sz w:val="20"/>
        </w:rPr>
        <w:t>8. Guion operativo del Grupo C</w:t>
      </w:r>
    </w:p>
    <w:p>
      <w:pPr>
        <w:pStyle w:val="ListBullet"/>
        <w:spacing w:before="0" w:after="60" w:line="259" w:lineRule="auto"/>
        <w:ind w:left="369" w:hanging="142"/>
      </w:pPr>
      <w:r>
        <w:rPr>
          <w:rFonts w:ascii="Aptos" w:hAnsi="Aptos"/>
          <w:color w:val="1D2528"/>
          <w:sz w:val="20"/>
        </w:rPr>
        <w:t>9. Fidelidad, datos, análisis e interpretación</w:t>
      </w:r>
    </w:p>
    <w:p>
      <w:pPr>
        <w:pStyle w:val="ListBullet"/>
        <w:spacing w:before="0" w:after="60" w:line="259" w:lineRule="auto"/>
        <w:ind w:left="369" w:hanging="142"/>
      </w:pPr>
      <w:r>
        <w:rPr>
          <w:rFonts w:ascii="Aptos" w:hAnsi="Aptos"/>
          <w:color w:val="1D2528"/>
          <w:sz w:val="20"/>
        </w:rPr>
        <w:t>10. Anexos: checklists, fichas y seguimiento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</w:trPr>
        <w:tc>
          <w:tcPr>
            <w:tcW w:type="dxa" w:w="9866"/>
            <w:shd w:fill="186C7F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start w:w="150" w:type="dxa"/>
              <w:bottom w:w="90" w:type="dxa"/>
              <w:end w:w="150" w:type="dxa"/>
            </w:tcMar>
          </w:tcPr>
          <w:p>
            <w:pPr>
              <w:spacing w:before="0" w:after="0" w:line="259" w:lineRule="auto"/>
              <w:jc w:val="left"/>
              <w:keepLines/>
            </w:pPr>
            <w:r>
              <w:rPr>
                <w:rFonts w:ascii="Aptos" w:hAnsi="Aptos"/>
                <w:b/>
                <w:color w:val="FFFFFF"/>
                <w:sz w:val="25"/>
              </w:rPr>
              <w:t>1. FUNDAMENTO, OBJETIVOS E HIPÓTESIS</w:t>
            </w:r>
          </w:p>
        </w:tc>
      </w:tr>
    </w:tbl>
    <w:p>
      <w:pPr>
        <w:pStyle w:val="Heading1"/>
        <w:keepNext/>
        <w:spacing w:before="200" w:after="80"/>
      </w:pPr>
      <w:r>
        <w:rPr>
          <w:rFonts w:ascii="Aptos" w:hAnsi="Aptos"/>
          <w:b/>
          <w:color w:val="0E4F5D"/>
          <w:sz w:val="34"/>
        </w:rPr>
        <w:t>1.1 Pregunta central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C4E4E7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single" w:sz="10" w:color="186C7F"/>
              <w:left w:val="single" w:sz="10" w:color="186C7F"/>
              <w:bottom w:val="single" w:sz="10" w:color="186C7F"/>
              <w:right w:val="single" w:sz="10" w:color="186C7F"/>
            </w:tcBorders>
          </w:tcPr>
          <w:p>
            <w:pPr>
              <w:spacing w:before="0" w:after="40" w:line="259" w:lineRule="auto"/>
              <w:keepLines/>
            </w:pPr>
            <w:r>
              <w:rPr>
                <w:rFonts w:ascii="Aptos" w:hAnsi="Aptos"/>
                <w:b/>
                <w:color w:val="186C7F"/>
                <w:sz w:val="24"/>
              </w:rPr>
              <w:t xml:space="preserve">? </w:t>
            </w:r>
            <w:r>
              <w:rPr>
                <w:rFonts w:ascii="Aptos" w:hAnsi="Aptos"/>
                <w:b/>
                <w:color w:val="186C7F"/>
                <w:sz w:val="22"/>
              </w:rPr>
              <w:t>Pregunta de investigación</w:t>
            </w:r>
          </w:p>
          <w:p>
            <w:pPr>
              <w:spacing w:before="0" w:after="0" w:line="259" w:lineRule="auto"/>
              <w:keepLines/>
            </w:pPr>
            <w:r>
              <w:rPr>
                <w:rFonts w:ascii="Aptos" w:hAnsi="Aptos"/>
                <w:color w:val="1D2528"/>
                <w:sz w:val="20"/>
              </w:rPr>
              <w:t>¿Una experiencia grupal de sonido, respiración lenta y conexión interpersonal puede actuar como un contexto de seguridad social y generar cambios medibles en estrés percibido, conexión, coherencia cardíaca y variables exploratorias del WIBindex?</w:t>
            </w:r>
          </w:p>
        </w:tc>
      </w:tr>
    </w:tbl>
    <w:p>
      <w:pPr>
        <w:pStyle w:val="Heading2"/>
        <w:keepNext/>
        <w:spacing w:before="140" w:after="80"/>
      </w:pPr>
      <w:r>
        <w:rPr>
          <w:rFonts w:ascii="Aptos" w:hAnsi="Aptos"/>
          <w:b/>
          <w:color w:val="186C7F"/>
          <w:sz w:val="27"/>
        </w:rPr>
        <w:t>1.2 Fundamento conceptual</w:t>
      </w:r>
    </w:p>
    <w:p>
      <w:pPr>
        <w:spacing w:before="0" w:after="120" w:line="269" w:lineRule="auto"/>
      </w:pPr>
      <w:r>
        <w:rPr>
          <w:rFonts w:ascii="Aptos" w:hAnsi="Aptos"/>
          <w:i w:val="0"/>
          <w:color w:val="1D2528"/>
          <w:sz w:val="21"/>
        </w:rPr>
        <w:t>La investigación de Naomi Eisenberger y colaboradores estudia cómo el rechazo, el apoyo y las figuras de apego se relacionan con sistemas neurales y fisiológicos vinculados con amenaza, dolor y regulación. Este protocolo no intenta replicar neuroimagen. Traslada ese marco a una pregunta periférica y medible: si un contexto interpersonal de apoyo modifica respuestas autonómicas y subjetivas durante una experiencia vibroacústica.</w:t>
      </w:r>
    </w:p>
    <w:p>
      <w:pPr>
        <w:spacing w:before="0" w:after="120" w:line="269" w:lineRule="auto"/>
      </w:pPr>
      <w:r>
        <w:rPr>
          <w:rFonts w:ascii="Aptos" w:hAnsi="Aptos"/>
          <w:i w:val="0"/>
          <w:color w:val="1D2528"/>
          <w:sz w:val="21"/>
        </w:rPr>
        <w:t>La respiración lenta se incorpora como procedimiento estandarizado, sin retenciones ni hiperventilación. El gong se utiliza como estímulo acústico-vibracional definido por duración, intensidad y secuencia, evitando atribuciones causales no verificadas.</w:t>
      </w:r>
    </w:p>
    <w:p>
      <w:pPr>
        <w:pStyle w:val="Heading2"/>
        <w:keepNext/>
        <w:spacing w:before="140" w:after="80"/>
      </w:pPr>
      <w:r>
        <w:rPr>
          <w:rFonts w:ascii="Aptos" w:hAnsi="Aptos"/>
          <w:b/>
          <w:color w:val="186C7F"/>
          <w:sz w:val="27"/>
        </w:rPr>
        <w:t>1.3 Objetivo primario</w:t>
      </w:r>
    </w:p>
    <w:p>
      <w:pPr>
        <w:spacing w:before="0" w:after="120" w:line="269" w:lineRule="auto"/>
      </w:pPr>
      <w:r>
        <w:rPr>
          <w:rFonts w:ascii="Aptos" w:hAnsi="Aptos"/>
          <w:i w:val="0"/>
          <w:color w:val="1D2528"/>
          <w:sz w:val="21"/>
        </w:rPr>
        <w:t>Comparar el cambio pre–post entre los tres grupos en: estrés percibido, seguridad subjetiva, conexión social de estado y Coherence Score/HRV registrado con respiración espontánea.</w:t>
      </w:r>
    </w:p>
    <w:p>
      <w:pPr>
        <w:pStyle w:val="Heading2"/>
        <w:keepNext/>
        <w:spacing w:before="140" w:after="80"/>
      </w:pPr>
      <w:r>
        <w:rPr>
          <w:rFonts w:ascii="Aptos" w:hAnsi="Aptos"/>
          <w:b/>
          <w:color w:val="186C7F"/>
          <w:sz w:val="27"/>
        </w:rPr>
        <w:t>1.4 Objetivos exploratorios</w:t>
      </w:r>
    </w:p>
    <w:p>
      <w:pPr>
        <w:pStyle w:val="ListBullet"/>
        <w:spacing w:before="0" w:after="60" w:line="259" w:lineRule="auto"/>
        <w:ind w:left="369" w:hanging="142"/>
      </w:pPr>
      <w:r>
        <w:rPr>
          <w:rFonts w:ascii="Aptos" w:hAnsi="Aptos"/>
          <w:color w:val="1D2528"/>
          <w:sz w:val="20"/>
        </w:rPr>
        <w:t>Examinar cambios en energía, estrés y equilibrio/simetría registrados por GDV, conservando siempre los valores crudos.</w:t>
      </w:r>
    </w:p>
    <w:p>
      <w:pPr>
        <w:pStyle w:val="ListBullet"/>
        <w:spacing w:before="0" w:after="60" w:line="259" w:lineRule="auto"/>
        <w:ind w:left="369" w:hanging="142"/>
      </w:pPr>
      <w:r>
        <w:rPr>
          <w:rFonts w:ascii="Aptos" w:hAnsi="Aptos"/>
          <w:color w:val="1D2528"/>
          <w:sz w:val="20"/>
        </w:rPr>
        <w:t>Estimar la factibilidad del protocolo: reclutamiento, tolerancia, adherencia, datos válidos y fidelidad del facilitador.</w:t>
      </w:r>
    </w:p>
    <w:p>
      <w:pPr>
        <w:pStyle w:val="ListBullet"/>
        <w:spacing w:before="0" w:after="60" w:line="259" w:lineRule="auto"/>
        <w:ind w:left="369" w:hanging="142"/>
      </w:pPr>
      <w:r>
        <w:rPr>
          <w:rFonts w:ascii="Aptos" w:hAnsi="Aptos"/>
          <w:color w:val="1D2528"/>
          <w:sz w:val="20"/>
        </w:rPr>
        <w:t>Registrar la persistencia de los efectos subjetivos a las 24 horas y a los 7 días.</w:t>
      </w:r>
    </w:p>
    <w:p>
      <w:pPr>
        <w:pStyle w:val="ListBullet"/>
        <w:spacing w:before="0" w:after="60" w:line="259" w:lineRule="auto"/>
        <w:ind w:left="369" w:hanging="142"/>
      </w:pPr>
      <w:r>
        <w:rPr>
          <w:rFonts w:ascii="Aptos" w:hAnsi="Aptos"/>
          <w:color w:val="1D2528"/>
          <w:sz w:val="20"/>
        </w:rPr>
        <w:t>Identificar posibles moderadores: familiaridad entre participantes, expectativa, calidad de sueño, cafeína, medicación, sensibilidad sonora y experiencia previa con meditación o gong.</w:t>
      </w:r>
    </w:p>
    <w:p>
      <w:pPr>
        <w:pStyle w:val="Heading2"/>
        <w:keepNext/>
        <w:spacing w:before="140" w:after="80"/>
      </w:pPr>
      <w:r>
        <w:rPr>
          <w:rFonts w:ascii="Aptos" w:hAnsi="Aptos"/>
          <w:b/>
          <w:color w:val="186C7F"/>
          <w:sz w:val="27"/>
        </w:rPr>
        <w:t>1.5 Hipótesis preespecificadas</w:t>
      </w:r>
    </w:p>
    <w:p>
      <w:pPr>
        <w:spacing w:before="0" w:after="60" w:line="259" w:lineRule="auto"/>
        <w:ind w:left="425" w:hanging="312"/>
      </w:pPr>
      <w:r>
        <w:rPr>
          <w:rFonts w:ascii="Aptos" w:hAnsi="Aptos"/>
          <w:sz w:val="20"/>
        </w:rPr>
        <w:t>1. El Grupo A mostrará mayor aumento de seguridad y conexión social que el Grupo B.</w:t>
      </w:r>
    </w:p>
    <w:p>
      <w:pPr>
        <w:spacing w:before="0" w:after="60" w:line="259" w:lineRule="auto"/>
        <w:ind w:left="425" w:hanging="312"/>
      </w:pPr>
      <w:r>
        <w:rPr>
          <w:rFonts w:ascii="Aptos" w:hAnsi="Aptos"/>
          <w:sz w:val="20"/>
        </w:rPr>
        <w:t>2. El Grupo B mostrará mayor reducción de estrés y mayor cambio autonómico que el Grupo C.</w:t>
      </w:r>
    </w:p>
    <w:p>
      <w:pPr>
        <w:spacing w:before="0" w:after="60" w:line="259" w:lineRule="auto"/>
        <w:ind w:left="425" w:hanging="312"/>
      </w:pPr>
      <w:r>
        <w:rPr>
          <w:rFonts w:ascii="Aptos" w:hAnsi="Aptos"/>
          <w:sz w:val="20"/>
        </w:rPr>
        <w:t>3. El Grupo A mostrará el mayor cambio total frente al Grupo C.</w:t>
      </w:r>
    </w:p>
    <w:p>
      <w:pPr>
        <w:spacing w:before="0" w:after="60" w:line="259" w:lineRule="auto"/>
        <w:ind w:left="425" w:hanging="312"/>
      </w:pPr>
      <w:r>
        <w:rPr>
          <w:rFonts w:ascii="Aptos" w:hAnsi="Aptos"/>
          <w:sz w:val="20"/>
        </w:rPr>
        <w:t>4. Los cambios del WIBindex serán tratados como exploratorios y no como evidencia de mecanismo cerebral.</w:t>
      </w:r>
    </w:p>
    <w:p>
      <w:pPr>
        <w:pStyle w:val="Heading2"/>
        <w:keepNext/>
        <w:spacing w:before="140" w:after="80"/>
      </w:pPr>
      <w:r>
        <w:rPr>
          <w:rFonts w:ascii="Aptos" w:hAnsi="Aptos"/>
          <w:b/>
          <w:color w:val="186C7F"/>
          <w:sz w:val="27"/>
        </w:rPr>
        <w:t>1.6 Límites de inferencia</w:t>
      </w:r>
    </w:p>
    <w:p>
      <w:pPr>
        <w:pStyle w:val="ListBullet"/>
        <w:spacing w:before="0" w:after="60" w:line="259" w:lineRule="auto"/>
        <w:ind w:left="369" w:hanging="142"/>
      </w:pPr>
      <w:r>
        <w:rPr>
          <w:rFonts w:ascii="Aptos" w:hAnsi="Aptos"/>
          <w:color w:val="1D2528"/>
          <w:sz w:val="20"/>
        </w:rPr>
        <w:t>A vs. B no aísla una molécula causal: compara una experiencia interpersonal completa contra una experiencia individual.</w:t>
      </w:r>
    </w:p>
    <w:p>
      <w:pPr>
        <w:pStyle w:val="ListBullet"/>
        <w:spacing w:before="0" w:after="60" w:line="259" w:lineRule="auto"/>
        <w:ind w:left="369" w:hanging="142"/>
      </w:pPr>
      <w:r>
        <w:rPr>
          <w:rFonts w:ascii="Aptos" w:hAnsi="Aptos"/>
          <w:color w:val="1D2528"/>
          <w:sz w:val="20"/>
        </w:rPr>
        <w:t>B vs. C combina dos componentes —respiración y gong—; un estudio posterior debería separarlos mediante un diseño factorial.</w:t>
      </w:r>
    </w:p>
    <w:p>
      <w:pPr>
        <w:pStyle w:val="ListBullet"/>
        <w:spacing w:before="0" w:after="60" w:line="259" w:lineRule="auto"/>
        <w:ind w:left="369" w:hanging="142"/>
      </w:pPr>
      <w:r>
        <w:rPr>
          <w:rFonts w:ascii="Aptos" w:hAnsi="Aptos"/>
          <w:color w:val="1D2528"/>
          <w:sz w:val="20"/>
        </w:rPr>
        <w:t>El Coherence Score puede verse afectado por la forma de respirar. Por eso, la medición primaria pre y post se realiza sin pacer y con respiración espontánea.</w:t>
      </w:r>
    </w:p>
    <w:p>
      <w:pPr>
        <w:pStyle w:val="ListBullet"/>
        <w:spacing w:before="0" w:after="60" w:line="259" w:lineRule="auto"/>
        <w:ind w:left="369" w:hanging="142"/>
      </w:pPr>
      <w:r>
        <w:rPr>
          <w:rFonts w:ascii="Aptos" w:hAnsi="Aptos"/>
          <w:color w:val="1D2528"/>
          <w:sz w:val="20"/>
        </w:rPr>
        <w:t>La lectura GDV no debe presentarse como diagnóstico clínico, neuroimagen ni medición directa de órganos.</w:t>
      </w:r>
    </w:p>
    <w:p>
      <w:pPr>
        <w:pStyle w:val="ListBullet"/>
        <w:spacing w:before="0" w:after="60" w:line="259" w:lineRule="auto"/>
        <w:ind w:left="369" w:hanging="142"/>
      </w:pPr>
      <w:r>
        <w:rPr>
          <w:rFonts w:ascii="Aptos" w:hAnsi="Aptos"/>
          <w:color w:val="1D2528"/>
          <w:sz w:val="20"/>
        </w:rPr>
        <w:t>Un piloto estima factibilidad y tamaños de efecto; no confirma eficacia definitiva.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</w:trPr>
        <w:tc>
          <w:tcPr>
            <w:tcW w:type="dxa" w:w="9866"/>
            <w:shd w:fill="186C7F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start w:w="150" w:type="dxa"/>
              <w:bottom w:w="90" w:type="dxa"/>
              <w:end w:w="150" w:type="dxa"/>
            </w:tcMar>
          </w:tcPr>
          <w:p>
            <w:pPr>
              <w:spacing w:before="0" w:after="0" w:line="259" w:lineRule="auto"/>
              <w:jc w:val="left"/>
              <w:keepLines/>
            </w:pPr>
            <w:r>
              <w:rPr>
                <w:rFonts w:ascii="Aptos" w:hAnsi="Aptos"/>
                <w:b/>
                <w:color w:val="FFFFFF"/>
                <w:sz w:val="25"/>
              </w:rPr>
              <w:t>2. DISEÑO, ASIGNACIÓN Y ROLES</w:t>
            </w:r>
          </w:p>
        </w:tc>
      </w:tr>
    </w:tbl>
    <w:p>
      <w:pPr>
        <w:pStyle w:val="Heading1"/>
        <w:keepNext/>
        <w:spacing w:before="200" w:after="80"/>
      </w:pPr>
      <w:r>
        <w:rPr>
          <w:rFonts w:ascii="Aptos" w:hAnsi="Aptos"/>
          <w:b/>
          <w:color w:val="0E4F5D"/>
          <w:sz w:val="34"/>
        </w:rPr>
        <w:t>2.1 Diseño recomendado</w:t>
      </w:r>
    </w:p>
    <w:p>
      <w:pPr>
        <w:spacing w:before="0" w:after="120" w:line="269" w:lineRule="auto"/>
      </w:pPr>
      <w:r>
        <w:rPr>
          <w:rFonts w:ascii="Aptos" w:hAnsi="Aptos"/>
          <w:i w:val="0"/>
          <w:color w:val="1D2528"/>
          <w:sz w:val="21"/>
        </w:rPr>
        <w:t>Estudio piloto paralelo, con asignación aleatoria a tres brazos y mediciones pre, post inmediato, 24 horas y 7 días. La unidad de asignación puede ser el participante o la cohorte completa. Para evitar contaminación entre condiciones, se recomienda asignar por cohorte cuando los participantes comparten sala.</w:t>
      </w:r>
    </w:p>
    <w:p>
      <w:pPr>
        <w:pStyle w:val="Heading2"/>
        <w:keepNext/>
        <w:spacing w:before="140" w:after="80"/>
      </w:pPr>
      <w:r>
        <w:rPr>
          <w:rFonts w:ascii="Aptos" w:hAnsi="Aptos"/>
          <w:b/>
          <w:color w:val="186C7F"/>
          <w:sz w:val="27"/>
        </w:rPr>
        <w:t>2.2 Ocultamiento y expectativas</w:t>
      </w:r>
    </w:p>
    <w:p>
      <w:pPr>
        <w:pStyle w:val="ListBullet"/>
        <w:spacing w:before="0" w:after="60" w:line="259" w:lineRule="auto"/>
        <w:ind w:left="369" w:hanging="142"/>
      </w:pPr>
      <w:r>
        <w:rPr>
          <w:rFonts w:ascii="Aptos" w:hAnsi="Aptos"/>
          <w:color w:val="1D2528"/>
          <w:sz w:val="20"/>
        </w:rPr>
        <w:t>Presentar el estudio como una comparación de tres formatos de descanso y atención, sin afirmar que uno debería ser superior.</w:t>
      </w:r>
    </w:p>
    <w:p>
      <w:pPr>
        <w:pStyle w:val="ListBullet"/>
        <w:spacing w:before="0" w:after="60" w:line="259" w:lineRule="auto"/>
        <w:ind w:left="369" w:hanging="142"/>
      </w:pPr>
      <w:r>
        <w:rPr>
          <w:rFonts w:ascii="Aptos" w:hAnsi="Aptos"/>
          <w:color w:val="1D2528"/>
          <w:sz w:val="20"/>
        </w:rPr>
        <w:t>No revelar la hipótesis específica hasta finalizar la medición post.</w:t>
      </w:r>
    </w:p>
    <w:p>
      <w:pPr>
        <w:pStyle w:val="ListBullet"/>
        <w:spacing w:before="0" w:after="60" w:line="259" w:lineRule="auto"/>
        <w:ind w:left="369" w:hanging="142"/>
      </w:pPr>
      <w:r>
        <w:rPr>
          <w:rFonts w:ascii="Aptos" w:hAnsi="Aptos"/>
          <w:color w:val="1D2528"/>
          <w:sz w:val="20"/>
        </w:rPr>
        <w:t>Usar nombres neutros en la agenda: Condición A, B o C.</w:t>
      </w:r>
    </w:p>
    <w:p>
      <w:pPr>
        <w:pStyle w:val="ListBullet"/>
        <w:spacing w:before="0" w:after="60" w:line="259" w:lineRule="auto"/>
        <w:ind w:left="369" w:hanging="142"/>
      </w:pPr>
      <w:r>
        <w:rPr>
          <w:rFonts w:ascii="Aptos" w:hAnsi="Aptos"/>
          <w:color w:val="1D2528"/>
          <w:sz w:val="20"/>
        </w:rPr>
        <w:t>El evaluador que opera HRV/GDV no debería conocer la condición, siempre que la logística lo permita.</w:t>
      </w:r>
    </w:p>
    <w:p>
      <w:pPr>
        <w:pStyle w:val="ListBullet"/>
        <w:spacing w:before="0" w:after="60" w:line="259" w:lineRule="auto"/>
        <w:ind w:left="369" w:hanging="142"/>
      </w:pPr>
      <w:r>
        <w:rPr>
          <w:rFonts w:ascii="Aptos" w:hAnsi="Aptos"/>
          <w:color w:val="1D2528"/>
          <w:sz w:val="20"/>
        </w:rPr>
        <w:t>Aplicar una pregunta basal de expectativa: “¿Cuánto esperás que esta experiencia mejore tu estado en este momento?” de 0 a 10.</w:t>
      </w:r>
    </w:p>
    <w:p>
      <w:pPr>
        <w:pStyle w:val="Heading2"/>
        <w:keepNext/>
        <w:spacing w:before="140" w:after="80"/>
      </w:pPr>
      <w:r>
        <w:rPr>
          <w:rFonts w:ascii="Aptos" w:hAnsi="Aptos"/>
          <w:b/>
          <w:color w:val="186C7F"/>
          <w:sz w:val="27"/>
        </w:rPr>
        <w:t>2.3 Roles mínimos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701"/>
            <w:shd w:fill="186C7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  <w:keepLines/>
            </w:pPr>
            <w:r>
              <w:rPr>
                <w:rFonts w:ascii="Aptos" w:hAnsi="Aptos"/>
                <w:b/>
                <w:color w:val="FFFFFF"/>
                <w:sz w:val="18"/>
              </w:rPr>
              <w:t>Rol</w:t>
            </w:r>
          </w:p>
        </w:tc>
        <w:tc>
          <w:tcPr>
            <w:tcW w:type="dxa" w:w="4649"/>
            <w:shd w:fill="186C7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  <w:keepLines/>
            </w:pPr>
            <w:r>
              <w:rPr>
                <w:rFonts w:ascii="Aptos" w:hAnsi="Aptos"/>
                <w:b/>
                <w:color w:val="FFFFFF"/>
                <w:sz w:val="18"/>
              </w:rPr>
              <w:t>Responsabilidades</w:t>
            </w:r>
          </w:p>
        </w:tc>
        <w:tc>
          <w:tcPr>
            <w:tcW w:type="dxa" w:w="3288"/>
            <w:shd w:fill="186C7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  <w:keepLines/>
            </w:pPr>
            <w:r>
              <w:rPr>
                <w:rFonts w:ascii="Aptos" w:hAnsi="Aptos"/>
                <w:b/>
                <w:color w:val="FFFFFF"/>
                <w:sz w:val="18"/>
              </w:rPr>
              <w:t>No debe hacer</w:t>
            </w:r>
          </w:p>
        </w:tc>
      </w:tr>
      <w:tr>
        <w:trPr>
          <w:cantSplit/>
          <w:cantSplit/>
        </w:trPr>
        <w:tc>
          <w:tcPr>
            <w:tcW w:type="dxa" w:w="170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Coordinación</w:t>
            </w:r>
          </w:p>
        </w:tc>
        <w:tc>
          <w:tcPr>
            <w:tcW w:type="dxa" w:w="46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Randomización, consentimientos, agenda, seguridad y control de desviaciones.</w:t>
            </w:r>
          </w:p>
        </w:tc>
        <w:tc>
          <w:tcPr>
            <w:tcW w:type="dxa" w:w="32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Modificar el protocolo durante una cohorte sin registrarlo.</w:t>
            </w:r>
          </w:p>
        </w:tc>
      </w:tr>
      <w:tr>
        <w:trPr>
          <w:cantSplit/>
          <w:cantSplit/>
        </w:trPr>
        <w:tc>
          <w:tcPr>
            <w:tcW w:type="dxa" w:w="170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Facilitación</w:t>
            </w:r>
          </w:p>
        </w:tc>
        <w:tc>
          <w:tcPr>
            <w:tcW w:type="dxa" w:w="46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Leer el guion, controlar tiempos, administrar respiración/gong o control.</w:t>
            </w:r>
          </w:p>
        </w:tc>
        <w:tc>
          <w:tcPr>
            <w:tcW w:type="dxa" w:w="32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Interpretar resultados, inducir expectativas o realizar terapia durante la experiencia.</w:t>
            </w:r>
          </w:p>
        </w:tc>
      </w:tr>
      <w:tr>
        <w:trPr>
          <w:cantSplit/>
          <w:cantSplit/>
        </w:trPr>
        <w:tc>
          <w:tcPr>
            <w:tcW w:type="dxa" w:w="170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Evaluación</w:t>
            </w:r>
          </w:p>
        </w:tc>
        <w:tc>
          <w:tcPr>
            <w:tcW w:type="dxa" w:w="46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Aplicar autoinformes, HeartMath/HRV y GDV con SOP común.</w:t>
            </w:r>
          </w:p>
        </w:tc>
        <w:tc>
          <w:tcPr>
            <w:tcW w:type="dxa" w:w="32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Preguntar qué condición recibió antes de cerrar la medición post.</w:t>
            </w:r>
          </w:p>
        </w:tc>
      </w:tr>
      <w:tr>
        <w:trPr>
          <w:cantSplit/>
          <w:cantSplit/>
        </w:trPr>
        <w:tc>
          <w:tcPr>
            <w:tcW w:type="dxa" w:w="170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Datos</w:t>
            </w:r>
          </w:p>
        </w:tc>
        <w:tc>
          <w:tcPr>
            <w:tcW w:type="dxa" w:w="46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Codificación, control de calidad, base ciega y reporte de datos crudos.</w:t>
            </w:r>
          </w:p>
        </w:tc>
        <w:tc>
          <w:tcPr>
            <w:tcW w:type="dxa" w:w="32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Eliminar valores atípicos sin criterio predefinido.</w:t>
            </w:r>
          </w:p>
        </w:tc>
      </w:tr>
      <w:tr>
        <w:trPr>
          <w:cantSplit/>
          <w:cantSplit/>
        </w:trPr>
        <w:tc>
          <w:tcPr>
            <w:tcW w:type="dxa" w:w="170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Seguridad</w:t>
            </w:r>
          </w:p>
        </w:tc>
        <w:tc>
          <w:tcPr>
            <w:tcW w:type="dxa" w:w="46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Responder a malestar, aplicar criterios de interrupción y derivación.</w:t>
            </w:r>
          </w:p>
        </w:tc>
        <w:tc>
          <w:tcPr>
            <w:tcW w:type="dxa" w:w="32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Minimizar síntomas o presionar para continuar.</w:t>
            </w:r>
          </w:p>
        </w:tc>
      </w:tr>
    </w:tbl>
    <w:p>
      <w:pPr>
        <w:pStyle w:val="Heading2"/>
        <w:keepNext/>
        <w:spacing w:before="140" w:after="80"/>
      </w:pPr>
      <w:r>
        <w:rPr>
          <w:rFonts w:ascii="Aptos" w:hAnsi="Aptos"/>
          <w:b/>
          <w:color w:val="186C7F"/>
          <w:sz w:val="27"/>
        </w:rPr>
        <w:t>2.4 Variables ambientales obligatorias</w:t>
      </w:r>
    </w:p>
    <w:p>
      <w:pPr>
        <w:spacing w:before="0" w:after="40" w:line="259" w:lineRule="auto"/>
        <w:ind w:left="170"/>
      </w:pPr>
      <w:r>
        <w:rPr>
          <w:rFonts w:ascii="Aptos" w:hAnsi="Aptos"/>
          <w:color w:val="186C7F"/>
          <w:sz w:val="22"/>
        </w:rPr>
        <w:t xml:space="preserve">☐ </w:t>
      </w:r>
      <w:r>
        <w:rPr>
          <w:rFonts w:ascii="Aptos" w:hAnsi="Aptos"/>
          <w:color w:val="1D2528"/>
          <w:sz w:val="19"/>
        </w:rPr>
        <w:t>Sala, disposición, colchonetas/sillas y distancia entre participantes.</w:t>
      </w:r>
    </w:p>
    <w:p>
      <w:pPr>
        <w:spacing w:before="0" w:after="40" w:line="259" w:lineRule="auto"/>
        <w:ind w:left="170"/>
      </w:pPr>
      <w:r>
        <w:rPr>
          <w:rFonts w:ascii="Aptos" w:hAnsi="Aptos"/>
          <w:color w:val="186C7F"/>
          <w:sz w:val="22"/>
        </w:rPr>
        <w:t xml:space="preserve">☐ </w:t>
      </w:r>
      <w:r>
        <w:rPr>
          <w:rFonts w:ascii="Aptos" w:hAnsi="Aptos"/>
          <w:color w:val="1D2528"/>
          <w:sz w:val="19"/>
        </w:rPr>
        <w:t>Temperatura y humedad aproximadas; iluminación; ruido externo; horario.</w:t>
      </w:r>
    </w:p>
    <w:p>
      <w:pPr>
        <w:spacing w:before="0" w:after="40" w:line="259" w:lineRule="auto"/>
        <w:ind w:left="170"/>
      </w:pPr>
      <w:r>
        <w:rPr>
          <w:rFonts w:ascii="Aptos" w:hAnsi="Aptos"/>
          <w:color w:val="186C7F"/>
          <w:sz w:val="22"/>
        </w:rPr>
        <w:t xml:space="preserve">☐ </w:t>
      </w:r>
      <w:r>
        <w:rPr>
          <w:rFonts w:ascii="Aptos" w:hAnsi="Aptos"/>
          <w:color w:val="1D2528"/>
          <w:sz w:val="19"/>
        </w:rPr>
        <w:t>Modelo de gong, distancia al grupo, ubicación del instrumento y secuencia sonora.</w:t>
      </w:r>
    </w:p>
    <w:p>
      <w:pPr>
        <w:spacing w:before="0" w:after="40" w:line="259" w:lineRule="auto"/>
        <w:ind w:left="170"/>
      </w:pPr>
      <w:r>
        <w:rPr>
          <w:rFonts w:ascii="Aptos" w:hAnsi="Aptos"/>
          <w:color w:val="186C7F"/>
          <w:sz w:val="22"/>
        </w:rPr>
        <w:t xml:space="preserve">☐ </w:t>
      </w:r>
      <w:r>
        <w:rPr>
          <w:rFonts w:ascii="Aptos" w:hAnsi="Aptos"/>
          <w:color w:val="1D2528"/>
          <w:sz w:val="19"/>
        </w:rPr>
        <w:t>Nivel sonoro: registrar dB(A) promedio y pico cuando se disponga de sonómetro. Evitar picos abruptos.</w:t>
      </w:r>
    </w:p>
    <w:p>
      <w:pPr>
        <w:spacing w:before="0" w:after="40" w:line="259" w:lineRule="auto"/>
        <w:ind w:left="170"/>
      </w:pPr>
      <w:r>
        <w:rPr>
          <w:rFonts w:ascii="Aptos" w:hAnsi="Aptos"/>
          <w:color w:val="186C7F"/>
          <w:sz w:val="22"/>
        </w:rPr>
        <w:t xml:space="preserve">☐ </w:t>
      </w:r>
      <w:r>
        <w:rPr>
          <w:rFonts w:ascii="Aptos" w:hAnsi="Aptos"/>
          <w:color w:val="1D2528"/>
          <w:sz w:val="19"/>
        </w:rPr>
        <w:t>Mismo dispositivo, sensor, software, configuración y operador para las mediciones.</w:t>
      </w:r>
    </w:p>
    <w:p>
      <w:pPr>
        <w:spacing w:before="0" w:after="40" w:line="259" w:lineRule="auto"/>
        <w:ind w:left="170"/>
      </w:pPr>
      <w:r>
        <w:rPr>
          <w:rFonts w:ascii="Aptos" w:hAnsi="Aptos"/>
          <w:color w:val="186C7F"/>
          <w:sz w:val="22"/>
        </w:rPr>
        <w:t xml:space="preserve">☐ </w:t>
      </w:r>
      <w:r>
        <w:rPr>
          <w:rFonts w:ascii="Aptos" w:hAnsi="Aptos"/>
          <w:color w:val="1D2528"/>
          <w:sz w:val="19"/>
        </w:rPr>
        <w:t>Registrar fecha, facilitador, evaluador y cualquier interrupción.</w:t>
      </w:r>
    </w:p>
    <w:p>
      <w:pPr>
        <w:pStyle w:val="Heading2"/>
        <w:keepNext/>
        <w:spacing w:before="140" w:after="80"/>
      </w:pPr>
      <w:r>
        <w:rPr>
          <w:rFonts w:ascii="Aptos" w:hAnsi="Aptos"/>
          <w:b/>
          <w:color w:val="186C7F"/>
          <w:sz w:val="27"/>
        </w:rPr>
        <w:t>2.5 Preparación del facilitador</w:t>
      </w:r>
    </w:p>
    <w:p>
      <w:pPr>
        <w:spacing w:before="0" w:after="120" w:line="269" w:lineRule="auto"/>
      </w:pPr>
      <w:r>
        <w:rPr>
          <w:rFonts w:ascii="Aptos" w:hAnsi="Aptos"/>
          <w:i w:val="0"/>
          <w:color w:val="1D2528"/>
          <w:sz w:val="21"/>
        </w:rPr>
        <w:t>El facilitador debe practicar cada guion con cronómetro y completar al menos dos simulaciones. La voz debe ser estable, sin lenguaje terapéutico ni promesas. Las pausas, la duración del gong y la intensidad deben mantenerse dentro de márgenes definidos.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</w:trPr>
        <w:tc>
          <w:tcPr>
            <w:tcW w:type="dxa" w:w="9866"/>
            <w:shd w:fill="186C7F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start w:w="150" w:type="dxa"/>
              <w:bottom w:w="90" w:type="dxa"/>
              <w:end w:w="150" w:type="dxa"/>
            </w:tcMar>
          </w:tcPr>
          <w:p>
            <w:pPr>
              <w:spacing w:before="0" w:after="0" w:line="259" w:lineRule="auto"/>
              <w:jc w:val="left"/>
              <w:keepLines/>
            </w:pPr>
            <w:r>
              <w:rPr>
                <w:rFonts w:ascii="Aptos" w:hAnsi="Aptos"/>
                <w:b/>
                <w:color w:val="FFFFFF"/>
                <w:sz w:val="25"/>
              </w:rPr>
              <w:t>3. PARTICIPANTES, PREPARACIÓN Y SEGURIDAD</w:t>
            </w:r>
          </w:p>
        </w:tc>
      </w:tr>
    </w:tbl>
    <w:p>
      <w:pPr>
        <w:pStyle w:val="Heading1"/>
        <w:keepNext/>
        <w:spacing w:before="200" w:after="80"/>
      </w:pPr>
      <w:r>
        <w:rPr>
          <w:rFonts w:ascii="Aptos" w:hAnsi="Aptos"/>
          <w:b/>
          <w:color w:val="0E4F5D"/>
          <w:sz w:val="34"/>
        </w:rPr>
        <w:t>3.1 Criterios de inclusión sugeridos</w:t>
      </w:r>
    </w:p>
    <w:p>
      <w:pPr>
        <w:pStyle w:val="ListBullet"/>
        <w:spacing w:before="0" w:after="60" w:line="259" w:lineRule="auto"/>
        <w:ind w:left="369" w:hanging="142"/>
      </w:pPr>
      <w:r>
        <w:rPr>
          <w:rFonts w:ascii="Aptos" w:hAnsi="Aptos"/>
          <w:color w:val="1D2528"/>
          <w:sz w:val="20"/>
        </w:rPr>
        <w:t>Persona adulta capaz de comprender el estudio y consentir voluntariamente.</w:t>
      </w:r>
    </w:p>
    <w:p>
      <w:pPr>
        <w:pStyle w:val="ListBullet"/>
        <w:spacing w:before="0" w:after="60" w:line="259" w:lineRule="auto"/>
        <w:ind w:left="369" w:hanging="142"/>
      </w:pPr>
      <w:r>
        <w:rPr>
          <w:rFonts w:ascii="Aptos" w:hAnsi="Aptos"/>
          <w:color w:val="1D2528"/>
          <w:sz w:val="20"/>
        </w:rPr>
        <w:t>Capacidad para permanecer sentada o recostada durante aproximadamente 35 minutos.</w:t>
      </w:r>
    </w:p>
    <w:p>
      <w:pPr>
        <w:pStyle w:val="ListBullet"/>
        <w:spacing w:before="0" w:after="60" w:line="259" w:lineRule="auto"/>
        <w:ind w:left="369" w:hanging="142"/>
      </w:pPr>
      <w:r>
        <w:rPr>
          <w:rFonts w:ascii="Aptos" w:hAnsi="Aptos"/>
          <w:color w:val="1D2528"/>
          <w:sz w:val="20"/>
        </w:rPr>
        <w:t>Comprensión suficiente del idioma del guion y de las escalas.</w:t>
      </w:r>
    </w:p>
    <w:p>
      <w:pPr>
        <w:pStyle w:val="ListBullet"/>
        <w:spacing w:before="0" w:after="60" w:line="259" w:lineRule="auto"/>
        <w:ind w:left="369" w:hanging="142"/>
      </w:pPr>
      <w:r>
        <w:rPr>
          <w:rFonts w:ascii="Aptos" w:hAnsi="Aptos"/>
          <w:color w:val="1D2528"/>
          <w:sz w:val="20"/>
        </w:rPr>
        <w:t>Disponibilidad para completar la evaluación inmediata y los seguimientos.</w:t>
      </w:r>
    </w:p>
    <w:p>
      <w:pPr>
        <w:pStyle w:val="Heading2"/>
        <w:keepNext/>
        <w:spacing w:before="140" w:after="80"/>
      </w:pPr>
      <w:r>
        <w:rPr>
          <w:rFonts w:ascii="Aptos" w:hAnsi="Aptos"/>
          <w:b/>
          <w:color w:val="186C7F"/>
          <w:sz w:val="27"/>
        </w:rPr>
        <w:t>3.2 Exclusión o evaluación previa</w:t>
      </w:r>
    </w:p>
    <w:p>
      <w:pPr>
        <w:spacing w:before="0" w:after="120" w:line="269" w:lineRule="auto"/>
      </w:pPr>
      <w:r>
        <w:rPr>
          <w:rFonts w:ascii="Aptos" w:hAnsi="Aptos"/>
          <w:i w:val="0"/>
          <w:color w:val="1D2528"/>
          <w:sz w:val="21"/>
        </w:rPr>
        <w:t>Excluir o solicitar evaluación profesional previa cuando exista alguna de las siguientes situaciones:</w:t>
      </w:r>
    </w:p>
    <w:p>
      <w:pPr>
        <w:pStyle w:val="ListBullet"/>
        <w:spacing w:before="0" w:after="60" w:line="259" w:lineRule="auto"/>
        <w:ind w:left="369" w:hanging="142"/>
      </w:pPr>
      <w:r>
        <w:rPr>
          <w:rFonts w:ascii="Aptos" w:hAnsi="Aptos"/>
          <w:color w:val="1D2528"/>
          <w:sz w:val="20"/>
        </w:rPr>
        <w:t>Crisis médica o psiquiátrica aguda, intoxicación o incapacidad para consentir.</w:t>
      </w:r>
    </w:p>
    <w:p>
      <w:pPr>
        <w:pStyle w:val="ListBullet"/>
        <w:spacing w:before="0" w:after="60" w:line="259" w:lineRule="auto"/>
        <w:ind w:left="369" w:hanging="142"/>
      </w:pPr>
      <w:r>
        <w:rPr>
          <w:rFonts w:ascii="Aptos" w:hAnsi="Aptos"/>
          <w:color w:val="1D2528"/>
          <w:sz w:val="20"/>
        </w:rPr>
        <w:t>Dolor torácico reciente, síncope no evaluado, inestabilidad cardiopulmonar o indicación médica de evitar ejercicios respiratorios.</w:t>
      </w:r>
    </w:p>
    <w:p>
      <w:pPr>
        <w:pStyle w:val="ListBullet"/>
        <w:spacing w:before="0" w:after="60" w:line="259" w:lineRule="auto"/>
        <w:ind w:left="369" w:hanging="142"/>
      </w:pPr>
      <w:r>
        <w:rPr>
          <w:rFonts w:ascii="Aptos" w:hAnsi="Aptos"/>
          <w:color w:val="1D2528"/>
          <w:sz w:val="20"/>
        </w:rPr>
        <w:t>Hiperventilación o ataques de pánico desencadenados por ejercicios de respiración, sin estrategia de seguridad acordada.</w:t>
      </w:r>
    </w:p>
    <w:p>
      <w:pPr>
        <w:pStyle w:val="ListBullet"/>
        <w:spacing w:before="0" w:after="60" w:line="259" w:lineRule="auto"/>
        <w:ind w:left="369" w:hanging="142"/>
      </w:pPr>
      <w:r>
        <w:rPr>
          <w:rFonts w:ascii="Aptos" w:hAnsi="Aptos"/>
          <w:color w:val="1D2528"/>
          <w:sz w:val="20"/>
        </w:rPr>
        <w:t>Hiperacusia marcada, migraña activa, sensibilidad intensa al sonido o antecedente de empeoramiento severo del tinnitus con gong.</w:t>
      </w:r>
    </w:p>
    <w:p>
      <w:pPr>
        <w:pStyle w:val="ListBullet"/>
        <w:spacing w:before="0" w:after="60" w:line="259" w:lineRule="auto"/>
        <w:ind w:left="369" w:hanging="142"/>
      </w:pPr>
      <w:r>
        <w:rPr>
          <w:rFonts w:ascii="Aptos" w:hAnsi="Aptos"/>
          <w:color w:val="1D2528"/>
          <w:sz w:val="20"/>
        </w:rPr>
        <w:t>Condición neurológica sensible a estímulos sonoros o luminosos, cuando el profesional tratante aconseje precaución.</w:t>
      </w:r>
    </w:p>
    <w:p>
      <w:pPr>
        <w:pStyle w:val="ListBullet"/>
        <w:spacing w:before="0" w:after="60" w:line="259" w:lineRule="auto"/>
        <w:ind w:left="369" w:hanging="142"/>
      </w:pPr>
      <w:r>
        <w:rPr>
          <w:rFonts w:ascii="Aptos" w:hAnsi="Aptos"/>
          <w:color w:val="1D2528"/>
          <w:sz w:val="20"/>
        </w:rPr>
        <w:t>Cualquier situación en la que acostarse, cerrar los ojos o permanecer en grupo pueda aumentar el riesgo.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9D3CA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single" w:sz="10" w:color="F299A3"/>
              <w:left w:val="single" w:sz="10" w:color="F299A3"/>
              <w:bottom w:val="single" w:sz="10" w:color="F299A3"/>
              <w:right w:val="single" w:sz="10" w:color="F299A3"/>
            </w:tcBorders>
          </w:tcPr>
          <w:p>
            <w:pPr>
              <w:spacing w:before="0" w:after="40" w:line="259" w:lineRule="auto"/>
              <w:keepLines/>
            </w:pPr>
            <w:r>
              <w:rPr>
                <w:rFonts w:ascii="Aptos" w:hAnsi="Aptos"/>
                <w:b/>
                <w:color w:val="F299A3"/>
                <w:sz w:val="24"/>
              </w:rPr>
              <w:t xml:space="preserve">! </w:t>
            </w:r>
            <w:r>
              <w:rPr>
                <w:rFonts w:ascii="Aptos" w:hAnsi="Aptos"/>
                <w:b/>
                <w:color w:val="F299A3"/>
                <w:sz w:val="22"/>
              </w:rPr>
              <w:t>No convertir precauciones en diagnósticos</w:t>
            </w:r>
          </w:p>
          <w:p>
            <w:pPr>
              <w:spacing w:before="0" w:after="0" w:line="259" w:lineRule="auto"/>
              <w:keepLines/>
            </w:pPr>
            <w:r>
              <w:rPr>
                <w:rFonts w:ascii="Aptos" w:hAnsi="Aptos"/>
                <w:color w:val="1D2528"/>
                <w:sz w:val="20"/>
              </w:rPr>
              <w:t>La lista funciona como tamizaje de seguridad. No diagnostica ni reemplaza una evaluación clínica. Las adaptaciones —silla, ojos abiertos, mayor distancia al gong o retiro anticipado— deben registrarse.</w:t>
            </w:r>
          </w:p>
        </w:tc>
      </w:tr>
    </w:tbl>
    <w:p>
      <w:pPr>
        <w:pStyle w:val="Heading2"/>
        <w:keepNext/>
        <w:spacing w:before="140" w:after="80"/>
      </w:pPr>
      <w:r>
        <w:rPr>
          <w:rFonts w:ascii="Aptos" w:hAnsi="Aptos"/>
          <w:b/>
          <w:color w:val="186C7F"/>
          <w:sz w:val="27"/>
        </w:rPr>
        <w:t>3.3 Preparación solicitada al participante</w:t>
      </w:r>
    </w:p>
    <w:p>
      <w:pPr>
        <w:spacing w:before="0" w:after="40" w:line="259" w:lineRule="auto"/>
        <w:ind w:left="170"/>
      </w:pPr>
      <w:r>
        <w:rPr>
          <w:rFonts w:ascii="Aptos" w:hAnsi="Aptos"/>
          <w:color w:val="186C7F"/>
          <w:sz w:val="22"/>
        </w:rPr>
        <w:t xml:space="preserve">☐ </w:t>
      </w:r>
      <w:r>
        <w:rPr>
          <w:rFonts w:ascii="Aptos" w:hAnsi="Aptos"/>
          <w:color w:val="1D2528"/>
          <w:sz w:val="19"/>
        </w:rPr>
        <w:t>Evitar ejercicio intenso, alcohol y comidas muy pesadas durante las 2–3 horas previas.</w:t>
      </w:r>
    </w:p>
    <w:p>
      <w:pPr>
        <w:spacing w:before="0" w:after="40" w:line="259" w:lineRule="auto"/>
        <w:ind w:left="170"/>
      </w:pPr>
      <w:r>
        <w:rPr>
          <w:rFonts w:ascii="Aptos" w:hAnsi="Aptos"/>
          <w:color w:val="186C7F"/>
          <w:sz w:val="22"/>
        </w:rPr>
        <w:t xml:space="preserve">☐ </w:t>
      </w:r>
      <w:r>
        <w:rPr>
          <w:rFonts w:ascii="Aptos" w:hAnsi="Aptos"/>
          <w:color w:val="1D2528"/>
          <w:sz w:val="19"/>
        </w:rPr>
        <w:t>Mantener hábitos habituales de medicación; registrar fármaco y horario sin indicar suspensiones.</w:t>
      </w:r>
    </w:p>
    <w:p>
      <w:pPr>
        <w:spacing w:before="0" w:after="40" w:line="259" w:lineRule="auto"/>
        <w:ind w:left="170"/>
      </w:pPr>
      <w:r>
        <w:rPr>
          <w:rFonts w:ascii="Aptos" w:hAnsi="Aptos"/>
          <w:color w:val="186C7F"/>
          <w:sz w:val="22"/>
        </w:rPr>
        <w:t xml:space="preserve">☐ </w:t>
      </w:r>
      <w:r>
        <w:rPr>
          <w:rFonts w:ascii="Aptos" w:hAnsi="Aptos"/>
          <w:color w:val="1D2528"/>
          <w:sz w:val="19"/>
        </w:rPr>
        <w:t>Registrar cafeína, nicotina y cannabis u otras sustancias durante las 4 horas previas.</w:t>
      </w:r>
    </w:p>
    <w:p>
      <w:pPr>
        <w:spacing w:before="0" w:after="40" w:line="259" w:lineRule="auto"/>
        <w:ind w:left="170"/>
      </w:pPr>
      <w:r>
        <w:rPr>
          <w:rFonts w:ascii="Aptos" w:hAnsi="Aptos"/>
          <w:color w:val="186C7F"/>
          <w:sz w:val="22"/>
        </w:rPr>
        <w:t xml:space="preserve">☐ </w:t>
      </w:r>
      <w:r>
        <w:rPr>
          <w:rFonts w:ascii="Aptos" w:hAnsi="Aptos"/>
          <w:color w:val="1D2528"/>
          <w:sz w:val="19"/>
        </w:rPr>
        <w:t>No aplicar cremas o aceites en las manos antes de GDV; higienizar y secar según el SOP del equipo.</w:t>
      </w:r>
    </w:p>
    <w:p>
      <w:pPr>
        <w:spacing w:before="0" w:after="40" w:line="259" w:lineRule="auto"/>
        <w:ind w:left="170"/>
      </w:pPr>
      <w:r>
        <w:rPr>
          <w:rFonts w:ascii="Aptos" w:hAnsi="Aptos"/>
          <w:color w:val="186C7F"/>
          <w:sz w:val="22"/>
        </w:rPr>
        <w:t xml:space="preserve">☐ </w:t>
      </w:r>
      <w:r>
        <w:rPr>
          <w:rFonts w:ascii="Aptos" w:hAnsi="Aptos"/>
          <w:color w:val="1D2528"/>
          <w:sz w:val="19"/>
        </w:rPr>
        <w:t>Silenciar el teléfono y evitar conversaciones durante la acomodación y entre intervención y medición post.</w:t>
      </w:r>
    </w:p>
    <w:p>
      <w:pPr>
        <w:pStyle w:val="Heading2"/>
        <w:keepNext/>
        <w:spacing w:before="140" w:after="80"/>
      </w:pPr>
      <w:r>
        <w:rPr>
          <w:rFonts w:ascii="Aptos" w:hAnsi="Aptos"/>
          <w:b/>
          <w:color w:val="186C7F"/>
          <w:sz w:val="27"/>
        </w:rPr>
        <w:t>3.4 Criterios de interrupción</w:t>
      </w:r>
    </w:p>
    <w:p>
      <w:pPr>
        <w:spacing w:before="0" w:after="120" w:line="269" w:lineRule="auto"/>
      </w:pPr>
      <w:r>
        <w:rPr>
          <w:rFonts w:ascii="Aptos" w:hAnsi="Aptos"/>
          <w:i w:val="0"/>
          <w:color w:val="1D2528"/>
          <w:sz w:val="21"/>
        </w:rPr>
        <w:t>La experiencia se detiene de inmediato ante:</w:t>
      </w:r>
    </w:p>
    <w:p>
      <w:pPr>
        <w:pStyle w:val="ListBullet"/>
        <w:spacing w:before="0" w:after="60" w:line="259" w:lineRule="auto"/>
        <w:ind w:left="369" w:hanging="142"/>
      </w:pPr>
      <w:r>
        <w:rPr>
          <w:rFonts w:ascii="Aptos" w:hAnsi="Aptos"/>
          <w:color w:val="1D2528"/>
          <w:sz w:val="20"/>
        </w:rPr>
        <w:t>Solicitud del participante, sin necesidad de justificarla.</w:t>
      </w:r>
    </w:p>
    <w:p>
      <w:pPr>
        <w:pStyle w:val="ListBullet"/>
        <w:spacing w:before="0" w:after="60" w:line="259" w:lineRule="auto"/>
        <w:ind w:left="369" w:hanging="142"/>
      </w:pPr>
      <w:r>
        <w:rPr>
          <w:rFonts w:ascii="Aptos" w:hAnsi="Aptos"/>
          <w:color w:val="1D2528"/>
          <w:sz w:val="20"/>
        </w:rPr>
        <w:t>Dolor torácico, dificultad respiratoria, desmayo, confusión o síntomas neurológicos agudos.</w:t>
      </w:r>
    </w:p>
    <w:p>
      <w:pPr>
        <w:pStyle w:val="ListBullet"/>
        <w:spacing w:before="0" w:after="60" w:line="259" w:lineRule="auto"/>
        <w:ind w:left="369" w:hanging="142"/>
      </w:pPr>
      <w:r>
        <w:rPr>
          <w:rFonts w:ascii="Aptos" w:hAnsi="Aptos"/>
          <w:color w:val="1D2528"/>
          <w:sz w:val="20"/>
        </w:rPr>
        <w:t>Pánico, disociación o malestar subjetivo intenso que no disminuya al abrir los ojos y volver a respiración espontánea.</w:t>
      </w:r>
    </w:p>
    <w:p>
      <w:pPr>
        <w:pStyle w:val="ListBullet"/>
        <w:spacing w:before="0" w:after="60" w:line="259" w:lineRule="auto"/>
        <w:ind w:left="369" w:hanging="142"/>
      </w:pPr>
      <w:r>
        <w:rPr>
          <w:rFonts w:ascii="Aptos" w:hAnsi="Aptos"/>
          <w:color w:val="1D2528"/>
          <w:sz w:val="20"/>
        </w:rPr>
        <w:t>Dolor auditivo, aumento intenso del tinnitus, migraña súbita o sobresalto repetido por el gong.</w:t>
      </w:r>
    </w:p>
    <w:p>
      <w:pPr>
        <w:pStyle w:val="ListBullet"/>
        <w:spacing w:before="0" w:after="60" w:line="259" w:lineRule="auto"/>
        <w:ind w:left="369" w:hanging="142"/>
      </w:pPr>
      <w:r>
        <w:rPr>
          <w:rFonts w:ascii="Aptos" w:hAnsi="Aptos"/>
          <w:color w:val="1D2528"/>
          <w:sz w:val="20"/>
        </w:rPr>
        <w:t>Cualquier juicio de riesgo del responsable de seguridad.</w:t>
      </w:r>
    </w:p>
    <w:p>
      <w:pPr>
        <w:pStyle w:val="Heading2"/>
        <w:keepNext/>
        <w:spacing w:before="140" w:after="80"/>
      </w:pPr>
      <w:r>
        <w:rPr>
          <w:rFonts w:ascii="Aptos" w:hAnsi="Aptos"/>
          <w:b/>
          <w:color w:val="186C7F"/>
          <w:sz w:val="27"/>
        </w:rPr>
        <w:t>3.5 Respuesta ante malestar</w:t>
      </w:r>
    </w:p>
    <w:p>
      <w:pPr>
        <w:spacing w:before="0" w:after="60" w:line="259" w:lineRule="auto"/>
        <w:ind w:left="425" w:hanging="312"/>
      </w:pPr>
      <w:r>
        <w:rPr>
          <w:rFonts w:ascii="Aptos" w:hAnsi="Aptos"/>
          <w:sz w:val="20"/>
        </w:rPr>
        <w:t>1. Detener el estímulo y decir: “La experiencia terminó para vos. No necesitás continuar.”</w:t>
      </w:r>
    </w:p>
    <w:p>
      <w:pPr>
        <w:spacing w:before="0" w:after="60" w:line="259" w:lineRule="auto"/>
        <w:ind w:left="425" w:hanging="312"/>
      </w:pPr>
      <w:r>
        <w:rPr>
          <w:rFonts w:ascii="Aptos" w:hAnsi="Aptos"/>
          <w:sz w:val="20"/>
        </w:rPr>
        <w:t>2. Invitar a abrir los ojos, adoptar una postura cómoda y respirar sin pauta.</w:t>
      </w:r>
    </w:p>
    <w:p>
      <w:pPr>
        <w:spacing w:before="0" w:after="60" w:line="259" w:lineRule="auto"/>
        <w:ind w:left="425" w:hanging="312"/>
      </w:pPr>
      <w:r>
        <w:rPr>
          <w:rFonts w:ascii="Aptos" w:hAnsi="Aptos"/>
          <w:sz w:val="20"/>
        </w:rPr>
        <w:t>3. Valorar orientación, dolor, respiración y necesidad de atención médica.</w:t>
      </w:r>
    </w:p>
    <w:p>
      <w:pPr>
        <w:spacing w:before="0" w:after="60" w:line="259" w:lineRule="auto"/>
        <w:ind w:left="425" w:hanging="312"/>
      </w:pPr>
      <w:r>
        <w:rPr>
          <w:rFonts w:ascii="Aptos" w:hAnsi="Aptos"/>
          <w:sz w:val="20"/>
        </w:rPr>
        <w:t>4. No interpretar el episodio como “liberación emocional” ni presionar para reintegrarse.</w:t>
      </w:r>
    </w:p>
    <w:p>
      <w:pPr>
        <w:spacing w:before="0" w:after="60" w:line="259" w:lineRule="auto"/>
        <w:ind w:left="425" w:hanging="312"/>
      </w:pPr>
      <w:r>
        <w:rPr>
          <w:rFonts w:ascii="Aptos" w:hAnsi="Aptos"/>
          <w:sz w:val="20"/>
        </w:rPr>
        <w:t>5. Registrar evento, intensidad, duración, medidas tomadas y posible relación con la condición.</w:t>
      </w:r>
    </w:p>
    <w:p>
      <w:pPr>
        <w:spacing w:before="0" w:after="60" w:line="259" w:lineRule="auto"/>
        <w:ind w:left="425" w:hanging="312"/>
      </w:pPr>
      <w:r>
        <w:rPr>
          <w:rFonts w:ascii="Aptos" w:hAnsi="Aptos"/>
          <w:sz w:val="20"/>
        </w:rPr>
        <w:t>6. Aplicar el plan local de emergencia o derivación cuando corresponda.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</w:trPr>
        <w:tc>
          <w:tcPr>
            <w:tcW w:type="dxa" w:w="9866"/>
            <w:shd w:fill="186C7F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start w:w="150" w:type="dxa"/>
              <w:bottom w:w="90" w:type="dxa"/>
              <w:end w:w="150" w:type="dxa"/>
            </w:tcMar>
          </w:tcPr>
          <w:p>
            <w:pPr>
              <w:spacing w:before="0" w:after="0" w:line="259" w:lineRule="auto"/>
              <w:jc w:val="left"/>
              <w:keepLines/>
            </w:pPr>
            <w:r>
              <w:rPr>
                <w:rFonts w:ascii="Aptos" w:hAnsi="Aptos"/>
                <w:b/>
                <w:color w:val="FFFFFF"/>
                <w:sz w:val="25"/>
              </w:rPr>
              <w:t>4. PLAN DE MEDICIONES Y USO DEL WIBindex</w:t>
            </w:r>
          </w:p>
        </w:tc>
      </w:tr>
    </w:tbl>
    <w:p>
      <w:pPr>
        <w:pStyle w:val="Heading1"/>
        <w:keepNext/>
        <w:spacing w:before="200" w:after="80"/>
      </w:pPr>
      <w:r>
        <w:rPr>
          <w:rFonts w:ascii="Aptos" w:hAnsi="Aptos"/>
          <w:b/>
          <w:color w:val="0E4F5D"/>
          <w:sz w:val="34"/>
        </w:rPr>
        <w:t>4.1 Orden estandarizado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474"/>
            <w:shd w:fill="186C7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  <w:keepLines/>
            </w:pPr>
            <w:r>
              <w:rPr>
                <w:rFonts w:ascii="Aptos" w:hAnsi="Aptos"/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3458"/>
            <w:shd w:fill="186C7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  <w:keepLines/>
            </w:pPr>
            <w:r>
              <w:rPr>
                <w:rFonts w:ascii="Aptos" w:hAnsi="Aptos"/>
                <w:b/>
                <w:color w:val="FFFFFF"/>
                <w:sz w:val="18"/>
              </w:rPr>
              <w:t>Medida</w:t>
            </w:r>
          </w:p>
        </w:tc>
        <w:tc>
          <w:tcPr>
            <w:tcW w:type="dxa" w:w="4706"/>
            <w:shd w:fill="186C7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  <w:keepLines/>
            </w:pPr>
            <w:r>
              <w:rPr>
                <w:rFonts w:ascii="Aptos" w:hAnsi="Aptos"/>
                <w:b/>
                <w:color w:val="FFFFFF"/>
                <w:sz w:val="18"/>
              </w:rPr>
              <w:t>Condición</w:t>
            </w:r>
          </w:p>
        </w:tc>
      </w:tr>
      <w:tr>
        <w:trPr>
          <w:cantSplit/>
          <w:cantSplit/>
        </w:trPr>
        <w:tc>
          <w:tcPr>
            <w:tcW w:type="dxa" w:w="147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Basal T0</w:t>
            </w:r>
          </w:p>
        </w:tc>
        <w:tc>
          <w:tcPr>
            <w:tcW w:type="dxa" w:w="345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Variables de contexto + expectativa</w:t>
            </w:r>
          </w:p>
        </w:tc>
        <w:tc>
          <w:tcPr>
            <w:tcW w:type="dxa" w:w="470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Antes de la acomodación.</w:t>
            </w:r>
          </w:p>
        </w:tc>
      </w:tr>
      <w:tr>
        <w:trPr>
          <w:cantSplit/>
          <w:cantSplit/>
        </w:trPr>
        <w:tc>
          <w:tcPr>
            <w:tcW w:type="dxa" w:w="147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Basal T1</w:t>
            </w:r>
          </w:p>
        </w:tc>
        <w:tc>
          <w:tcPr>
            <w:tcW w:type="dxa" w:w="345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Autoinforme de estado</w:t>
            </w:r>
          </w:p>
        </w:tc>
        <w:tc>
          <w:tcPr>
            <w:tcW w:type="dxa" w:w="470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Después de 5 min de reposo.</w:t>
            </w:r>
          </w:p>
        </w:tc>
      </w:tr>
      <w:tr>
        <w:trPr>
          <w:cantSplit/>
          <w:cantSplit/>
        </w:trPr>
        <w:tc>
          <w:tcPr>
            <w:tcW w:type="dxa" w:w="147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Basal T1</w:t>
            </w:r>
          </w:p>
        </w:tc>
        <w:tc>
          <w:tcPr>
            <w:tcW w:type="dxa" w:w="345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HRV / Coherence Score</w:t>
            </w:r>
          </w:p>
        </w:tc>
        <w:tc>
          <w:tcPr>
            <w:tcW w:type="dxa" w:w="470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5 min, sentado, respiración espontánea, sin pacer.</w:t>
            </w:r>
          </w:p>
        </w:tc>
      </w:tr>
      <w:tr>
        <w:trPr>
          <w:cantSplit/>
          <w:cantSplit/>
        </w:trPr>
        <w:tc>
          <w:tcPr>
            <w:tcW w:type="dxa" w:w="147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Basal T1</w:t>
            </w:r>
          </w:p>
        </w:tc>
        <w:tc>
          <w:tcPr>
            <w:tcW w:type="dxa" w:w="345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Lectura GDV</w:t>
            </w:r>
          </w:p>
        </w:tc>
        <w:tc>
          <w:tcPr>
            <w:tcW w:type="dxa" w:w="470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Mismo orden de dedos y mismo operador.</w:t>
            </w:r>
          </w:p>
        </w:tc>
      </w:tr>
      <w:tr>
        <w:trPr>
          <w:cantSplit/>
          <w:cantSplit/>
        </w:trPr>
        <w:tc>
          <w:tcPr>
            <w:tcW w:type="dxa" w:w="147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Post T2</w:t>
            </w:r>
          </w:p>
        </w:tc>
        <w:tc>
          <w:tcPr>
            <w:tcW w:type="dxa" w:w="345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Autoinforme de estado</w:t>
            </w:r>
          </w:p>
        </w:tc>
        <w:tc>
          <w:tcPr>
            <w:tcW w:type="dxa" w:w="470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3–5 min después de finalizar la experiencia.</w:t>
            </w:r>
          </w:p>
        </w:tc>
      </w:tr>
      <w:tr>
        <w:trPr>
          <w:cantSplit/>
          <w:cantSplit/>
        </w:trPr>
        <w:tc>
          <w:tcPr>
            <w:tcW w:type="dxa" w:w="147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Post T2</w:t>
            </w:r>
          </w:p>
        </w:tc>
        <w:tc>
          <w:tcPr>
            <w:tcW w:type="dxa" w:w="345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HRV / Coherence Score</w:t>
            </w:r>
          </w:p>
        </w:tc>
        <w:tc>
          <w:tcPr>
            <w:tcW w:type="dxa" w:w="470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5 min, respiración espontánea, sin pacer.</w:t>
            </w:r>
          </w:p>
        </w:tc>
      </w:tr>
      <w:tr>
        <w:trPr>
          <w:cantSplit/>
          <w:cantSplit/>
        </w:trPr>
        <w:tc>
          <w:tcPr>
            <w:tcW w:type="dxa" w:w="147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Post T2</w:t>
            </w:r>
          </w:p>
        </w:tc>
        <w:tc>
          <w:tcPr>
            <w:tcW w:type="dxa" w:w="345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Lectura GDV</w:t>
            </w:r>
          </w:p>
        </w:tc>
        <w:tc>
          <w:tcPr>
            <w:tcW w:type="dxa" w:w="470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Mismo procedimiento basal.</w:t>
            </w:r>
          </w:p>
        </w:tc>
      </w:tr>
      <w:tr>
        <w:trPr>
          <w:cantSplit/>
          <w:cantSplit/>
        </w:trPr>
        <w:tc>
          <w:tcPr>
            <w:tcW w:type="dxa" w:w="147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Seguimiento T3</w:t>
            </w:r>
          </w:p>
        </w:tc>
        <w:tc>
          <w:tcPr>
            <w:tcW w:type="dxa" w:w="345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Encuesta breve</w:t>
            </w:r>
          </w:p>
        </w:tc>
        <w:tc>
          <w:tcPr>
            <w:tcW w:type="dxa" w:w="470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24 h ± 4 h.</w:t>
            </w:r>
          </w:p>
        </w:tc>
      </w:tr>
      <w:tr>
        <w:trPr>
          <w:cantSplit/>
          <w:cantSplit/>
        </w:trPr>
        <w:tc>
          <w:tcPr>
            <w:tcW w:type="dxa" w:w="147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Seguimiento T4</w:t>
            </w:r>
          </w:p>
        </w:tc>
        <w:tc>
          <w:tcPr>
            <w:tcW w:type="dxa" w:w="345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Encuesta breve</w:t>
            </w:r>
          </w:p>
        </w:tc>
        <w:tc>
          <w:tcPr>
            <w:tcW w:type="dxa" w:w="470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7 días ± 1 día.</w:t>
            </w:r>
          </w:p>
        </w:tc>
      </w:tr>
    </w:tbl>
    <w:p>
      <w:pPr>
        <w:pStyle w:val="Heading2"/>
        <w:keepNext/>
        <w:spacing w:before="140" w:after="80"/>
      </w:pPr>
      <w:r>
        <w:rPr>
          <w:rFonts w:ascii="Aptos" w:hAnsi="Aptos"/>
          <w:b/>
          <w:color w:val="186C7F"/>
          <w:sz w:val="27"/>
        </w:rPr>
        <w:t>4.2 Autoinforme mínimo de estado</w:t>
      </w:r>
    </w:p>
    <w:p>
      <w:pPr>
        <w:spacing w:before="0" w:after="120" w:line="269" w:lineRule="auto"/>
      </w:pPr>
      <w:r>
        <w:rPr>
          <w:rFonts w:ascii="Aptos" w:hAnsi="Aptos"/>
          <w:i w:val="0"/>
          <w:color w:val="1D2528"/>
          <w:sz w:val="21"/>
        </w:rPr>
        <w:t>Aplicar antes y después, con anclajes visibles: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701"/>
            <w:shd w:fill="186C7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  <w:keepLines/>
            </w:pPr>
            <w:r>
              <w:rPr>
                <w:rFonts w:ascii="Aptos" w:hAnsi="Aptos"/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5272"/>
            <w:shd w:fill="186C7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  <w:keepLines/>
            </w:pPr>
            <w:r>
              <w:rPr>
                <w:rFonts w:ascii="Aptos" w:hAnsi="Aptos"/>
                <w:b/>
                <w:color w:val="FFFFFF"/>
                <w:sz w:val="18"/>
              </w:rPr>
              <w:t>Pregunta</w:t>
            </w:r>
          </w:p>
        </w:tc>
        <w:tc>
          <w:tcPr>
            <w:tcW w:type="dxa" w:w="2665"/>
            <w:shd w:fill="186C7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  <w:keepLines/>
            </w:pPr>
            <w:r>
              <w:rPr>
                <w:rFonts w:ascii="Aptos" w:hAnsi="Aptos"/>
                <w:b/>
                <w:color w:val="FFFFFF"/>
                <w:sz w:val="18"/>
              </w:rPr>
              <w:t>Escala</w:t>
            </w:r>
          </w:p>
        </w:tc>
      </w:tr>
      <w:tr>
        <w:trPr>
          <w:cantSplit/>
          <w:cantSplit/>
        </w:trPr>
        <w:tc>
          <w:tcPr>
            <w:tcW w:type="dxa" w:w="170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Estrés</w:t>
            </w:r>
          </w:p>
        </w:tc>
        <w:tc>
          <w:tcPr>
            <w:tcW w:type="dxa" w:w="527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¿Cuánto estrés sentís en este momento?</w:t>
            </w:r>
          </w:p>
        </w:tc>
        <w:tc>
          <w:tcPr>
            <w:tcW w:type="dxa" w:w="266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0 = nada | 10 = máximo imaginable</w:t>
            </w:r>
          </w:p>
        </w:tc>
      </w:tr>
      <w:tr>
        <w:trPr>
          <w:cantSplit/>
          <w:cantSplit/>
        </w:trPr>
        <w:tc>
          <w:tcPr>
            <w:tcW w:type="dxa" w:w="170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Seguridad</w:t>
            </w:r>
          </w:p>
        </w:tc>
        <w:tc>
          <w:tcPr>
            <w:tcW w:type="dxa" w:w="527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¿Cuán seguro/a y a salvo te sentís en este momento?</w:t>
            </w:r>
          </w:p>
        </w:tc>
        <w:tc>
          <w:tcPr>
            <w:tcW w:type="dxa" w:w="266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0 = nada | 10 = completamente</w:t>
            </w:r>
          </w:p>
        </w:tc>
      </w:tr>
      <w:tr>
        <w:trPr>
          <w:cantSplit/>
          <w:cantSplit/>
        </w:trPr>
        <w:tc>
          <w:tcPr>
            <w:tcW w:type="dxa" w:w="170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Conexión</w:t>
            </w:r>
          </w:p>
        </w:tc>
        <w:tc>
          <w:tcPr>
            <w:tcW w:type="dxa" w:w="527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¿Cuán conectado/a te sentís con otras personas en este momento?</w:t>
            </w:r>
          </w:p>
        </w:tc>
        <w:tc>
          <w:tcPr>
            <w:tcW w:type="dxa" w:w="266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0 = nada | 10 = mucho</w:t>
            </w:r>
          </w:p>
        </w:tc>
      </w:tr>
      <w:tr>
        <w:trPr>
          <w:cantSplit/>
          <w:cantSplit/>
        </w:trPr>
        <w:tc>
          <w:tcPr>
            <w:tcW w:type="dxa" w:w="170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Activación</w:t>
            </w:r>
          </w:p>
        </w:tc>
        <w:tc>
          <w:tcPr>
            <w:tcW w:type="dxa" w:w="527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¿Cuán activado/a o en alerta está tu cuerpo?</w:t>
            </w:r>
          </w:p>
        </w:tc>
        <w:tc>
          <w:tcPr>
            <w:tcW w:type="dxa" w:w="266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0 = muy calmo | 10 = máxima alerta</w:t>
            </w:r>
          </w:p>
        </w:tc>
      </w:tr>
      <w:tr>
        <w:trPr>
          <w:cantSplit/>
          <w:cantSplit/>
        </w:trPr>
        <w:tc>
          <w:tcPr>
            <w:tcW w:type="dxa" w:w="170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Comodidad corporal</w:t>
            </w:r>
          </w:p>
        </w:tc>
        <w:tc>
          <w:tcPr>
            <w:tcW w:type="dxa" w:w="527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¿Cuán cómodo se siente tu cuerpo?</w:t>
            </w:r>
          </w:p>
        </w:tc>
        <w:tc>
          <w:tcPr>
            <w:tcW w:type="dxa" w:w="266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0 = nada cómodo | 10 = muy cómodo</w:t>
            </w:r>
          </w:p>
        </w:tc>
      </w:tr>
      <w:tr>
        <w:trPr>
          <w:cantSplit/>
          <w:cantSplit/>
        </w:trPr>
        <w:tc>
          <w:tcPr>
            <w:tcW w:type="dxa" w:w="170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Valencia emocional</w:t>
            </w:r>
          </w:p>
        </w:tc>
        <w:tc>
          <w:tcPr>
            <w:tcW w:type="dxa" w:w="527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¿Cómo describís tu estado emocional?</w:t>
            </w:r>
          </w:p>
        </w:tc>
        <w:tc>
          <w:tcPr>
            <w:tcW w:type="dxa" w:w="266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−5 = muy desagradable | 0 = neutro | +5 = muy agradable</w:t>
            </w:r>
          </w:p>
        </w:tc>
      </w:tr>
    </w:tbl>
    <w:p>
      <w:pPr>
        <w:spacing w:before="0" w:after="120" w:line="269" w:lineRule="auto"/>
      </w:pPr>
      <w:r>
        <w:rPr>
          <w:rFonts w:ascii="Aptos" w:hAnsi="Aptos"/>
          <w:i/>
          <w:color w:val="4A5A5F"/>
          <w:sz w:val="21"/>
        </w:rPr>
        <w:t>Cuando se incorporen escalas validadas, usar versiones autorizadas y adaptadas culturalmente. No reemplazar una escala validada por el promedio de preguntas creadas ad hoc; reportarlas como medidas distintas.</w:t>
      </w:r>
    </w:p>
    <w:p>
      <w:pPr>
        <w:pStyle w:val="Heading2"/>
        <w:keepNext/>
        <w:spacing w:before="140" w:after="80"/>
      </w:pPr>
      <w:r>
        <w:rPr>
          <w:rFonts w:ascii="Aptos" w:hAnsi="Aptos"/>
          <w:b/>
          <w:color w:val="186C7F"/>
          <w:sz w:val="27"/>
        </w:rPr>
        <w:t>4.3 HeartMath / HRV</w:t>
      </w:r>
    </w:p>
    <w:p>
      <w:pPr>
        <w:spacing w:before="0" w:after="40" w:line="259" w:lineRule="auto"/>
        <w:ind w:left="170"/>
      </w:pPr>
      <w:r>
        <w:rPr>
          <w:rFonts w:ascii="Aptos" w:hAnsi="Aptos"/>
          <w:color w:val="186C7F"/>
          <w:sz w:val="22"/>
        </w:rPr>
        <w:t xml:space="preserve">☐ </w:t>
      </w:r>
      <w:r>
        <w:rPr>
          <w:rFonts w:ascii="Aptos" w:hAnsi="Aptos"/>
          <w:color w:val="1D2528"/>
          <w:sz w:val="19"/>
        </w:rPr>
        <w:t>Usar el mismo sensor, posición corporal, duración y calidad de señal pre y post.</w:t>
      </w:r>
    </w:p>
    <w:p>
      <w:pPr>
        <w:spacing w:before="0" w:after="40" w:line="259" w:lineRule="auto"/>
        <w:ind w:left="170"/>
      </w:pPr>
      <w:r>
        <w:rPr>
          <w:rFonts w:ascii="Aptos" w:hAnsi="Aptos"/>
          <w:color w:val="186C7F"/>
          <w:sz w:val="22"/>
        </w:rPr>
        <w:t xml:space="preserve">☐ </w:t>
      </w:r>
      <w:r>
        <w:rPr>
          <w:rFonts w:ascii="Aptos" w:hAnsi="Aptos"/>
          <w:color w:val="1D2528"/>
          <w:sz w:val="19"/>
        </w:rPr>
        <w:t>La medición primaria debe hacerse con respiración espontánea para evitar que el pacer explique por sí solo el resultado.</w:t>
      </w:r>
    </w:p>
    <w:p>
      <w:pPr>
        <w:spacing w:before="0" w:after="40" w:line="259" w:lineRule="auto"/>
        <w:ind w:left="170"/>
      </w:pPr>
      <w:r>
        <w:rPr>
          <w:rFonts w:ascii="Aptos" w:hAnsi="Aptos"/>
          <w:color w:val="186C7F"/>
          <w:sz w:val="22"/>
        </w:rPr>
        <w:t xml:space="preserve">☐ </w:t>
      </w:r>
      <w:r>
        <w:rPr>
          <w:rFonts w:ascii="Aptos" w:hAnsi="Aptos"/>
          <w:color w:val="1D2528"/>
          <w:sz w:val="19"/>
        </w:rPr>
        <w:t>Registrar frecuencia cardíaca media, RMSSD y SDNN cuando el sistema los provea, además del Coherence Score.</w:t>
      </w:r>
    </w:p>
    <w:p>
      <w:pPr>
        <w:spacing w:before="0" w:after="40" w:line="259" w:lineRule="auto"/>
        <w:ind w:left="170"/>
      </w:pPr>
      <w:r>
        <w:rPr>
          <w:rFonts w:ascii="Aptos" w:hAnsi="Aptos"/>
          <w:color w:val="186C7F"/>
          <w:sz w:val="22"/>
        </w:rPr>
        <w:t xml:space="preserve">☐ </w:t>
      </w:r>
      <w:r>
        <w:rPr>
          <w:rFonts w:ascii="Aptos" w:hAnsi="Aptos"/>
          <w:color w:val="1D2528"/>
          <w:sz w:val="19"/>
        </w:rPr>
        <w:t>Registrar porcentaje de artefactos o calidad de señal; repetir solo según una regla predefinida.</w:t>
      </w:r>
    </w:p>
    <w:p>
      <w:pPr>
        <w:spacing w:before="0" w:after="40" w:line="259" w:lineRule="auto"/>
        <w:ind w:left="170"/>
      </w:pPr>
      <w:r>
        <w:rPr>
          <w:rFonts w:ascii="Aptos" w:hAnsi="Aptos"/>
          <w:color w:val="186C7F"/>
          <w:sz w:val="22"/>
        </w:rPr>
        <w:t xml:space="preserve">☐ </w:t>
      </w:r>
      <w:r>
        <w:rPr>
          <w:rFonts w:ascii="Aptos" w:hAnsi="Aptos"/>
          <w:color w:val="1D2528"/>
          <w:sz w:val="19"/>
        </w:rPr>
        <w:t>No conversar, tocar al participante ni mostrarle el resultado durante la medición.</w:t>
      </w:r>
    </w:p>
    <w:p>
      <w:pPr>
        <w:spacing w:before="0" w:after="40" w:line="259" w:lineRule="auto"/>
        <w:ind w:left="170"/>
      </w:pPr>
      <w:r>
        <w:rPr>
          <w:rFonts w:ascii="Aptos" w:hAnsi="Aptos"/>
          <w:color w:val="186C7F"/>
          <w:sz w:val="22"/>
        </w:rPr>
        <w:t xml:space="preserve">☐ </w:t>
      </w:r>
      <w:r>
        <w:rPr>
          <w:rFonts w:ascii="Aptos" w:hAnsi="Aptos"/>
          <w:color w:val="1D2528"/>
          <w:sz w:val="19"/>
        </w:rPr>
        <w:t>Si se desea una medición secundaria con respiración guiada, realizarla como bloque separado y etiquetarla claramente.</w:t>
      </w:r>
    </w:p>
    <w:p>
      <w:pPr>
        <w:pStyle w:val="Heading2"/>
        <w:keepNext/>
        <w:spacing w:before="140" w:after="80"/>
      </w:pPr>
      <w:r>
        <w:rPr>
          <w:rFonts w:ascii="Aptos" w:hAnsi="Aptos"/>
          <w:b/>
          <w:color w:val="186C7F"/>
          <w:sz w:val="27"/>
        </w:rPr>
        <w:t>4.4 Lectura GDV</w:t>
      </w:r>
    </w:p>
    <w:p>
      <w:pPr>
        <w:spacing w:before="0" w:after="40" w:line="259" w:lineRule="auto"/>
        <w:ind w:left="170"/>
      </w:pPr>
      <w:r>
        <w:rPr>
          <w:rFonts w:ascii="Aptos" w:hAnsi="Aptos"/>
          <w:color w:val="186C7F"/>
          <w:sz w:val="22"/>
        </w:rPr>
        <w:t xml:space="preserve">☐ </w:t>
      </w:r>
      <w:r>
        <w:rPr>
          <w:rFonts w:ascii="Aptos" w:hAnsi="Aptos"/>
          <w:color w:val="1D2528"/>
          <w:sz w:val="19"/>
        </w:rPr>
        <w:t>Realizar pre y post con el mismo dispositivo, calibración, operador, ambiente y orden de dedos.</w:t>
      </w:r>
    </w:p>
    <w:p>
      <w:pPr>
        <w:spacing w:before="0" w:after="40" w:line="259" w:lineRule="auto"/>
        <w:ind w:left="170"/>
      </w:pPr>
      <w:r>
        <w:rPr>
          <w:rFonts w:ascii="Aptos" w:hAnsi="Aptos"/>
          <w:color w:val="186C7F"/>
          <w:sz w:val="22"/>
        </w:rPr>
        <w:t xml:space="preserve">☐ </w:t>
      </w:r>
      <w:r>
        <w:rPr>
          <w:rFonts w:ascii="Aptos" w:hAnsi="Aptos"/>
          <w:color w:val="1D2528"/>
          <w:sz w:val="19"/>
        </w:rPr>
        <w:t>Manos limpias y secas; registrar crema, humedad, temperatura extrema, lesiones o dedos no válidos.</w:t>
      </w:r>
    </w:p>
    <w:p>
      <w:pPr>
        <w:spacing w:before="0" w:after="40" w:line="259" w:lineRule="auto"/>
        <w:ind w:left="170"/>
      </w:pPr>
      <w:r>
        <w:rPr>
          <w:rFonts w:ascii="Aptos" w:hAnsi="Aptos"/>
          <w:color w:val="186C7F"/>
          <w:sz w:val="22"/>
        </w:rPr>
        <w:t xml:space="preserve">☐ </w:t>
      </w:r>
      <w:r>
        <w:rPr>
          <w:rFonts w:ascii="Aptos" w:hAnsi="Aptos"/>
          <w:color w:val="1D2528"/>
          <w:sz w:val="19"/>
        </w:rPr>
        <w:t>Conservar archivos originales y parámetros crudos; no reportar únicamente el valor compuesto.</w:t>
      </w:r>
    </w:p>
    <w:p>
      <w:pPr>
        <w:spacing w:before="0" w:after="40" w:line="259" w:lineRule="auto"/>
        <w:ind w:left="170"/>
      </w:pPr>
      <w:r>
        <w:rPr>
          <w:rFonts w:ascii="Aptos" w:hAnsi="Aptos"/>
          <w:color w:val="186C7F"/>
          <w:sz w:val="22"/>
        </w:rPr>
        <w:t xml:space="preserve">☐ </w:t>
      </w:r>
      <w:r>
        <w:rPr>
          <w:rFonts w:ascii="Aptos" w:hAnsi="Aptos"/>
          <w:color w:val="1D2528"/>
          <w:sz w:val="19"/>
        </w:rPr>
        <w:t>Usar lenguaje de “lectura del BioCampo” o “indicador exploratorio”, no de diagnóstico clínico.</w:t>
      </w:r>
    </w:p>
    <w:p>
      <w:pPr>
        <w:spacing w:before="0" w:after="40" w:line="259" w:lineRule="auto"/>
        <w:ind w:left="170"/>
      </w:pPr>
      <w:r>
        <w:rPr>
          <w:rFonts w:ascii="Aptos" w:hAnsi="Aptos"/>
          <w:color w:val="186C7F"/>
          <w:sz w:val="22"/>
        </w:rPr>
        <w:t xml:space="preserve">☐ </w:t>
      </w:r>
      <w:r>
        <w:rPr>
          <w:rFonts w:ascii="Aptos" w:hAnsi="Aptos"/>
          <w:color w:val="1D2528"/>
          <w:sz w:val="19"/>
        </w:rPr>
        <w:t>Registrar energía, estrés y equilibrio/simetría según la versión operativa del WIBindex.</w:t>
      </w:r>
    </w:p>
    <w:p>
      <w:pPr>
        <w:pStyle w:val="Heading2"/>
        <w:keepNext/>
        <w:spacing w:before="140" w:after="80"/>
      </w:pPr>
      <w:r>
        <w:rPr>
          <w:rFonts w:ascii="Aptos" w:hAnsi="Aptos"/>
          <w:b/>
          <w:color w:val="186C7F"/>
          <w:sz w:val="27"/>
        </w:rPr>
        <w:t>4.5 Versión recomendada del índice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C4E4E7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single" w:sz="10" w:color="186C7F"/>
              <w:left w:val="single" w:sz="10" w:color="186C7F"/>
              <w:bottom w:val="single" w:sz="10" w:color="186C7F"/>
              <w:right w:val="single" w:sz="10" w:color="186C7F"/>
            </w:tcBorders>
          </w:tcPr>
          <w:p>
            <w:pPr>
              <w:spacing w:before="0" w:after="40" w:line="259" w:lineRule="auto"/>
              <w:keepLines/>
            </w:pPr>
            <w:r>
              <w:rPr>
                <w:rFonts w:ascii="Aptos" w:hAnsi="Aptos"/>
                <w:b/>
                <w:color w:val="186C7F"/>
                <w:sz w:val="24"/>
              </w:rPr>
              <w:t xml:space="preserve">i </w:t>
            </w:r>
            <w:r>
              <w:rPr>
                <w:rFonts w:ascii="Aptos" w:hAnsi="Aptos"/>
                <w:b/>
                <w:color w:val="186C7F"/>
                <w:sz w:val="22"/>
              </w:rPr>
              <w:t>WIBindex 2.0 para este protocolo</w:t>
            </w:r>
          </w:p>
          <w:p>
            <w:pPr>
              <w:spacing w:before="0" w:after="0" w:line="259" w:lineRule="auto"/>
              <w:keepLines/>
            </w:pPr>
            <w:r>
              <w:rPr>
                <w:rFonts w:ascii="Aptos" w:hAnsi="Aptos"/>
                <w:color w:val="1D2528"/>
                <w:sz w:val="20"/>
              </w:rPr>
              <w:t>Cuando se disponga de HeartMath, el reporte puede utilizar WIBindex 2.0: las tres variables del 1.1 más el Coherence Score. Si HeartMath no está disponible, utilizar WIBindex 1.1 y reportar la ausencia del componente de coherencia. En ambos casos, conservar y analizar las variables originales por separado.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</w:trPr>
        <w:tc>
          <w:tcPr>
            <w:tcW w:type="dxa" w:w="9866"/>
            <w:shd w:fill="186C7F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start w:w="150" w:type="dxa"/>
              <w:bottom w:w="90" w:type="dxa"/>
              <w:end w:w="150" w:type="dxa"/>
            </w:tcMar>
          </w:tcPr>
          <w:p>
            <w:pPr>
              <w:spacing w:before="0" w:after="0" w:line="259" w:lineRule="auto"/>
              <w:jc w:val="left"/>
              <w:keepLines/>
            </w:pPr>
            <w:r>
              <w:rPr>
                <w:rFonts w:ascii="Aptos" w:hAnsi="Aptos"/>
                <w:b/>
                <w:color w:val="FFFFFF"/>
                <w:sz w:val="25"/>
              </w:rPr>
              <w:t>5. PROCEDIMIENTO COMÚN A LOS TRES GRUPOS</w:t>
            </w:r>
          </w:p>
        </w:tc>
      </w:tr>
    </w:tbl>
    <w:p>
      <w:pPr>
        <w:pStyle w:val="Heading1"/>
        <w:keepNext/>
        <w:spacing w:before="200" w:after="80"/>
      </w:pPr>
      <w:r>
        <w:rPr>
          <w:rFonts w:ascii="Aptos" w:hAnsi="Aptos"/>
          <w:b/>
          <w:color w:val="0E4F5D"/>
          <w:sz w:val="34"/>
        </w:rPr>
        <w:t>5.1 Preparación de la sala</w:t>
      </w:r>
    </w:p>
    <w:p>
      <w:pPr>
        <w:spacing w:before="0" w:after="40" w:line="259" w:lineRule="auto"/>
        <w:ind w:left="170"/>
      </w:pPr>
      <w:r>
        <w:rPr>
          <w:rFonts w:ascii="Aptos" w:hAnsi="Aptos"/>
          <w:color w:val="186C7F"/>
          <w:sz w:val="22"/>
        </w:rPr>
        <w:t xml:space="preserve">☐ </w:t>
      </w:r>
      <w:r>
        <w:rPr>
          <w:rFonts w:ascii="Aptos" w:hAnsi="Aptos"/>
          <w:color w:val="1D2528"/>
          <w:sz w:val="19"/>
        </w:rPr>
        <w:t>Colchonetas o sillas numeradas; misma orientación y separación.</w:t>
      </w:r>
    </w:p>
    <w:p>
      <w:pPr>
        <w:spacing w:before="0" w:after="40" w:line="259" w:lineRule="auto"/>
        <w:ind w:left="170"/>
      </w:pPr>
      <w:r>
        <w:rPr>
          <w:rFonts w:ascii="Aptos" w:hAnsi="Aptos"/>
          <w:color w:val="186C7F"/>
          <w:sz w:val="22"/>
        </w:rPr>
        <w:t xml:space="preserve">☐ </w:t>
      </w:r>
      <w:r>
        <w:rPr>
          <w:rFonts w:ascii="Aptos" w:hAnsi="Aptos"/>
          <w:color w:val="1D2528"/>
          <w:sz w:val="19"/>
        </w:rPr>
        <w:t>Iluminación estable y tenue, pero suficiente para desplazarse con seguridad.</w:t>
      </w:r>
    </w:p>
    <w:p>
      <w:pPr>
        <w:spacing w:before="0" w:after="40" w:line="259" w:lineRule="auto"/>
        <w:ind w:left="170"/>
      </w:pPr>
      <w:r>
        <w:rPr>
          <w:rFonts w:ascii="Aptos" w:hAnsi="Aptos"/>
          <w:color w:val="186C7F"/>
          <w:sz w:val="22"/>
        </w:rPr>
        <w:t xml:space="preserve">☐ </w:t>
      </w:r>
      <w:r>
        <w:rPr>
          <w:rFonts w:ascii="Aptos" w:hAnsi="Aptos"/>
          <w:color w:val="1D2528"/>
          <w:sz w:val="19"/>
        </w:rPr>
        <w:t>Temperatura confortable y registro aproximado.</w:t>
      </w:r>
    </w:p>
    <w:p>
      <w:pPr>
        <w:spacing w:before="0" w:after="40" w:line="259" w:lineRule="auto"/>
        <w:ind w:left="170"/>
      </w:pPr>
      <w:r>
        <w:rPr>
          <w:rFonts w:ascii="Aptos" w:hAnsi="Aptos"/>
          <w:color w:val="186C7F"/>
          <w:sz w:val="22"/>
        </w:rPr>
        <w:t xml:space="preserve">☐ </w:t>
      </w:r>
      <w:r>
        <w:rPr>
          <w:rFonts w:ascii="Aptos" w:hAnsi="Aptos"/>
          <w:color w:val="1D2528"/>
          <w:sz w:val="19"/>
        </w:rPr>
        <w:t>Agua disponible fuera del área de medición.</w:t>
      </w:r>
    </w:p>
    <w:p>
      <w:pPr>
        <w:spacing w:before="0" w:after="40" w:line="259" w:lineRule="auto"/>
        <w:ind w:left="170"/>
      </w:pPr>
      <w:r>
        <w:rPr>
          <w:rFonts w:ascii="Aptos" w:hAnsi="Aptos"/>
          <w:color w:val="186C7F"/>
          <w:sz w:val="22"/>
        </w:rPr>
        <w:t xml:space="preserve">☐ </w:t>
      </w:r>
      <w:r>
        <w:rPr>
          <w:rFonts w:ascii="Aptos" w:hAnsi="Aptos"/>
          <w:color w:val="1D2528"/>
          <w:sz w:val="19"/>
        </w:rPr>
        <w:t>Cronómetro silencioso, guion impreso, registro de fidelidad y plan de emergencia.</w:t>
      </w:r>
    </w:p>
    <w:p>
      <w:pPr>
        <w:spacing w:before="0" w:after="40" w:line="259" w:lineRule="auto"/>
        <w:ind w:left="170"/>
      </w:pPr>
      <w:r>
        <w:rPr>
          <w:rFonts w:ascii="Aptos" w:hAnsi="Aptos"/>
          <w:color w:val="186C7F"/>
          <w:sz w:val="22"/>
        </w:rPr>
        <w:t xml:space="preserve">☐ </w:t>
      </w:r>
      <w:r>
        <w:rPr>
          <w:rFonts w:ascii="Aptos" w:hAnsi="Aptos"/>
          <w:color w:val="1D2528"/>
          <w:sz w:val="19"/>
        </w:rPr>
        <w:t>Gong y maza ubicados a distancia fija para A y B; retirados o cubiertos en C para reducir expectativas.</w:t>
      </w:r>
    </w:p>
    <w:p>
      <w:pPr>
        <w:spacing w:before="0" w:after="40" w:line="259" w:lineRule="auto"/>
        <w:ind w:left="170"/>
      </w:pPr>
      <w:r>
        <w:rPr>
          <w:rFonts w:ascii="Aptos" w:hAnsi="Aptos"/>
          <w:color w:val="186C7F"/>
          <w:sz w:val="22"/>
        </w:rPr>
        <w:t xml:space="preserve">☐ </w:t>
      </w:r>
      <w:r>
        <w:rPr>
          <w:rFonts w:ascii="Aptos" w:hAnsi="Aptos"/>
          <w:color w:val="1D2528"/>
          <w:sz w:val="19"/>
        </w:rPr>
        <w:t>Señal de “no interrumpir” en la puerta.</w:t>
      </w:r>
    </w:p>
    <w:p>
      <w:pPr>
        <w:pStyle w:val="Heading2"/>
        <w:keepNext/>
        <w:spacing w:before="140" w:after="80"/>
      </w:pPr>
      <w:r>
        <w:rPr>
          <w:rFonts w:ascii="Aptos" w:hAnsi="Aptos"/>
          <w:b/>
          <w:color w:val="186C7F"/>
          <w:sz w:val="27"/>
        </w:rPr>
        <w:t>5.2 Recepción común — guion exacto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1"/>
      </w:tblGrid>
      <w:tr>
        <w:trPr>
          <w:cantSplit/>
        </w:trPr>
        <w:tc>
          <w:tcPr>
            <w:tcW w:type="dxa" w:w="9866"/>
            <w:shd w:fill="186C7F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color="186C7F"/>
              <w:left w:val="single" w:sz="8" w:color="186C7F"/>
              <w:bottom w:val="single" w:sz="8" w:color="186C7F"/>
              <w:right w:val="single" w:sz="8" w:color="186C7F"/>
            </w:tcBorders>
          </w:tcPr>
          <w:p>
            <w:pPr>
              <w:spacing w:before="0" w:after="0" w:line="259" w:lineRule="auto"/>
              <w:keepLines/>
              <w:keepNext/>
            </w:pPr>
            <w:r>
              <w:rPr>
                <w:rFonts w:ascii="Aptos" w:hAnsi="Aptos"/>
                <w:b/>
                <w:color w:val="FFFFFF"/>
                <w:sz w:val="21"/>
              </w:rPr>
              <w:t>GUION COMÚN DE RECEPCIÓN</w:t>
            </w:r>
          </w:p>
        </w:tc>
      </w:tr>
      <w:tr>
        <w:trPr>
          <w:cantSplit/>
        </w:trPr>
        <w:tc>
          <w:tcPr>
            <w:tcW w:type="dxa" w:w="9866"/>
            <w:shd w:fill="F7FBFB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color="186C7F"/>
              <w:left w:val="single" w:sz="8" w:color="186C7F"/>
              <w:bottom w:val="single" w:sz="8" w:color="186C7F"/>
              <w:right w:val="single" w:sz="8" w:color="186C7F"/>
            </w:tcBorders>
          </w:tcPr>
          <w:p>
            <w:pPr>
              <w:spacing w:before="0" w:after="0" w:line="278" w:lineRule="auto"/>
              <w:keepLines/>
            </w:pPr>
            <w:r>
              <w:rPr>
                <w:rFonts w:ascii="Aptos" w:hAnsi="Aptos"/>
                <w:i/>
                <w:color w:val="1D2528"/>
                <w:sz w:val="20"/>
              </w:rPr>
              <w:t>“Gracias por participar. Hoy vas a realizar una de varias experiencias de descanso y atención que estamos comparando. No hay una forma correcta de sentirte ni un resultado que debas lograr. Podés mantener los ojos abiertos o cerrados, cambiar de postura y detenerte en cualquier momento. Durante la experiencia evitaremos conversar para que las condiciones sean comparables. Al finalizar repetiremos las mediciones y luego habrá un breve cierre.”</w:t>
            </w:r>
          </w:p>
        </w:tc>
      </w:tr>
    </w:tbl>
    <w:p>
      <w:pPr>
        <w:pStyle w:val="Heading2"/>
        <w:keepNext/>
        <w:spacing w:before="140" w:after="80"/>
      </w:pPr>
      <w:r>
        <w:rPr>
          <w:rFonts w:ascii="Aptos" w:hAnsi="Aptos"/>
          <w:b/>
          <w:color w:val="186C7F"/>
          <w:sz w:val="27"/>
        </w:rPr>
        <w:t>5.3 Acomodación basal — 5 minutos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1"/>
      </w:tblGrid>
      <w:tr>
        <w:trPr>
          <w:cantSplit/>
        </w:trPr>
        <w:tc>
          <w:tcPr>
            <w:tcW w:type="dxa" w:w="9866"/>
            <w:shd w:fill="186C7F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color="186C7F"/>
              <w:left w:val="single" w:sz="8" w:color="186C7F"/>
              <w:bottom w:val="single" w:sz="8" w:color="186C7F"/>
              <w:right w:val="single" w:sz="8" w:color="186C7F"/>
            </w:tcBorders>
          </w:tcPr>
          <w:p>
            <w:pPr>
              <w:spacing w:before="0" w:after="0" w:line="259" w:lineRule="auto"/>
              <w:keepLines/>
              <w:keepNext/>
            </w:pPr>
            <w:r>
              <w:rPr>
                <w:rFonts w:ascii="Aptos" w:hAnsi="Aptos"/>
                <w:b/>
                <w:color w:val="FFFFFF"/>
                <w:sz w:val="21"/>
              </w:rPr>
              <w:t>GUION DE ACOMODACIÓN</w:t>
            </w:r>
          </w:p>
        </w:tc>
      </w:tr>
      <w:tr>
        <w:trPr>
          <w:cantSplit/>
        </w:trPr>
        <w:tc>
          <w:tcPr>
            <w:tcW w:type="dxa" w:w="9866"/>
            <w:shd w:fill="F7FBFB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color="186C7F"/>
              <w:left w:val="single" w:sz="8" w:color="186C7F"/>
              <w:bottom w:val="single" w:sz="8" w:color="186C7F"/>
              <w:right w:val="single" w:sz="8" w:color="186C7F"/>
            </w:tcBorders>
          </w:tcPr>
          <w:p>
            <w:pPr>
              <w:spacing w:before="0" w:after="0" w:line="278" w:lineRule="auto"/>
              <w:keepLines/>
            </w:pPr>
            <w:r>
              <w:rPr>
                <w:rFonts w:ascii="Aptos" w:hAnsi="Aptos"/>
                <w:i/>
                <w:color w:val="1D2528"/>
                <w:sz w:val="20"/>
              </w:rPr>
              <w:t>“Adoptá una postura cómoda, con apoyo estable. Durante los próximos cinco minutos descansá en silencio y respirá de manera natural. No intentes modificar tu estado. Si aparece una incomodidad, acomodate lentamente.”</w:t>
            </w:r>
          </w:p>
        </w:tc>
      </w:tr>
    </w:tbl>
    <w:p>
      <w:pPr>
        <w:spacing w:before="0" w:after="120" w:line="269" w:lineRule="auto"/>
      </w:pPr>
      <w:r>
        <w:rPr>
          <w:rFonts w:ascii="Aptos" w:hAnsi="Aptos"/>
          <w:i w:val="0"/>
          <w:color w:val="1D2528"/>
          <w:sz w:val="21"/>
        </w:rPr>
        <w:t>El facilitador inicia el cronómetro, evita moverse por la sala y no agrega música, aromas, instrumentos ni explicaciones.</w:t>
      </w:r>
    </w:p>
    <w:p>
      <w:pPr>
        <w:pStyle w:val="Heading2"/>
        <w:keepNext/>
        <w:spacing w:before="140" w:after="80"/>
      </w:pPr>
      <w:r>
        <w:rPr>
          <w:rFonts w:ascii="Aptos" w:hAnsi="Aptos"/>
          <w:b/>
          <w:color w:val="186C7F"/>
          <w:sz w:val="27"/>
        </w:rPr>
        <w:t>5.4 Apertura de la experiencia — guion común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1"/>
      </w:tblGrid>
      <w:tr>
        <w:trPr>
          <w:cantSplit/>
        </w:trPr>
        <w:tc>
          <w:tcPr>
            <w:tcW w:type="dxa" w:w="9866"/>
            <w:shd w:fill="186C7F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color="186C7F"/>
              <w:left w:val="single" w:sz="8" w:color="186C7F"/>
              <w:bottom w:val="single" w:sz="8" w:color="186C7F"/>
              <w:right w:val="single" w:sz="8" w:color="186C7F"/>
            </w:tcBorders>
          </w:tcPr>
          <w:p>
            <w:pPr>
              <w:spacing w:before="0" w:after="0" w:line="259" w:lineRule="auto"/>
              <w:keepLines/>
              <w:keepNext/>
            </w:pPr>
            <w:r>
              <w:rPr>
                <w:rFonts w:ascii="Aptos" w:hAnsi="Aptos"/>
                <w:b/>
                <w:color w:val="FFFFFF"/>
                <w:sz w:val="21"/>
              </w:rPr>
              <w:t>GUION DE INICIO</w:t>
            </w:r>
          </w:p>
        </w:tc>
      </w:tr>
      <w:tr>
        <w:trPr>
          <w:cantSplit/>
        </w:trPr>
        <w:tc>
          <w:tcPr>
            <w:tcW w:type="dxa" w:w="9866"/>
            <w:shd w:fill="F7FBFB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color="186C7F"/>
              <w:left w:val="single" w:sz="8" w:color="186C7F"/>
              <w:bottom w:val="single" w:sz="8" w:color="186C7F"/>
              <w:right w:val="single" w:sz="8" w:color="186C7F"/>
            </w:tcBorders>
          </w:tcPr>
          <w:p>
            <w:pPr>
              <w:spacing w:before="0" w:after="0" w:line="278" w:lineRule="auto"/>
              <w:keepLines/>
            </w:pPr>
            <w:r>
              <w:rPr>
                <w:rFonts w:ascii="Aptos" w:hAnsi="Aptos"/>
                <w:i/>
                <w:color w:val="1D2528"/>
                <w:sz w:val="20"/>
              </w:rPr>
              <w:t>“La experiencia comienza ahora. Recordá que podés abrir los ojos, cambiar de postura o levantar la mano si necesitás detenerte. No hace falta conseguir relajación, coherencia ni ninguna sensación particular.”</w:t>
            </w:r>
          </w:p>
        </w:tc>
      </w:tr>
    </w:tbl>
    <w:p>
      <w:pPr>
        <w:pStyle w:val="Heading2"/>
        <w:keepNext/>
        <w:spacing w:before="140" w:after="80"/>
      </w:pPr>
      <w:r>
        <w:rPr>
          <w:rFonts w:ascii="Aptos" w:hAnsi="Aptos"/>
          <w:b/>
          <w:color w:val="186C7F"/>
          <w:sz w:val="27"/>
        </w:rPr>
        <w:t>5.5 Cierre común antes de la medición post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1"/>
      </w:tblGrid>
      <w:tr>
        <w:trPr>
          <w:cantSplit/>
        </w:trPr>
        <w:tc>
          <w:tcPr>
            <w:tcW w:type="dxa" w:w="9866"/>
            <w:shd w:fill="186C7F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color="186C7F"/>
              <w:left w:val="single" w:sz="8" w:color="186C7F"/>
              <w:bottom w:val="single" w:sz="8" w:color="186C7F"/>
              <w:right w:val="single" w:sz="8" w:color="186C7F"/>
            </w:tcBorders>
          </w:tcPr>
          <w:p>
            <w:pPr>
              <w:spacing w:before="0" w:after="0" w:line="259" w:lineRule="auto"/>
              <w:keepLines/>
              <w:keepNext/>
            </w:pPr>
            <w:r>
              <w:rPr>
                <w:rFonts w:ascii="Aptos" w:hAnsi="Aptos"/>
                <w:b/>
                <w:color w:val="FFFFFF"/>
                <w:sz w:val="21"/>
              </w:rPr>
              <w:t>GUION DE CIERRE</w:t>
            </w:r>
          </w:p>
        </w:tc>
      </w:tr>
      <w:tr>
        <w:trPr>
          <w:cantSplit/>
        </w:trPr>
        <w:tc>
          <w:tcPr>
            <w:tcW w:type="dxa" w:w="9866"/>
            <w:shd w:fill="F7FBFB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color="186C7F"/>
              <w:left w:val="single" w:sz="8" w:color="186C7F"/>
              <w:bottom w:val="single" w:sz="8" w:color="186C7F"/>
              <w:right w:val="single" w:sz="8" w:color="186C7F"/>
            </w:tcBorders>
          </w:tcPr>
          <w:p>
            <w:pPr>
              <w:spacing w:before="0" w:after="0" w:line="278" w:lineRule="auto"/>
              <w:keepLines/>
            </w:pPr>
            <w:r>
              <w:rPr>
                <w:rFonts w:ascii="Aptos" w:hAnsi="Aptos"/>
                <w:i/>
                <w:color w:val="1D2528"/>
                <w:sz w:val="20"/>
              </w:rPr>
              <w:t>“La experiencia terminó. Permanecé en silencio y mové lentamente manos y pies. Cuando estés listo/a, incorporáte sin apuro. Todavía no conversaremos sobre lo vivido porque primero repetiremos las mediciones.”</w:t>
            </w:r>
          </w:p>
        </w:tc>
      </w:tr>
    </w:tbl>
    <w:p>
      <w:pPr>
        <w:pStyle w:val="Heading2"/>
        <w:keepNext/>
        <w:spacing w:before="140" w:after="80"/>
      </w:pPr>
      <w:r>
        <w:rPr>
          <w:rFonts w:ascii="Aptos" w:hAnsi="Aptos"/>
          <w:b/>
          <w:color w:val="186C7F"/>
          <w:sz w:val="27"/>
        </w:rPr>
        <w:t>5.6 Secuencia total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417"/>
            <w:shd w:fill="186C7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  <w:keepLines/>
            </w:pPr>
            <w:r>
              <w:rPr>
                <w:rFonts w:ascii="Aptos" w:hAnsi="Aptos"/>
                <w:b/>
                <w:color w:val="FFFFFF"/>
                <w:sz w:val="18"/>
              </w:rPr>
              <w:t>Minuto</w:t>
            </w:r>
          </w:p>
        </w:tc>
        <w:tc>
          <w:tcPr>
            <w:tcW w:type="dxa" w:w="5896"/>
            <w:shd w:fill="186C7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  <w:keepLines/>
            </w:pPr>
            <w:r>
              <w:rPr>
                <w:rFonts w:ascii="Aptos" w:hAnsi="Aptos"/>
                <w:b/>
                <w:color w:val="FFFFFF"/>
                <w:sz w:val="18"/>
              </w:rPr>
              <w:t>Acción</w:t>
            </w:r>
          </w:p>
        </w:tc>
        <w:tc>
          <w:tcPr>
            <w:tcW w:type="dxa" w:w="2324"/>
            <w:shd w:fill="186C7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  <w:keepLines/>
            </w:pPr>
            <w:r>
              <w:rPr>
                <w:rFonts w:ascii="Aptos" w:hAnsi="Aptos"/>
                <w:b/>
                <w:color w:val="FFFFFF"/>
                <w:sz w:val="18"/>
              </w:rPr>
              <w:t>Responsable</w:t>
            </w:r>
          </w:p>
        </w:tc>
      </w:tr>
      <w:tr>
        <w:trPr>
          <w:cantSplit/>
          <w:cantSplit/>
        </w:trPr>
        <w:tc>
          <w:tcPr>
            <w:tcW w:type="dxa" w:w="141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−20 a −10</w:t>
            </w:r>
          </w:p>
        </w:tc>
        <w:tc>
          <w:tcPr>
            <w:tcW w:type="dxa" w:w="58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Preparar sala, equipos, sobres de condición y fichas.</w:t>
            </w:r>
          </w:p>
        </w:tc>
        <w:tc>
          <w:tcPr>
            <w:tcW w:type="dxa" w:w="23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Coordinación / evaluación</w:t>
            </w:r>
          </w:p>
        </w:tc>
      </w:tr>
      <w:tr>
        <w:trPr>
          <w:cantSplit/>
          <w:cantSplit/>
        </w:trPr>
        <w:tc>
          <w:tcPr>
            <w:tcW w:type="dxa" w:w="141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−10 a 0</w:t>
            </w:r>
          </w:p>
        </w:tc>
        <w:tc>
          <w:tcPr>
            <w:tcW w:type="dxa" w:w="58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Consentimiento, seguridad y variables de contexto.</w:t>
            </w:r>
          </w:p>
        </w:tc>
        <w:tc>
          <w:tcPr>
            <w:tcW w:type="dxa" w:w="23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Coordinación</w:t>
            </w:r>
          </w:p>
        </w:tc>
      </w:tr>
      <w:tr>
        <w:trPr>
          <w:cantSplit/>
          <w:cantSplit/>
        </w:trPr>
        <w:tc>
          <w:tcPr>
            <w:tcW w:type="dxa" w:w="141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0 a 5</w:t>
            </w:r>
          </w:p>
        </w:tc>
        <w:tc>
          <w:tcPr>
            <w:tcW w:type="dxa" w:w="58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Acomodación basal común.</w:t>
            </w:r>
          </w:p>
        </w:tc>
        <w:tc>
          <w:tcPr>
            <w:tcW w:type="dxa" w:w="23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Facilitación</w:t>
            </w:r>
          </w:p>
        </w:tc>
      </w:tr>
      <w:tr>
        <w:trPr>
          <w:cantSplit/>
          <w:cantSplit/>
        </w:trPr>
        <w:tc>
          <w:tcPr>
            <w:tcW w:type="dxa" w:w="141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5 a 20/25</w:t>
            </w:r>
          </w:p>
        </w:tc>
        <w:tc>
          <w:tcPr>
            <w:tcW w:type="dxa" w:w="58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Mediciones pre.</w:t>
            </w:r>
          </w:p>
        </w:tc>
        <w:tc>
          <w:tcPr>
            <w:tcW w:type="dxa" w:w="23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Evaluación</w:t>
            </w:r>
          </w:p>
        </w:tc>
      </w:tr>
      <w:tr>
        <w:trPr>
          <w:cantSplit/>
          <w:cantSplit/>
        </w:trPr>
        <w:tc>
          <w:tcPr>
            <w:tcW w:type="dxa" w:w="141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25 a 60</w:t>
            </w:r>
          </w:p>
        </w:tc>
        <w:tc>
          <w:tcPr>
            <w:tcW w:type="dxa" w:w="58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Experiencia A, B o C — 35 min.</w:t>
            </w:r>
          </w:p>
        </w:tc>
        <w:tc>
          <w:tcPr>
            <w:tcW w:type="dxa" w:w="23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Facilitación</w:t>
            </w:r>
          </w:p>
        </w:tc>
      </w:tr>
      <w:tr>
        <w:trPr>
          <w:cantSplit/>
          <w:cantSplit/>
        </w:trPr>
        <w:tc>
          <w:tcPr>
            <w:tcW w:type="dxa" w:w="141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60 a 65</w:t>
            </w:r>
          </w:p>
        </w:tc>
        <w:tc>
          <w:tcPr>
            <w:tcW w:type="dxa" w:w="58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Transición silenciosa.</w:t>
            </w:r>
          </w:p>
        </w:tc>
        <w:tc>
          <w:tcPr>
            <w:tcW w:type="dxa" w:w="23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Facilitación</w:t>
            </w:r>
          </w:p>
        </w:tc>
      </w:tr>
      <w:tr>
        <w:trPr>
          <w:cantSplit/>
          <w:cantSplit/>
        </w:trPr>
        <w:tc>
          <w:tcPr>
            <w:tcW w:type="dxa" w:w="141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65 a 80/85</w:t>
            </w:r>
          </w:p>
        </w:tc>
        <w:tc>
          <w:tcPr>
            <w:tcW w:type="dxa" w:w="58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Mediciones post.</w:t>
            </w:r>
          </w:p>
        </w:tc>
        <w:tc>
          <w:tcPr>
            <w:tcW w:type="dxa" w:w="23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Evaluación</w:t>
            </w:r>
          </w:p>
        </w:tc>
      </w:tr>
      <w:tr>
        <w:trPr>
          <w:cantSplit/>
          <w:cantSplit/>
        </w:trPr>
        <w:tc>
          <w:tcPr>
            <w:tcW w:type="dxa" w:w="141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85 a 90</w:t>
            </w:r>
          </w:p>
        </w:tc>
        <w:tc>
          <w:tcPr>
            <w:tcW w:type="dxa" w:w="58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Chequeo de seguridad y debrief.</w:t>
            </w:r>
          </w:p>
        </w:tc>
        <w:tc>
          <w:tcPr>
            <w:tcW w:type="dxa" w:w="23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Coordinación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</w:trPr>
        <w:tc>
          <w:tcPr>
            <w:tcW w:type="dxa" w:w="9866"/>
            <w:shd w:fill="186C7F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start w:w="150" w:type="dxa"/>
              <w:bottom w:w="90" w:type="dxa"/>
              <w:end w:w="150" w:type="dxa"/>
            </w:tcMar>
          </w:tcPr>
          <w:p>
            <w:pPr>
              <w:spacing w:before="0" w:after="0" w:line="259" w:lineRule="auto"/>
              <w:jc w:val="left"/>
              <w:keepLines/>
            </w:pPr>
            <w:r>
              <w:rPr>
                <w:rFonts w:ascii="Aptos" w:hAnsi="Aptos"/>
                <w:b/>
                <w:color w:val="FFFFFF"/>
                <w:sz w:val="25"/>
              </w:rPr>
              <w:t>6. GRUPO A — GONG + RESPIRACIÓN + CONEXIÓN</w:t>
            </w:r>
          </w:p>
        </w:tc>
      </w:tr>
    </w:tbl>
    <w:p>
      <w:pPr>
        <w:pStyle w:val="Heading1"/>
        <w:keepNext/>
        <w:spacing w:before="200" w:after="80"/>
      </w:pPr>
      <w:r>
        <w:rPr>
          <w:rFonts w:ascii="Aptos" w:hAnsi="Aptos"/>
          <w:b/>
          <w:color w:val="0E4F5D"/>
          <w:sz w:val="34"/>
        </w:rPr>
        <w:t>6.1 Objetivo de la condición</w:t>
      </w:r>
    </w:p>
    <w:p>
      <w:pPr>
        <w:spacing w:before="0" w:after="120" w:line="269" w:lineRule="auto"/>
      </w:pPr>
      <w:r>
        <w:rPr>
          <w:rFonts w:ascii="Aptos" w:hAnsi="Aptos"/>
          <w:i w:val="0"/>
          <w:color w:val="1D2528"/>
          <w:sz w:val="21"/>
        </w:rPr>
        <w:t>Crear un contexto interpersonal breve de escucha y reconocimiento antes de la estimulación vibroacústica. El componente activo incluye respiración lenta, intercambio en parejas y gong.</w:t>
      </w:r>
    </w:p>
    <w:p>
      <w:pPr>
        <w:pStyle w:val="Heading2"/>
        <w:keepNext/>
        <w:spacing w:before="140" w:after="80"/>
      </w:pPr>
      <w:r>
        <w:rPr>
          <w:rFonts w:ascii="Aptos" w:hAnsi="Aptos"/>
          <w:b/>
          <w:color w:val="186C7F"/>
          <w:sz w:val="27"/>
        </w:rPr>
        <w:t>6.2 Cronograma de intervención — 35 minutos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247"/>
            <w:shd w:fill="186C7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  <w:keepLines/>
            </w:pPr>
            <w:r>
              <w:rPr>
                <w:rFonts w:ascii="Aptos" w:hAnsi="Aptos"/>
                <w:b/>
                <w:color w:val="FFFFFF"/>
                <w:sz w:val="19"/>
              </w:rPr>
              <w:t>Minutos</w:t>
            </w:r>
          </w:p>
        </w:tc>
        <w:tc>
          <w:tcPr>
            <w:tcW w:type="dxa" w:w="2381"/>
            <w:shd w:fill="186C7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  <w:keepLines/>
            </w:pPr>
            <w:r>
              <w:rPr>
                <w:rFonts w:ascii="Aptos" w:hAnsi="Aptos"/>
                <w:b/>
                <w:color w:val="FFFFFF"/>
                <w:sz w:val="19"/>
              </w:rPr>
              <w:t>Bloque</w:t>
            </w:r>
          </w:p>
        </w:tc>
        <w:tc>
          <w:tcPr>
            <w:tcW w:type="dxa" w:w="6009"/>
            <w:shd w:fill="186C7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  <w:keepLines/>
            </w:pPr>
            <w:r>
              <w:rPr>
                <w:rFonts w:ascii="Aptos" w:hAnsi="Aptos"/>
                <w:b/>
                <w:color w:val="FFFFFF"/>
                <w:sz w:val="19"/>
              </w:rPr>
              <w:t>Acción</w:t>
            </w:r>
          </w:p>
        </w:tc>
      </w:tr>
      <w:tr>
        <w:trPr>
          <w:cantSplit/>
          <w:cantSplit/>
        </w:trPr>
        <w:tc>
          <w:tcPr>
            <w:tcW w:type="dxa" w:w="124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8"/>
              </w:rPr>
              <w:t>0–3</w:t>
            </w:r>
          </w:p>
        </w:tc>
        <w:tc>
          <w:tcPr>
            <w:tcW w:type="dxa" w:w="2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8"/>
              </w:rPr>
              <w:t>Asentamiento</w:t>
            </w:r>
          </w:p>
        </w:tc>
        <w:tc>
          <w:tcPr>
            <w:tcW w:type="dxa" w:w="600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8"/>
              </w:rPr>
              <w:t>Postura cómoda, orientación corporal y silencio.</w:t>
            </w:r>
          </w:p>
        </w:tc>
      </w:tr>
      <w:tr>
        <w:trPr>
          <w:cantSplit/>
          <w:cantSplit/>
        </w:trPr>
        <w:tc>
          <w:tcPr>
            <w:tcW w:type="dxa" w:w="124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8"/>
              </w:rPr>
              <w:t>3–8</w:t>
            </w:r>
          </w:p>
        </w:tc>
        <w:tc>
          <w:tcPr>
            <w:tcW w:type="dxa" w:w="2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8"/>
              </w:rPr>
              <w:t>Respiración lenta</w:t>
            </w:r>
          </w:p>
        </w:tc>
        <w:tc>
          <w:tcPr>
            <w:tcW w:type="dxa" w:w="600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8"/>
              </w:rPr>
              <w:t>5 segundos al inhalar y 5 al exhalar; sin retenciones ni respiración forzada.</w:t>
            </w:r>
          </w:p>
        </w:tc>
      </w:tr>
      <w:tr>
        <w:trPr>
          <w:cantSplit/>
          <w:cantSplit/>
        </w:trPr>
        <w:tc>
          <w:tcPr>
            <w:tcW w:type="dxa" w:w="124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8"/>
              </w:rPr>
              <w:t>8–15</w:t>
            </w:r>
          </w:p>
        </w:tc>
        <w:tc>
          <w:tcPr>
            <w:tcW w:type="dxa" w:w="2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8"/>
              </w:rPr>
              <w:t>Conexión interpersonal</w:t>
            </w:r>
          </w:p>
        </w:tc>
        <w:tc>
          <w:tcPr>
            <w:tcW w:type="dxa" w:w="600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8"/>
              </w:rPr>
              <w:t>Intercambio en parejas con escucha sin consejo.</w:t>
            </w:r>
          </w:p>
        </w:tc>
      </w:tr>
      <w:tr>
        <w:trPr>
          <w:cantSplit/>
          <w:cantSplit/>
        </w:trPr>
        <w:tc>
          <w:tcPr>
            <w:tcW w:type="dxa" w:w="124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8"/>
              </w:rPr>
              <w:t>15–32</w:t>
            </w:r>
          </w:p>
        </w:tc>
        <w:tc>
          <w:tcPr>
            <w:tcW w:type="dxa" w:w="2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8"/>
              </w:rPr>
              <w:t>Gong</w:t>
            </w:r>
          </w:p>
        </w:tc>
        <w:tc>
          <w:tcPr>
            <w:tcW w:type="dxa" w:w="600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8"/>
              </w:rPr>
              <w:t>Secuencia estandarizada de 17 minutos.</w:t>
            </w:r>
          </w:p>
        </w:tc>
      </w:tr>
      <w:tr>
        <w:trPr>
          <w:cantSplit/>
          <w:cantSplit/>
        </w:trPr>
        <w:tc>
          <w:tcPr>
            <w:tcW w:type="dxa" w:w="124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8"/>
              </w:rPr>
              <w:t>32–35</w:t>
            </w:r>
          </w:p>
        </w:tc>
        <w:tc>
          <w:tcPr>
            <w:tcW w:type="dxa" w:w="2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8"/>
              </w:rPr>
              <w:t>Integración</w:t>
            </w:r>
          </w:p>
        </w:tc>
        <w:tc>
          <w:tcPr>
            <w:tcW w:type="dxa" w:w="600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8"/>
              </w:rPr>
              <w:t>Silencio y respiración espontánea.</w:t>
            </w:r>
          </w:p>
        </w:tc>
      </w:tr>
    </w:tbl>
    <w:p>
      <w:pPr>
        <w:pStyle w:val="Heading2"/>
        <w:keepNext/>
        <w:spacing w:before="140" w:after="80"/>
      </w:pPr>
      <w:r>
        <w:rPr>
          <w:rFonts w:ascii="Aptos" w:hAnsi="Aptos"/>
          <w:b/>
          <w:color w:val="186C7F"/>
          <w:sz w:val="27"/>
        </w:rPr>
        <w:t>6.3 Asentamiento — 3 minutos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1"/>
      </w:tblGrid>
      <w:tr>
        <w:trPr>
          <w:cantSplit/>
        </w:trPr>
        <w:tc>
          <w:tcPr>
            <w:tcW w:type="dxa" w:w="9866"/>
            <w:shd w:fill="186C7F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color="186C7F"/>
              <w:left w:val="single" w:sz="8" w:color="186C7F"/>
              <w:bottom w:val="single" w:sz="8" w:color="186C7F"/>
              <w:right w:val="single" w:sz="8" w:color="186C7F"/>
            </w:tcBorders>
          </w:tcPr>
          <w:p>
            <w:pPr>
              <w:spacing w:before="0" w:after="0" w:line="259" w:lineRule="auto"/>
              <w:keepLines/>
              <w:keepNext/>
            </w:pPr>
            <w:r>
              <w:rPr>
                <w:rFonts w:ascii="Aptos" w:hAnsi="Aptos"/>
                <w:b/>
                <w:color w:val="FFFFFF"/>
                <w:sz w:val="21"/>
              </w:rPr>
              <w:t>GUION A1</w:t>
            </w:r>
          </w:p>
        </w:tc>
      </w:tr>
      <w:tr>
        <w:trPr>
          <w:cantSplit/>
        </w:trPr>
        <w:tc>
          <w:tcPr>
            <w:tcW w:type="dxa" w:w="9866"/>
            <w:shd w:fill="F7FBFB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color="186C7F"/>
              <w:left w:val="single" w:sz="8" w:color="186C7F"/>
              <w:bottom w:val="single" w:sz="8" w:color="186C7F"/>
              <w:right w:val="single" w:sz="8" w:color="186C7F"/>
            </w:tcBorders>
          </w:tcPr>
          <w:p>
            <w:pPr>
              <w:spacing w:before="0" w:after="0" w:line="278" w:lineRule="auto"/>
              <w:keepLines/>
            </w:pPr>
            <w:r>
              <w:rPr>
                <w:rFonts w:ascii="Aptos" w:hAnsi="Aptos"/>
                <w:i/>
                <w:color w:val="1D2528"/>
                <w:sz w:val="20"/>
              </w:rPr>
              <w:t>“Sentí los puntos de apoyo del cuerpo. Podés mantener los ojos abiertos o cerrados. Dejá que la respiración encuentre su ritmo natural. Durante estos primeros minutos no haremos nada más.”</w:t>
            </w:r>
          </w:p>
        </w:tc>
      </w:tr>
    </w:tbl>
    <w:p>
      <w:pPr>
        <w:pStyle w:val="Heading2"/>
        <w:keepNext/>
        <w:spacing w:before="140" w:after="80"/>
      </w:pPr>
      <w:r>
        <w:rPr>
          <w:rFonts w:ascii="Aptos" w:hAnsi="Aptos"/>
          <w:b/>
          <w:color w:val="186C7F"/>
          <w:sz w:val="27"/>
        </w:rPr>
        <w:t>6.4 Respiración lenta — 5 minutos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1"/>
      </w:tblGrid>
      <w:tr>
        <w:trPr>
          <w:cantSplit/>
        </w:trPr>
        <w:tc>
          <w:tcPr>
            <w:tcW w:type="dxa" w:w="9866"/>
            <w:shd w:fill="186C7F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color="186C7F"/>
              <w:left w:val="single" w:sz="8" w:color="186C7F"/>
              <w:bottom w:val="single" w:sz="8" w:color="186C7F"/>
              <w:right w:val="single" w:sz="8" w:color="186C7F"/>
            </w:tcBorders>
          </w:tcPr>
          <w:p>
            <w:pPr>
              <w:spacing w:before="0" w:after="0" w:line="259" w:lineRule="auto"/>
              <w:keepLines/>
              <w:keepNext/>
            </w:pPr>
            <w:r>
              <w:rPr>
                <w:rFonts w:ascii="Aptos" w:hAnsi="Aptos"/>
                <w:b/>
                <w:color w:val="FFFFFF"/>
                <w:sz w:val="21"/>
              </w:rPr>
              <w:t>GUION A2</w:t>
            </w:r>
          </w:p>
        </w:tc>
      </w:tr>
      <w:tr>
        <w:trPr>
          <w:cantSplit/>
        </w:trPr>
        <w:tc>
          <w:tcPr>
            <w:tcW w:type="dxa" w:w="9866"/>
            <w:shd w:fill="F7FBFB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color="186C7F"/>
              <w:left w:val="single" w:sz="8" w:color="186C7F"/>
              <w:bottom w:val="single" w:sz="8" w:color="186C7F"/>
              <w:right w:val="single" w:sz="8" w:color="186C7F"/>
            </w:tcBorders>
          </w:tcPr>
          <w:p>
            <w:pPr>
              <w:spacing w:before="0" w:after="0" w:line="278" w:lineRule="auto"/>
              <w:keepLines/>
            </w:pPr>
            <w:r>
              <w:rPr>
                <w:rFonts w:ascii="Aptos" w:hAnsi="Aptos"/>
                <w:i/>
                <w:color w:val="1D2528"/>
                <w:sz w:val="20"/>
              </w:rPr>
              <w:t>“Ahora vamos a usar una respiración suave y cómoda. Inhalá durante cinco segundos y exhalá durante cinco segundos. No llenes los pulmones al máximo y no retengas el aire. Si sentís mareo, volvés de inmediato a tu respiración natural. Voy a marcar el ritmo con mi voz durante cinco minutos.”</w:t>
            </w:r>
          </w:p>
        </w:tc>
      </w:tr>
    </w:tbl>
    <w:p>
      <w:pPr>
        <w:spacing w:before="0" w:after="120" w:line="269" w:lineRule="auto"/>
      </w:pPr>
      <w:r>
        <w:rPr>
          <w:rFonts w:ascii="Aptos" w:hAnsi="Aptos"/>
          <w:i w:val="0"/>
          <w:color w:val="1D2528"/>
          <w:sz w:val="21"/>
        </w:rPr>
        <w:t>Marcar sin dramatización: “inhalá… 2… 3… 4… 5 / exhalá… 2… 3… 4… 5”. Reducir gradualmente la voz en el último minuto.</w:t>
      </w:r>
    </w:p>
    <w:p>
      <w:pPr>
        <w:pStyle w:val="Heading2"/>
        <w:keepNext/>
        <w:spacing w:before="140" w:after="80"/>
      </w:pPr>
      <w:r>
        <w:rPr>
          <w:rFonts w:ascii="Aptos" w:hAnsi="Aptos"/>
          <w:b/>
          <w:color w:val="186C7F"/>
          <w:sz w:val="27"/>
        </w:rPr>
        <w:t>6.5 Dinámica de conexión — 7 minutos</w:t>
      </w:r>
    </w:p>
    <w:p>
      <w:pPr>
        <w:spacing w:before="0" w:after="120" w:line="269" w:lineRule="auto"/>
      </w:pPr>
      <w:r>
        <w:rPr>
          <w:rFonts w:ascii="Aptos" w:hAnsi="Aptos"/>
          <w:i w:val="0"/>
          <w:color w:val="1D2528"/>
          <w:sz w:val="21"/>
        </w:rPr>
        <w:t>Formar parejas previamente asignadas. Registrar si se conocían. Sentadas frente a frente en diagonal, sin contacto físico obligatorio. La mirada es opcional. La consigna evita trauma, secretos, diagnósticos y consejos.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1"/>
      </w:tblGrid>
      <w:tr>
        <w:trPr>
          <w:cantSplit/>
        </w:trPr>
        <w:tc>
          <w:tcPr>
            <w:tcW w:type="dxa" w:w="9866"/>
            <w:shd w:fill="186C7F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color="186C7F"/>
              <w:left w:val="single" w:sz="8" w:color="186C7F"/>
              <w:bottom w:val="single" w:sz="8" w:color="186C7F"/>
              <w:right w:val="single" w:sz="8" w:color="186C7F"/>
            </w:tcBorders>
          </w:tcPr>
          <w:p>
            <w:pPr>
              <w:spacing w:before="0" w:after="0" w:line="259" w:lineRule="auto"/>
              <w:keepLines/>
              <w:keepNext/>
            </w:pPr>
            <w:r>
              <w:rPr>
                <w:rFonts w:ascii="Aptos" w:hAnsi="Aptos"/>
                <w:b/>
                <w:color w:val="FFFFFF"/>
                <w:sz w:val="21"/>
              </w:rPr>
              <w:t>GUION A3 — CONSIGNA</w:t>
            </w:r>
          </w:p>
        </w:tc>
      </w:tr>
      <w:tr>
        <w:trPr>
          <w:cantSplit/>
        </w:trPr>
        <w:tc>
          <w:tcPr>
            <w:tcW w:type="dxa" w:w="9866"/>
            <w:shd w:fill="F7FBFB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color="186C7F"/>
              <w:left w:val="single" w:sz="8" w:color="186C7F"/>
              <w:bottom w:val="single" w:sz="8" w:color="186C7F"/>
              <w:right w:val="single" w:sz="8" w:color="186C7F"/>
            </w:tcBorders>
          </w:tcPr>
          <w:p>
            <w:pPr>
              <w:spacing w:before="0" w:after="0" w:line="278" w:lineRule="auto"/>
              <w:keepLines/>
            </w:pPr>
            <w:r>
              <w:rPr>
                <w:rFonts w:ascii="Aptos" w:hAnsi="Aptos"/>
                <w:i/>
                <w:color w:val="1D2528"/>
                <w:sz w:val="20"/>
              </w:rPr>
              <w:t>“En parejas, una persona hablará durante dos minutos y la otra solamente escuchará. La pregunta es: ‘¿Qué recurso, persona, práctica o cualidad te ayuda a volver a tu centro cuando atravesás una dificultad?’. No hace falta contar algo íntimo. Quien escucha no aconseja, no interpreta y no hace preguntas. Al terminar dirá solamente: ‘Gracias, te escuché’. Después intercambian los roles.”</w:t>
            </w:r>
          </w:p>
        </w:tc>
      </w:tr>
    </w:tbl>
    <w:p>
      <w:pPr>
        <w:spacing w:before="0" w:after="120" w:line="269" w:lineRule="auto"/>
      </w:pPr>
      <w:r>
        <w:rPr>
          <w:rFonts w:ascii="Aptos" w:hAnsi="Aptos"/>
          <w:i w:val="0"/>
          <w:color w:val="1D2528"/>
          <w:sz w:val="21"/>
        </w:rPr>
        <w:t>Secuencia sugerida: 30 s de organización; 2 min persona 1; 15 s “Gracias, te escuché”; 2 min persona 2; 15 s de cierre; 2 min de silencio compartido mirando al frente o con ojos cerrados.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1"/>
      </w:tblGrid>
      <w:tr>
        <w:trPr>
          <w:cantSplit/>
        </w:trPr>
        <w:tc>
          <w:tcPr>
            <w:tcW w:type="dxa" w:w="9866"/>
            <w:shd w:fill="186C7F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color="186C7F"/>
              <w:left w:val="single" w:sz="8" w:color="186C7F"/>
              <w:bottom w:val="single" w:sz="8" w:color="186C7F"/>
              <w:right w:val="single" w:sz="8" w:color="186C7F"/>
            </w:tcBorders>
          </w:tcPr>
          <w:p>
            <w:pPr>
              <w:spacing w:before="0" w:after="0" w:line="259" w:lineRule="auto"/>
              <w:keepLines/>
              <w:keepNext/>
            </w:pPr>
            <w:r>
              <w:rPr>
                <w:rFonts w:ascii="Aptos" w:hAnsi="Aptos"/>
                <w:b/>
                <w:color w:val="FFFFFF"/>
                <w:sz w:val="21"/>
              </w:rPr>
              <w:t>GUION A4 — CIERRE DE LA DINÁMICA</w:t>
            </w:r>
          </w:p>
        </w:tc>
      </w:tr>
      <w:tr>
        <w:trPr>
          <w:cantSplit/>
        </w:trPr>
        <w:tc>
          <w:tcPr>
            <w:tcW w:type="dxa" w:w="9866"/>
            <w:shd w:fill="F7FBFB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color="186C7F"/>
              <w:left w:val="single" w:sz="8" w:color="186C7F"/>
              <w:bottom w:val="single" w:sz="8" w:color="186C7F"/>
              <w:right w:val="single" w:sz="8" w:color="186C7F"/>
            </w:tcBorders>
          </w:tcPr>
          <w:p>
            <w:pPr>
              <w:spacing w:before="0" w:after="0" w:line="278" w:lineRule="auto"/>
              <w:keepLines/>
            </w:pPr>
            <w:r>
              <w:rPr>
                <w:rFonts w:ascii="Aptos" w:hAnsi="Aptos"/>
                <w:i/>
                <w:color w:val="1D2528"/>
                <w:sz w:val="20"/>
              </w:rPr>
              <w:t>“La conversación terminó. Volvé a tu posición inicial y permanecé en silencio. No hace falta evaluar lo que escuchaste ni responder. Simplemente registrá que compartiste un espacio de escucha con otra persona.”</w:t>
            </w:r>
          </w:p>
        </w:tc>
      </w:tr>
    </w:tbl>
    <w:p>
      <w:pPr>
        <w:pStyle w:val="Heading2"/>
        <w:keepNext/>
        <w:spacing w:before="140" w:after="80"/>
      </w:pPr>
      <w:r>
        <w:rPr>
          <w:rFonts w:ascii="Aptos" w:hAnsi="Aptos"/>
          <w:b/>
          <w:color w:val="186C7F"/>
          <w:sz w:val="27"/>
        </w:rPr>
        <w:t>6.6 Gong — 17 minutos</w:t>
      </w:r>
    </w:p>
    <w:p>
      <w:pPr>
        <w:spacing w:before="0" w:after="120" w:line="269" w:lineRule="auto"/>
      </w:pPr>
      <w:r>
        <w:rPr>
          <w:rFonts w:ascii="Aptos" w:hAnsi="Aptos"/>
          <w:i w:val="0"/>
          <w:color w:val="1D2528"/>
          <w:sz w:val="21"/>
        </w:rPr>
        <w:t>Utilizar siempre la misma secuencia, instrumento, posición y rango de intensidad. Ejemplo de estructura: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247"/>
            <w:shd w:fill="186C7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  <w:keepLines/>
            </w:pPr>
            <w:r>
              <w:rPr>
                <w:rFonts w:ascii="Aptos" w:hAnsi="Aptos"/>
                <w:b/>
                <w:color w:val="FFFFFF"/>
                <w:sz w:val="18"/>
              </w:rPr>
              <w:t>Minutos</w:t>
            </w:r>
          </w:p>
        </w:tc>
        <w:tc>
          <w:tcPr>
            <w:tcW w:type="dxa" w:w="2438"/>
            <w:shd w:fill="186C7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  <w:keepLines/>
            </w:pPr>
            <w:r>
              <w:rPr>
                <w:rFonts w:ascii="Aptos" w:hAnsi="Aptos"/>
                <w:b/>
                <w:color w:val="FFFFFF"/>
                <w:sz w:val="18"/>
              </w:rPr>
              <w:t>Intensidad objetivo</w:t>
            </w:r>
          </w:p>
        </w:tc>
        <w:tc>
          <w:tcPr>
            <w:tcW w:type="dxa" w:w="5953"/>
            <w:shd w:fill="186C7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  <w:keepLines/>
            </w:pPr>
            <w:r>
              <w:rPr>
                <w:rFonts w:ascii="Aptos" w:hAnsi="Aptos"/>
                <w:b/>
                <w:color w:val="FFFFFF"/>
                <w:sz w:val="18"/>
              </w:rPr>
              <w:t>Descripción</w:t>
            </w:r>
          </w:p>
        </w:tc>
      </w:tr>
      <w:tr>
        <w:trPr>
          <w:cantSplit/>
          <w:cantSplit/>
        </w:trPr>
        <w:tc>
          <w:tcPr>
            <w:tcW w:type="dxa" w:w="124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0–3</w:t>
            </w:r>
          </w:p>
        </w:tc>
        <w:tc>
          <w:tcPr>
            <w:tcW w:type="dxa" w:w="243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Muy suave</w:t>
            </w:r>
          </w:p>
        </w:tc>
        <w:tc>
          <w:tcPr>
            <w:tcW w:type="dxa" w:w="595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Golpes aislados, amplio espacio entre sonidos; evitar sobresalto.</w:t>
            </w:r>
          </w:p>
        </w:tc>
      </w:tr>
      <w:tr>
        <w:trPr>
          <w:cantSplit/>
          <w:cantSplit/>
        </w:trPr>
        <w:tc>
          <w:tcPr>
            <w:tcW w:type="dxa" w:w="124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3–8</w:t>
            </w:r>
          </w:p>
        </w:tc>
        <w:tc>
          <w:tcPr>
            <w:tcW w:type="dxa" w:w="243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Suave a moderada</w:t>
            </w:r>
          </w:p>
        </w:tc>
        <w:tc>
          <w:tcPr>
            <w:tcW w:type="dxa" w:w="595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Construcción gradual de textura, sin picos abruptos.</w:t>
            </w:r>
          </w:p>
        </w:tc>
      </w:tr>
      <w:tr>
        <w:trPr>
          <w:cantSplit/>
          <w:cantSplit/>
        </w:trPr>
        <w:tc>
          <w:tcPr>
            <w:tcW w:type="dxa" w:w="124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8–13</w:t>
            </w:r>
          </w:p>
        </w:tc>
        <w:tc>
          <w:tcPr>
            <w:tcW w:type="dxa" w:w="243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Moderada estable</w:t>
            </w:r>
          </w:p>
        </w:tc>
        <w:tc>
          <w:tcPr>
            <w:tcW w:type="dxa" w:w="595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Núcleo sonoro; mantener distancia y patrón predefinidos.</w:t>
            </w:r>
          </w:p>
        </w:tc>
      </w:tr>
      <w:tr>
        <w:trPr>
          <w:cantSplit/>
          <w:cantSplit/>
        </w:trPr>
        <w:tc>
          <w:tcPr>
            <w:tcW w:type="dxa" w:w="124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13–16</w:t>
            </w:r>
          </w:p>
        </w:tc>
        <w:tc>
          <w:tcPr>
            <w:tcW w:type="dxa" w:w="243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Descenso gradual</w:t>
            </w:r>
          </w:p>
        </w:tc>
        <w:tc>
          <w:tcPr>
            <w:tcW w:type="dxa" w:w="595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Reducir densidad e intensidad.</w:t>
            </w:r>
          </w:p>
        </w:tc>
      </w:tr>
      <w:tr>
        <w:trPr>
          <w:cantSplit/>
          <w:cantSplit/>
        </w:trPr>
        <w:tc>
          <w:tcPr>
            <w:tcW w:type="dxa" w:w="124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16–17</w:t>
            </w:r>
          </w:p>
        </w:tc>
        <w:tc>
          <w:tcPr>
            <w:tcW w:type="dxa" w:w="243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Cierre</w:t>
            </w:r>
          </w:p>
        </w:tc>
        <w:tc>
          <w:tcPr>
            <w:tcW w:type="dxa" w:w="595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Uno o dos sonidos suaves y silencio completo.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1"/>
      </w:tblGrid>
      <w:tr>
        <w:trPr>
          <w:cantSplit/>
        </w:trPr>
        <w:tc>
          <w:tcPr>
            <w:tcW w:type="dxa" w:w="9866"/>
            <w:shd w:fill="186C7F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color="186C7F"/>
              <w:left w:val="single" w:sz="8" w:color="186C7F"/>
              <w:bottom w:val="single" w:sz="8" w:color="186C7F"/>
              <w:right w:val="single" w:sz="8" w:color="186C7F"/>
            </w:tcBorders>
          </w:tcPr>
          <w:p>
            <w:pPr>
              <w:spacing w:before="0" w:after="0" w:line="259" w:lineRule="auto"/>
              <w:keepLines/>
              <w:keepNext/>
            </w:pPr>
            <w:r>
              <w:rPr>
                <w:rFonts w:ascii="Aptos" w:hAnsi="Aptos"/>
                <w:b/>
                <w:color w:val="FFFFFF"/>
                <w:sz w:val="21"/>
              </w:rPr>
              <w:t>GUION A5 — ANTES DEL GONG</w:t>
            </w:r>
          </w:p>
        </w:tc>
      </w:tr>
      <w:tr>
        <w:trPr>
          <w:cantSplit/>
        </w:trPr>
        <w:tc>
          <w:tcPr>
            <w:tcW w:type="dxa" w:w="9866"/>
            <w:shd w:fill="F7FBFB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color="186C7F"/>
              <w:left w:val="single" w:sz="8" w:color="186C7F"/>
              <w:bottom w:val="single" w:sz="8" w:color="186C7F"/>
              <w:right w:val="single" w:sz="8" w:color="186C7F"/>
            </w:tcBorders>
          </w:tcPr>
          <w:p>
            <w:pPr>
              <w:spacing w:before="0" w:after="0" w:line="278" w:lineRule="auto"/>
              <w:keepLines/>
            </w:pPr>
            <w:r>
              <w:rPr>
                <w:rFonts w:ascii="Aptos" w:hAnsi="Aptos"/>
                <w:i/>
                <w:color w:val="1D2528"/>
                <w:sz w:val="20"/>
              </w:rPr>
              <w:t>“Ahora comenzará una secuencia sonora. No necesitás imaginar nada ni buscar una sensación particular. Podés escuchar el sonido y notar los puntos de apoyo del cuerpo. Si la intensidad resulta incómoda, levantá una mano.”</w:t>
            </w:r>
          </w:p>
        </w:tc>
      </w:tr>
    </w:tbl>
    <w:p>
      <w:pPr>
        <w:pStyle w:val="Heading2"/>
        <w:keepNext/>
        <w:spacing w:before="140" w:after="80"/>
      </w:pPr>
      <w:r>
        <w:rPr>
          <w:rFonts w:ascii="Aptos" w:hAnsi="Aptos"/>
          <w:b/>
          <w:color w:val="186C7F"/>
          <w:sz w:val="27"/>
        </w:rPr>
        <w:t>6.7 Integración — 3 minutos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1"/>
      </w:tblGrid>
      <w:tr>
        <w:trPr>
          <w:cantSplit/>
        </w:trPr>
        <w:tc>
          <w:tcPr>
            <w:tcW w:type="dxa" w:w="9866"/>
            <w:shd w:fill="186C7F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color="186C7F"/>
              <w:left w:val="single" w:sz="8" w:color="186C7F"/>
              <w:bottom w:val="single" w:sz="8" w:color="186C7F"/>
              <w:right w:val="single" w:sz="8" w:color="186C7F"/>
            </w:tcBorders>
          </w:tcPr>
          <w:p>
            <w:pPr>
              <w:spacing w:before="0" w:after="0" w:line="259" w:lineRule="auto"/>
              <w:keepLines/>
              <w:keepNext/>
            </w:pPr>
            <w:r>
              <w:rPr>
                <w:rFonts w:ascii="Aptos" w:hAnsi="Aptos"/>
                <w:b/>
                <w:color w:val="FFFFFF"/>
                <w:sz w:val="21"/>
              </w:rPr>
              <w:t>GUION A6</w:t>
            </w:r>
          </w:p>
        </w:tc>
      </w:tr>
      <w:tr>
        <w:trPr>
          <w:cantSplit/>
        </w:trPr>
        <w:tc>
          <w:tcPr>
            <w:tcW w:type="dxa" w:w="9866"/>
            <w:shd w:fill="F7FBFB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color="186C7F"/>
              <w:left w:val="single" w:sz="8" w:color="186C7F"/>
              <w:bottom w:val="single" w:sz="8" w:color="186C7F"/>
              <w:right w:val="single" w:sz="8" w:color="186C7F"/>
            </w:tcBorders>
          </w:tcPr>
          <w:p>
            <w:pPr>
              <w:spacing w:before="0" w:after="0" w:line="278" w:lineRule="auto"/>
              <w:keepLines/>
            </w:pPr>
            <w:r>
              <w:rPr>
                <w:rFonts w:ascii="Aptos" w:hAnsi="Aptos"/>
                <w:i/>
                <w:color w:val="1D2528"/>
                <w:sz w:val="20"/>
              </w:rPr>
              <w:t>“El sonido terminó. Durante tres minutos permanecé en silencio y dejá que la respiración vuelva a ser completamente espontánea. No analices la experiencia todavía.”</w:t>
            </w:r>
          </w:p>
        </w:tc>
      </w:tr>
    </w:tbl>
    <w:p>
      <w:pPr>
        <w:pStyle w:val="Heading2"/>
        <w:keepNext/>
        <w:spacing w:before="140" w:after="80"/>
      </w:pPr>
      <w:r>
        <w:rPr>
          <w:rFonts w:ascii="Aptos" w:hAnsi="Aptos"/>
          <w:b/>
          <w:color w:val="186C7F"/>
          <w:sz w:val="27"/>
        </w:rPr>
        <w:t>6.8 Prohibiciones de fidelidad</w:t>
      </w:r>
    </w:p>
    <w:p>
      <w:pPr>
        <w:spacing w:before="0" w:after="40" w:line="259" w:lineRule="auto"/>
        <w:ind w:left="170"/>
      </w:pPr>
      <w:r>
        <w:rPr>
          <w:rFonts w:ascii="Aptos" w:hAnsi="Aptos"/>
          <w:color w:val="186C7F"/>
          <w:sz w:val="22"/>
        </w:rPr>
        <w:t xml:space="preserve">☐ </w:t>
      </w:r>
      <w:r>
        <w:rPr>
          <w:rFonts w:ascii="Aptos" w:hAnsi="Aptos"/>
          <w:color w:val="1D2528"/>
          <w:sz w:val="19"/>
        </w:rPr>
        <w:t>No abrazos, masajes, imposición de manos ni contacto físico inducido.</w:t>
      </w:r>
    </w:p>
    <w:p>
      <w:pPr>
        <w:spacing w:before="0" w:after="40" w:line="259" w:lineRule="auto"/>
        <w:ind w:left="170"/>
      </w:pPr>
      <w:r>
        <w:rPr>
          <w:rFonts w:ascii="Aptos" w:hAnsi="Aptos"/>
          <w:color w:val="186C7F"/>
          <w:sz w:val="22"/>
        </w:rPr>
        <w:t xml:space="preserve">☐ </w:t>
      </w:r>
      <w:r>
        <w:rPr>
          <w:rFonts w:ascii="Aptos" w:hAnsi="Aptos"/>
          <w:color w:val="1D2528"/>
          <w:sz w:val="19"/>
        </w:rPr>
        <w:t>No verbalizar “sanación”, “liberación”, “trauma”, “vibración alta” o “vas a regularte”.</w:t>
      </w:r>
    </w:p>
    <w:p>
      <w:pPr>
        <w:spacing w:before="0" w:after="40" w:line="259" w:lineRule="auto"/>
        <w:ind w:left="170"/>
      </w:pPr>
      <w:r>
        <w:rPr>
          <w:rFonts w:ascii="Aptos" w:hAnsi="Aptos"/>
          <w:color w:val="186C7F"/>
          <w:sz w:val="22"/>
        </w:rPr>
        <w:t xml:space="preserve">☐ </w:t>
      </w:r>
      <w:r>
        <w:rPr>
          <w:rFonts w:ascii="Aptos" w:hAnsi="Aptos"/>
          <w:color w:val="1D2528"/>
          <w:sz w:val="19"/>
        </w:rPr>
        <w:t>No permitir conversación grupal antes de la medición post.</w:t>
      </w:r>
    </w:p>
    <w:p>
      <w:pPr>
        <w:spacing w:before="0" w:after="40" w:line="259" w:lineRule="auto"/>
        <w:ind w:left="170"/>
      </w:pPr>
      <w:r>
        <w:rPr>
          <w:rFonts w:ascii="Aptos" w:hAnsi="Aptos"/>
          <w:color w:val="186C7F"/>
          <w:sz w:val="22"/>
        </w:rPr>
        <w:t xml:space="preserve">☐ </w:t>
      </w:r>
      <w:r>
        <w:rPr>
          <w:rFonts w:ascii="Aptos" w:hAnsi="Aptos"/>
          <w:color w:val="1D2528"/>
          <w:sz w:val="19"/>
        </w:rPr>
        <w:t>No adaptar la pregunta de conexión entre cohortes.</w:t>
      </w:r>
    </w:p>
    <w:p>
      <w:pPr>
        <w:spacing w:before="0" w:after="40" w:line="259" w:lineRule="auto"/>
        <w:ind w:left="170"/>
      </w:pPr>
      <w:r>
        <w:rPr>
          <w:rFonts w:ascii="Aptos" w:hAnsi="Aptos"/>
          <w:color w:val="186C7F"/>
          <w:sz w:val="22"/>
        </w:rPr>
        <w:t xml:space="preserve">☐ </w:t>
      </w:r>
      <w:r>
        <w:rPr>
          <w:rFonts w:ascii="Aptos" w:hAnsi="Aptos"/>
          <w:color w:val="1D2528"/>
          <w:sz w:val="19"/>
        </w:rPr>
        <w:t>No agregar instrumentos, aromas o música.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</w:trPr>
        <w:tc>
          <w:tcPr>
            <w:tcW w:type="dxa" w:w="9866"/>
            <w:shd w:fill="186C7F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start w:w="150" w:type="dxa"/>
              <w:bottom w:w="90" w:type="dxa"/>
              <w:end w:w="150" w:type="dxa"/>
            </w:tcMar>
          </w:tcPr>
          <w:p>
            <w:pPr>
              <w:spacing w:before="0" w:after="0" w:line="259" w:lineRule="auto"/>
              <w:jc w:val="left"/>
              <w:keepLines/>
            </w:pPr>
            <w:r>
              <w:rPr>
                <w:rFonts w:ascii="Aptos" w:hAnsi="Aptos"/>
                <w:b/>
                <w:color w:val="FFFFFF"/>
                <w:sz w:val="25"/>
              </w:rPr>
              <w:t>7. GRUPO B — GONG + RESPIRACIÓN, SIN DINÁMICA SOCIAL</w:t>
            </w:r>
          </w:p>
        </w:tc>
      </w:tr>
    </w:tbl>
    <w:p>
      <w:pPr>
        <w:pStyle w:val="Heading1"/>
        <w:keepNext/>
        <w:spacing w:before="200" w:after="80"/>
      </w:pPr>
      <w:r>
        <w:rPr>
          <w:rFonts w:ascii="Aptos" w:hAnsi="Aptos"/>
          <w:b/>
          <w:color w:val="0E4F5D"/>
          <w:sz w:val="34"/>
        </w:rPr>
        <w:t>7.1 Objetivo de la condición</w:t>
      </w:r>
    </w:p>
    <w:p>
      <w:pPr>
        <w:spacing w:before="0" w:after="120" w:line="269" w:lineRule="auto"/>
      </w:pPr>
      <w:r>
        <w:rPr>
          <w:rFonts w:ascii="Aptos" w:hAnsi="Aptos"/>
          <w:i w:val="0"/>
          <w:color w:val="1D2528"/>
          <w:sz w:val="21"/>
        </w:rPr>
        <w:t>Mantener respiración y gong, eliminando el intercambio interpersonal. Este grupo controla el componente social del Grupo A, aunque la mera presencia grupal continúa siendo parte del contexto.</w:t>
      </w:r>
    </w:p>
    <w:p>
      <w:pPr>
        <w:pStyle w:val="Heading2"/>
        <w:keepNext/>
        <w:spacing w:before="140" w:after="80"/>
      </w:pPr>
      <w:r>
        <w:rPr>
          <w:rFonts w:ascii="Aptos" w:hAnsi="Aptos"/>
          <w:b/>
          <w:color w:val="186C7F"/>
          <w:sz w:val="27"/>
        </w:rPr>
        <w:t>7.2 Cronograma de intervención — 35 minutos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247"/>
            <w:shd w:fill="186C7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  <w:keepLines/>
            </w:pPr>
            <w:r>
              <w:rPr>
                <w:rFonts w:ascii="Aptos" w:hAnsi="Aptos"/>
                <w:b/>
                <w:color w:val="FFFFFF"/>
                <w:sz w:val="19"/>
              </w:rPr>
              <w:t>Minutos</w:t>
            </w:r>
          </w:p>
        </w:tc>
        <w:tc>
          <w:tcPr>
            <w:tcW w:type="dxa" w:w="2381"/>
            <w:shd w:fill="186C7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  <w:keepLines/>
            </w:pPr>
            <w:r>
              <w:rPr>
                <w:rFonts w:ascii="Aptos" w:hAnsi="Aptos"/>
                <w:b/>
                <w:color w:val="FFFFFF"/>
                <w:sz w:val="19"/>
              </w:rPr>
              <w:t>Bloque</w:t>
            </w:r>
          </w:p>
        </w:tc>
        <w:tc>
          <w:tcPr>
            <w:tcW w:type="dxa" w:w="6009"/>
            <w:shd w:fill="186C7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  <w:keepLines/>
            </w:pPr>
            <w:r>
              <w:rPr>
                <w:rFonts w:ascii="Aptos" w:hAnsi="Aptos"/>
                <w:b/>
                <w:color w:val="FFFFFF"/>
                <w:sz w:val="19"/>
              </w:rPr>
              <w:t>Acción</w:t>
            </w:r>
          </w:p>
        </w:tc>
      </w:tr>
      <w:tr>
        <w:trPr>
          <w:cantSplit/>
          <w:cantSplit/>
        </w:trPr>
        <w:tc>
          <w:tcPr>
            <w:tcW w:type="dxa" w:w="124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8"/>
              </w:rPr>
              <w:t>0–3</w:t>
            </w:r>
          </w:p>
        </w:tc>
        <w:tc>
          <w:tcPr>
            <w:tcW w:type="dxa" w:w="2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8"/>
              </w:rPr>
              <w:t>Asentamiento</w:t>
            </w:r>
          </w:p>
        </w:tc>
        <w:tc>
          <w:tcPr>
            <w:tcW w:type="dxa" w:w="600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8"/>
              </w:rPr>
              <w:t>Idéntico al Grupo A.</w:t>
            </w:r>
          </w:p>
        </w:tc>
      </w:tr>
      <w:tr>
        <w:trPr>
          <w:cantSplit/>
          <w:cantSplit/>
        </w:trPr>
        <w:tc>
          <w:tcPr>
            <w:tcW w:type="dxa" w:w="124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8"/>
              </w:rPr>
              <w:t>3–8</w:t>
            </w:r>
          </w:p>
        </w:tc>
        <w:tc>
          <w:tcPr>
            <w:tcW w:type="dxa" w:w="2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8"/>
              </w:rPr>
              <w:t>Respiración lenta</w:t>
            </w:r>
          </w:p>
        </w:tc>
        <w:tc>
          <w:tcPr>
            <w:tcW w:type="dxa" w:w="600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8"/>
              </w:rPr>
              <w:t>Idéntica al Grupo A.</w:t>
            </w:r>
          </w:p>
        </w:tc>
      </w:tr>
      <w:tr>
        <w:trPr>
          <w:cantSplit/>
          <w:cantSplit/>
        </w:trPr>
        <w:tc>
          <w:tcPr>
            <w:tcW w:type="dxa" w:w="124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8"/>
              </w:rPr>
              <w:t>8–15</w:t>
            </w:r>
          </w:p>
        </w:tc>
        <w:tc>
          <w:tcPr>
            <w:tcW w:type="dxa" w:w="2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8"/>
              </w:rPr>
              <w:t>Atención individual</w:t>
            </w:r>
          </w:p>
        </w:tc>
        <w:tc>
          <w:tcPr>
            <w:tcW w:type="dxa" w:w="600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8"/>
              </w:rPr>
              <w:t>Observación corporal neutral, sin compartir ni contacto.</w:t>
            </w:r>
          </w:p>
        </w:tc>
      </w:tr>
      <w:tr>
        <w:trPr>
          <w:cantSplit/>
          <w:cantSplit/>
        </w:trPr>
        <w:tc>
          <w:tcPr>
            <w:tcW w:type="dxa" w:w="124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8"/>
              </w:rPr>
              <w:t>15–32</w:t>
            </w:r>
          </w:p>
        </w:tc>
        <w:tc>
          <w:tcPr>
            <w:tcW w:type="dxa" w:w="2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8"/>
              </w:rPr>
              <w:t>Gong</w:t>
            </w:r>
          </w:p>
        </w:tc>
        <w:tc>
          <w:tcPr>
            <w:tcW w:type="dxa" w:w="600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8"/>
              </w:rPr>
              <w:t>Misma secuencia de 17 minutos que el Grupo A.</w:t>
            </w:r>
          </w:p>
        </w:tc>
      </w:tr>
      <w:tr>
        <w:trPr>
          <w:cantSplit/>
          <w:cantSplit/>
        </w:trPr>
        <w:tc>
          <w:tcPr>
            <w:tcW w:type="dxa" w:w="124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8"/>
              </w:rPr>
              <w:t>32–35</w:t>
            </w:r>
          </w:p>
        </w:tc>
        <w:tc>
          <w:tcPr>
            <w:tcW w:type="dxa" w:w="2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8"/>
              </w:rPr>
              <w:t>Integración</w:t>
            </w:r>
          </w:p>
        </w:tc>
        <w:tc>
          <w:tcPr>
            <w:tcW w:type="dxa" w:w="600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8"/>
              </w:rPr>
              <w:t>Silencio y respiración espontánea.</w:t>
            </w:r>
          </w:p>
        </w:tc>
      </w:tr>
    </w:tbl>
    <w:p>
      <w:pPr>
        <w:pStyle w:val="Heading2"/>
        <w:keepNext/>
        <w:spacing w:before="140" w:after="80"/>
      </w:pPr>
      <w:r>
        <w:rPr>
          <w:rFonts w:ascii="Aptos" w:hAnsi="Aptos"/>
          <w:b/>
          <w:color w:val="186C7F"/>
          <w:sz w:val="27"/>
        </w:rPr>
        <w:t>7.3 Asentamiento y respiración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1"/>
      </w:tblGrid>
      <w:tr>
        <w:trPr>
          <w:cantSplit/>
        </w:trPr>
        <w:tc>
          <w:tcPr>
            <w:tcW w:type="dxa" w:w="9866"/>
            <w:shd w:fill="186C7F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color="186C7F"/>
              <w:left w:val="single" w:sz="8" w:color="186C7F"/>
              <w:bottom w:val="single" w:sz="8" w:color="186C7F"/>
              <w:right w:val="single" w:sz="8" w:color="186C7F"/>
            </w:tcBorders>
          </w:tcPr>
          <w:p>
            <w:pPr>
              <w:spacing w:before="0" w:after="0" w:line="259" w:lineRule="auto"/>
              <w:keepLines/>
              <w:keepNext/>
            </w:pPr>
            <w:r>
              <w:rPr>
                <w:rFonts w:ascii="Aptos" w:hAnsi="Aptos"/>
                <w:b/>
                <w:color w:val="FFFFFF"/>
                <w:sz w:val="21"/>
              </w:rPr>
              <w:t>GUION B1</w:t>
            </w:r>
          </w:p>
        </w:tc>
      </w:tr>
      <w:tr>
        <w:trPr>
          <w:cantSplit/>
        </w:trPr>
        <w:tc>
          <w:tcPr>
            <w:tcW w:type="dxa" w:w="9866"/>
            <w:shd w:fill="F7FBFB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color="186C7F"/>
              <w:left w:val="single" w:sz="8" w:color="186C7F"/>
              <w:bottom w:val="single" w:sz="8" w:color="186C7F"/>
              <w:right w:val="single" w:sz="8" w:color="186C7F"/>
            </w:tcBorders>
          </w:tcPr>
          <w:p>
            <w:pPr>
              <w:spacing w:before="0" w:after="0" w:line="278" w:lineRule="auto"/>
              <w:keepLines/>
            </w:pPr>
            <w:r>
              <w:rPr>
                <w:rFonts w:ascii="Aptos" w:hAnsi="Aptos"/>
                <w:i/>
                <w:color w:val="1D2528"/>
                <w:sz w:val="20"/>
              </w:rPr>
              <w:t>Usar exactamente los guiones A1 y A2, con la misma duración, tono y ritmo.</w:t>
            </w:r>
          </w:p>
        </w:tc>
      </w:tr>
    </w:tbl>
    <w:p>
      <w:pPr>
        <w:pStyle w:val="Heading2"/>
        <w:keepNext/>
        <w:spacing w:before="140" w:after="80"/>
      </w:pPr>
      <w:r>
        <w:rPr>
          <w:rFonts w:ascii="Aptos" w:hAnsi="Aptos"/>
          <w:b/>
          <w:color w:val="186C7F"/>
          <w:sz w:val="27"/>
        </w:rPr>
        <w:t>7.4 Atención individual neutral — 7 minutos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1"/>
      </w:tblGrid>
      <w:tr>
        <w:trPr>
          <w:cantSplit/>
        </w:trPr>
        <w:tc>
          <w:tcPr>
            <w:tcW w:type="dxa" w:w="9866"/>
            <w:shd w:fill="186C7F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color="186C7F"/>
              <w:left w:val="single" w:sz="8" w:color="186C7F"/>
              <w:bottom w:val="single" w:sz="8" w:color="186C7F"/>
              <w:right w:val="single" w:sz="8" w:color="186C7F"/>
            </w:tcBorders>
          </w:tcPr>
          <w:p>
            <w:pPr>
              <w:spacing w:before="0" w:after="0" w:line="259" w:lineRule="auto"/>
              <w:keepLines/>
              <w:keepNext/>
            </w:pPr>
            <w:r>
              <w:rPr>
                <w:rFonts w:ascii="Aptos" w:hAnsi="Aptos"/>
                <w:b/>
                <w:color w:val="FFFFFF"/>
                <w:sz w:val="21"/>
              </w:rPr>
              <w:t>GUION B2</w:t>
            </w:r>
          </w:p>
        </w:tc>
      </w:tr>
      <w:tr>
        <w:trPr>
          <w:cantSplit/>
        </w:trPr>
        <w:tc>
          <w:tcPr>
            <w:tcW w:type="dxa" w:w="9866"/>
            <w:shd w:fill="F7FBFB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color="186C7F"/>
              <w:left w:val="single" w:sz="8" w:color="186C7F"/>
              <w:bottom w:val="single" w:sz="8" w:color="186C7F"/>
              <w:right w:val="single" w:sz="8" w:color="186C7F"/>
            </w:tcBorders>
          </w:tcPr>
          <w:p>
            <w:pPr>
              <w:spacing w:before="0" w:after="0" w:line="278" w:lineRule="auto"/>
              <w:keepLines/>
            </w:pPr>
            <w:r>
              <w:rPr>
                <w:rFonts w:ascii="Aptos" w:hAnsi="Aptos"/>
                <w:i/>
                <w:color w:val="1D2528"/>
                <w:sz w:val="20"/>
              </w:rPr>
              <w:t>“Durante los próximos siete minutos la atención será individual. No mires ni interactúes con otras personas. Notá, sin intentar cambiar nada, tres zonas: los puntos de apoyo, la temperatura de las manos y los sonidos del ambiente. Si la mente se distrae, volvés a cualquiera de esas tres referencias. No hace falta relajarte ni producir una emoción.”</w:t>
            </w:r>
          </w:p>
        </w:tc>
      </w:tr>
    </w:tbl>
    <w:p>
      <w:pPr>
        <w:spacing w:before="0" w:after="120" w:line="269" w:lineRule="auto"/>
      </w:pPr>
      <w:r>
        <w:rPr>
          <w:rFonts w:ascii="Aptos" w:hAnsi="Aptos"/>
          <w:i w:val="0"/>
          <w:color w:val="1D2528"/>
          <w:sz w:val="21"/>
        </w:rPr>
        <w:t>El facilitador recuerda las tres referencias al minuto 2 y al minuto 5, sin usar palabras de apoyo, pertenencia, seguridad social o conexión.</w:t>
      </w:r>
    </w:p>
    <w:p>
      <w:pPr>
        <w:pStyle w:val="Heading2"/>
        <w:keepNext/>
        <w:spacing w:before="140" w:after="80"/>
      </w:pPr>
      <w:r>
        <w:rPr>
          <w:rFonts w:ascii="Aptos" w:hAnsi="Aptos"/>
          <w:b/>
          <w:color w:val="186C7F"/>
          <w:sz w:val="27"/>
        </w:rPr>
        <w:t>7.5 Gong — 17 minutos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1"/>
      </w:tblGrid>
      <w:tr>
        <w:trPr>
          <w:cantSplit/>
        </w:trPr>
        <w:tc>
          <w:tcPr>
            <w:tcW w:type="dxa" w:w="9866"/>
            <w:shd w:fill="186C7F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color="186C7F"/>
              <w:left w:val="single" w:sz="8" w:color="186C7F"/>
              <w:bottom w:val="single" w:sz="8" w:color="186C7F"/>
              <w:right w:val="single" w:sz="8" w:color="186C7F"/>
            </w:tcBorders>
          </w:tcPr>
          <w:p>
            <w:pPr>
              <w:spacing w:before="0" w:after="0" w:line="259" w:lineRule="auto"/>
              <w:keepLines/>
              <w:keepNext/>
            </w:pPr>
            <w:r>
              <w:rPr>
                <w:rFonts w:ascii="Aptos" w:hAnsi="Aptos"/>
                <w:b/>
                <w:color w:val="FFFFFF"/>
                <w:sz w:val="21"/>
              </w:rPr>
              <w:t>GUION B3 — ANTES DEL GONG</w:t>
            </w:r>
          </w:p>
        </w:tc>
      </w:tr>
      <w:tr>
        <w:trPr>
          <w:cantSplit/>
        </w:trPr>
        <w:tc>
          <w:tcPr>
            <w:tcW w:type="dxa" w:w="9866"/>
            <w:shd w:fill="F7FBFB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color="186C7F"/>
              <w:left w:val="single" w:sz="8" w:color="186C7F"/>
              <w:bottom w:val="single" w:sz="8" w:color="186C7F"/>
              <w:right w:val="single" w:sz="8" w:color="186C7F"/>
            </w:tcBorders>
          </w:tcPr>
          <w:p>
            <w:pPr>
              <w:spacing w:before="0" w:after="0" w:line="278" w:lineRule="auto"/>
              <w:keepLines/>
            </w:pPr>
            <w:r>
              <w:rPr>
                <w:rFonts w:ascii="Aptos" w:hAnsi="Aptos"/>
                <w:i/>
                <w:color w:val="1D2528"/>
                <w:sz w:val="20"/>
              </w:rPr>
              <w:t>“Ahora comenzará una secuencia sonora. No necesitás imaginar nada ni buscar una sensación particular. Podés escuchar el sonido y notar los puntos de apoyo del cuerpo. Si la intensidad resulta incómoda, levantá una mano.”</w:t>
            </w:r>
          </w:p>
        </w:tc>
      </w:tr>
    </w:tbl>
    <w:p>
      <w:pPr>
        <w:spacing w:before="0" w:after="120" w:line="269" w:lineRule="auto"/>
      </w:pPr>
      <w:r>
        <w:rPr>
          <w:rFonts w:ascii="Aptos" w:hAnsi="Aptos"/>
          <w:i w:val="0"/>
          <w:color w:val="1D2528"/>
          <w:sz w:val="21"/>
        </w:rPr>
        <w:t>Reproducir la misma secuencia instrumental del Grupo A. Idealmente, utilizar un mapa temporal o grabación de referencia para entrenar al gongista.</w:t>
      </w:r>
    </w:p>
    <w:p>
      <w:pPr>
        <w:pStyle w:val="Heading2"/>
        <w:keepNext/>
        <w:spacing w:before="140" w:after="80"/>
      </w:pPr>
      <w:r>
        <w:rPr>
          <w:rFonts w:ascii="Aptos" w:hAnsi="Aptos"/>
          <w:b/>
          <w:color w:val="186C7F"/>
          <w:sz w:val="27"/>
        </w:rPr>
        <w:t>7.6 Integración — 3 minutos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1"/>
      </w:tblGrid>
      <w:tr>
        <w:trPr>
          <w:cantSplit/>
        </w:trPr>
        <w:tc>
          <w:tcPr>
            <w:tcW w:type="dxa" w:w="9866"/>
            <w:shd w:fill="186C7F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color="186C7F"/>
              <w:left w:val="single" w:sz="8" w:color="186C7F"/>
              <w:bottom w:val="single" w:sz="8" w:color="186C7F"/>
              <w:right w:val="single" w:sz="8" w:color="186C7F"/>
            </w:tcBorders>
          </w:tcPr>
          <w:p>
            <w:pPr>
              <w:spacing w:before="0" w:after="0" w:line="259" w:lineRule="auto"/>
              <w:keepLines/>
              <w:keepNext/>
            </w:pPr>
            <w:r>
              <w:rPr>
                <w:rFonts w:ascii="Aptos" w:hAnsi="Aptos"/>
                <w:b/>
                <w:color w:val="FFFFFF"/>
                <w:sz w:val="21"/>
              </w:rPr>
              <w:t>GUION B4</w:t>
            </w:r>
          </w:p>
        </w:tc>
      </w:tr>
      <w:tr>
        <w:trPr>
          <w:cantSplit/>
        </w:trPr>
        <w:tc>
          <w:tcPr>
            <w:tcW w:type="dxa" w:w="9866"/>
            <w:shd w:fill="F7FBFB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color="186C7F"/>
              <w:left w:val="single" w:sz="8" w:color="186C7F"/>
              <w:bottom w:val="single" w:sz="8" w:color="186C7F"/>
              <w:right w:val="single" w:sz="8" w:color="186C7F"/>
            </w:tcBorders>
          </w:tcPr>
          <w:p>
            <w:pPr>
              <w:spacing w:before="0" w:after="0" w:line="278" w:lineRule="auto"/>
              <w:keepLines/>
            </w:pPr>
            <w:r>
              <w:rPr>
                <w:rFonts w:ascii="Aptos" w:hAnsi="Aptos"/>
                <w:i/>
                <w:color w:val="1D2528"/>
                <w:sz w:val="20"/>
              </w:rPr>
              <w:t>“El sonido terminó. Durante tres minutos permanecé en silencio y dejá que la respiración vuelva a ser completamente espontánea. No analices la experiencia todavía.”</w:t>
            </w:r>
          </w:p>
        </w:tc>
      </w:tr>
    </w:tbl>
    <w:p>
      <w:pPr>
        <w:pStyle w:val="Heading2"/>
        <w:keepNext/>
        <w:spacing w:before="140" w:after="80"/>
      </w:pPr>
      <w:r>
        <w:rPr>
          <w:rFonts w:ascii="Aptos" w:hAnsi="Aptos"/>
          <w:b/>
          <w:color w:val="186C7F"/>
          <w:sz w:val="27"/>
        </w:rPr>
        <w:t>7.7 Control de contaminación social</w:t>
      </w:r>
    </w:p>
    <w:p>
      <w:pPr>
        <w:spacing w:before="0" w:after="40" w:line="259" w:lineRule="auto"/>
        <w:ind w:left="170"/>
      </w:pPr>
      <w:r>
        <w:rPr>
          <w:rFonts w:ascii="Aptos" w:hAnsi="Aptos"/>
          <w:color w:val="186C7F"/>
          <w:sz w:val="22"/>
        </w:rPr>
        <w:t xml:space="preserve">☐ </w:t>
      </w:r>
      <w:r>
        <w:rPr>
          <w:rFonts w:ascii="Aptos" w:hAnsi="Aptos"/>
          <w:color w:val="1D2528"/>
          <w:sz w:val="19"/>
        </w:rPr>
        <w:t>No formar parejas ni invitar a mirarse.</w:t>
      </w:r>
    </w:p>
    <w:p>
      <w:pPr>
        <w:spacing w:before="0" w:after="40" w:line="259" w:lineRule="auto"/>
        <w:ind w:left="170"/>
      </w:pPr>
      <w:r>
        <w:rPr>
          <w:rFonts w:ascii="Aptos" w:hAnsi="Aptos"/>
          <w:color w:val="186C7F"/>
          <w:sz w:val="22"/>
        </w:rPr>
        <w:t xml:space="preserve">☐ </w:t>
      </w:r>
      <w:r>
        <w:rPr>
          <w:rFonts w:ascii="Aptos" w:hAnsi="Aptos"/>
          <w:color w:val="1D2528"/>
          <w:sz w:val="19"/>
        </w:rPr>
        <w:t>No usar frases como “estamos juntos”, “sentí el grupo” o “dejate sostener”.</w:t>
      </w:r>
    </w:p>
    <w:p>
      <w:pPr>
        <w:spacing w:before="0" w:after="40" w:line="259" w:lineRule="auto"/>
        <w:ind w:left="170"/>
      </w:pPr>
      <w:r>
        <w:rPr>
          <w:rFonts w:ascii="Aptos" w:hAnsi="Aptos"/>
          <w:color w:val="186C7F"/>
          <w:sz w:val="22"/>
        </w:rPr>
        <w:t xml:space="preserve">☐ </w:t>
      </w:r>
      <w:r>
        <w:rPr>
          <w:rFonts w:ascii="Aptos" w:hAnsi="Aptos"/>
          <w:color w:val="1D2528"/>
          <w:sz w:val="19"/>
        </w:rPr>
        <w:t>No pedir que recuerden a una persona querida o figura de apoyo.</w:t>
      </w:r>
    </w:p>
    <w:p>
      <w:pPr>
        <w:spacing w:before="0" w:after="40" w:line="259" w:lineRule="auto"/>
        <w:ind w:left="170"/>
      </w:pPr>
      <w:r>
        <w:rPr>
          <w:rFonts w:ascii="Aptos" w:hAnsi="Aptos"/>
          <w:color w:val="186C7F"/>
          <w:sz w:val="22"/>
        </w:rPr>
        <w:t xml:space="preserve">☐ </w:t>
      </w:r>
      <w:r>
        <w:rPr>
          <w:rFonts w:ascii="Aptos" w:hAnsi="Aptos"/>
          <w:color w:val="1D2528"/>
          <w:sz w:val="19"/>
        </w:rPr>
        <w:t>Evitar que el facilitador brinde validaciones individuales salvo por seguridad.</w:t>
      </w:r>
    </w:p>
    <w:p>
      <w:pPr>
        <w:spacing w:before="0" w:after="40" w:line="259" w:lineRule="auto"/>
        <w:ind w:left="170"/>
      </w:pPr>
      <w:r>
        <w:rPr>
          <w:rFonts w:ascii="Aptos" w:hAnsi="Aptos"/>
          <w:color w:val="186C7F"/>
          <w:sz w:val="22"/>
        </w:rPr>
        <w:t xml:space="preserve">☐ </w:t>
      </w:r>
      <w:r>
        <w:rPr>
          <w:rFonts w:ascii="Aptos" w:hAnsi="Aptos"/>
          <w:color w:val="1D2528"/>
          <w:sz w:val="19"/>
        </w:rPr>
        <w:t>Mantener igual cantidad aproximada de palabras que en A, excepto el bloque social.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</w:trPr>
        <w:tc>
          <w:tcPr>
            <w:tcW w:type="dxa" w:w="9866"/>
            <w:shd w:fill="186C7F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start w:w="150" w:type="dxa"/>
              <w:bottom w:w="90" w:type="dxa"/>
              <w:end w:w="150" w:type="dxa"/>
            </w:tcMar>
          </w:tcPr>
          <w:p>
            <w:pPr>
              <w:spacing w:before="0" w:after="0" w:line="259" w:lineRule="auto"/>
              <w:jc w:val="left"/>
              <w:keepLines/>
            </w:pPr>
            <w:r>
              <w:rPr>
                <w:rFonts w:ascii="Aptos" w:hAnsi="Aptos"/>
                <w:b/>
                <w:color w:val="FFFFFF"/>
                <w:sz w:val="25"/>
              </w:rPr>
              <w:t>8. GRUPO C — CONTROL DE REPOSO</w:t>
            </w:r>
          </w:p>
        </w:tc>
      </w:tr>
    </w:tbl>
    <w:p>
      <w:pPr>
        <w:pStyle w:val="Heading1"/>
        <w:keepNext/>
        <w:spacing w:before="200" w:after="80"/>
      </w:pPr>
      <w:r>
        <w:rPr>
          <w:rFonts w:ascii="Aptos" w:hAnsi="Aptos"/>
          <w:b/>
          <w:color w:val="0E4F5D"/>
          <w:sz w:val="34"/>
        </w:rPr>
        <w:t>8.1 Objetivo de la condición</w:t>
      </w:r>
    </w:p>
    <w:p>
      <w:pPr>
        <w:spacing w:before="0" w:after="120" w:line="269" w:lineRule="auto"/>
      </w:pPr>
      <w:r>
        <w:rPr>
          <w:rFonts w:ascii="Aptos" w:hAnsi="Aptos"/>
          <w:i w:val="0"/>
          <w:color w:val="1D2528"/>
          <w:sz w:val="21"/>
        </w:rPr>
        <w:t>Controlar el paso del tiempo, la sala, la postura, la expectativa y la repetición de mediciones sin respiración guiada, gong ni inducción interpersonal.</w:t>
      </w:r>
    </w:p>
    <w:p>
      <w:pPr>
        <w:pStyle w:val="Heading2"/>
        <w:keepNext/>
        <w:spacing w:before="140" w:after="80"/>
      </w:pPr>
      <w:r>
        <w:rPr>
          <w:rFonts w:ascii="Aptos" w:hAnsi="Aptos"/>
          <w:b/>
          <w:color w:val="186C7F"/>
          <w:sz w:val="27"/>
        </w:rPr>
        <w:t>8.2 Elección del control auditivo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9D3CA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single" w:sz="10" w:color="F299A3"/>
              <w:left w:val="single" w:sz="10" w:color="F299A3"/>
              <w:bottom w:val="single" w:sz="10" w:color="F299A3"/>
              <w:right w:val="single" w:sz="10" w:color="F299A3"/>
            </w:tcBorders>
          </w:tcPr>
          <w:p>
            <w:pPr>
              <w:spacing w:before="0" w:after="40" w:line="259" w:lineRule="auto"/>
              <w:keepLines/>
            </w:pPr>
            <w:r>
              <w:rPr>
                <w:rFonts w:ascii="Aptos" w:hAnsi="Aptos"/>
                <w:b/>
                <w:color w:val="F299A3"/>
                <w:sz w:val="24"/>
              </w:rPr>
              <w:t xml:space="preserve">! </w:t>
            </w:r>
            <w:r>
              <w:rPr>
                <w:rFonts w:ascii="Aptos" w:hAnsi="Aptos"/>
                <w:b/>
                <w:color w:val="F299A3"/>
                <w:sz w:val="22"/>
              </w:rPr>
              <w:t>Elegir antes de iniciar el estudio</w:t>
            </w:r>
          </w:p>
          <w:p>
            <w:pPr>
              <w:spacing w:before="0" w:after="0" w:line="259" w:lineRule="auto"/>
              <w:keepLines/>
            </w:pPr>
            <w:r>
              <w:rPr>
                <w:rFonts w:ascii="Aptos" w:hAnsi="Aptos"/>
                <w:color w:val="1D2528"/>
                <w:sz w:val="20"/>
              </w:rPr>
              <w:t>Usar reposo silencioso cuando la sala sea estable. Si el ruido externo impide el control, utilizar un audio neutral de enmascaramiento —sin melodía, pulsos, naturaleza ni mensajes— a volumen fijo. No alternar silencio y audio entre participantes: la modalidad elegida debe mantenerse durante todo el piloto.</w:t>
            </w:r>
          </w:p>
        </w:tc>
      </w:tr>
    </w:tbl>
    <w:p>
      <w:pPr>
        <w:pStyle w:val="Heading2"/>
        <w:keepNext/>
        <w:spacing w:before="140" w:after="80"/>
      </w:pPr>
      <w:r>
        <w:rPr>
          <w:rFonts w:ascii="Aptos" w:hAnsi="Aptos"/>
          <w:b/>
          <w:color w:val="186C7F"/>
          <w:sz w:val="27"/>
        </w:rPr>
        <w:t>8.3 Cronograma de intervención — 35 minutos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247"/>
            <w:shd w:fill="186C7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  <w:keepLines/>
            </w:pPr>
            <w:r>
              <w:rPr>
                <w:rFonts w:ascii="Aptos" w:hAnsi="Aptos"/>
                <w:b/>
                <w:color w:val="FFFFFF"/>
                <w:sz w:val="19"/>
              </w:rPr>
              <w:t>Minutos</w:t>
            </w:r>
          </w:p>
        </w:tc>
        <w:tc>
          <w:tcPr>
            <w:tcW w:type="dxa" w:w="2381"/>
            <w:shd w:fill="186C7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  <w:keepLines/>
            </w:pPr>
            <w:r>
              <w:rPr>
                <w:rFonts w:ascii="Aptos" w:hAnsi="Aptos"/>
                <w:b/>
                <w:color w:val="FFFFFF"/>
                <w:sz w:val="19"/>
              </w:rPr>
              <w:t>Bloque</w:t>
            </w:r>
          </w:p>
        </w:tc>
        <w:tc>
          <w:tcPr>
            <w:tcW w:type="dxa" w:w="6009"/>
            <w:shd w:fill="186C7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  <w:keepLines/>
            </w:pPr>
            <w:r>
              <w:rPr>
                <w:rFonts w:ascii="Aptos" w:hAnsi="Aptos"/>
                <w:b/>
                <w:color w:val="FFFFFF"/>
                <w:sz w:val="19"/>
              </w:rPr>
              <w:t>Acción</w:t>
            </w:r>
          </w:p>
        </w:tc>
      </w:tr>
      <w:tr>
        <w:trPr>
          <w:cantSplit/>
          <w:cantSplit/>
        </w:trPr>
        <w:tc>
          <w:tcPr>
            <w:tcW w:type="dxa" w:w="124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8"/>
              </w:rPr>
              <w:t>0–3</w:t>
            </w:r>
          </w:p>
        </w:tc>
        <w:tc>
          <w:tcPr>
            <w:tcW w:type="dxa" w:w="2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8"/>
              </w:rPr>
              <w:t>Asentamiento</w:t>
            </w:r>
          </w:p>
        </w:tc>
        <w:tc>
          <w:tcPr>
            <w:tcW w:type="dxa" w:w="600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8"/>
              </w:rPr>
              <w:t>Postura cómoda y respiración natural.</w:t>
            </w:r>
          </w:p>
        </w:tc>
      </w:tr>
      <w:tr>
        <w:trPr>
          <w:cantSplit/>
          <w:cantSplit/>
        </w:trPr>
        <w:tc>
          <w:tcPr>
            <w:tcW w:type="dxa" w:w="124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8"/>
              </w:rPr>
              <w:t>3–8</w:t>
            </w:r>
          </w:p>
        </w:tc>
        <w:tc>
          <w:tcPr>
            <w:tcW w:type="dxa" w:w="2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8"/>
              </w:rPr>
              <w:t>Reposo neutral</w:t>
            </w:r>
          </w:p>
        </w:tc>
        <w:tc>
          <w:tcPr>
            <w:tcW w:type="dxa" w:w="600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8"/>
              </w:rPr>
              <w:t>Sin pauta respiratoria.</w:t>
            </w:r>
          </w:p>
        </w:tc>
      </w:tr>
      <w:tr>
        <w:trPr>
          <w:cantSplit/>
          <w:cantSplit/>
        </w:trPr>
        <w:tc>
          <w:tcPr>
            <w:tcW w:type="dxa" w:w="124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8"/>
              </w:rPr>
              <w:t>8–15</w:t>
            </w:r>
          </w:p>
        </w:tc>
        <w:tc>
          <w:tcPr>
            <w:tcW w:type="dxa" w:w="2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8"/>
              </w:rPr>
              <w:t>Atención neutral</w:t>
            </w:r>
          </w:p>
        </w:tc>
        <w:tc>
          <w:tcPr>
            <w:tcW w:type="dxa" w:w="600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8"/>
              </w:rPr>
              <w:t>Referencias externas y corporales, sin intención regulatoria.</w:t>
            </w:r>
          </w:p>
        </w:tc>
      </w:tr>
      <w:tr>
        <w:trPr>
          <w:cantSplit/>
          <w:cantSplit/>
        </w:trPr>
        <w:tc>
          <w:tcPr>
            <w:tcW w:type="dxa" w:w="124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8"/>
              </w:rPr>
              <w:t>15–32</w:t>
            </w:r>
          </w:p>
        </w:tc>
        <w:tc>
          <w:tcPr>
            <w:tcW w:type="dxa" w:w="2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8"/>
              </w:rPr>
              <w:t>Reposo/control auditivo</w:t>
            </w:r>
          </w:p>
        </w:tc>
        <w:tc>
          <w:tcPr>
            <w:tcW w:type="dxa" w:w="600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8"/>
              </w:rPr>
              <w:t>Silencio o audio neutral predefinido.</w:t>
            </w:r>
          </w:p>
        </w:tc>
      </w:tr>
      <w:tr>
        <w:trPr>
          <w:cantSplit/>
          <w:cantSplit/>
        </w:trPr>
        <w:tc>
          <w:tcPr>
            <w:tcW w:type="dxa" w:w="124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8"/>
              </w:rPr>
              <w:t>32–35</w:t>
            </w:r>
          </w:p>
        </w:tc>
        <w:tc>
          <w:tcPr>
            <w:tcW w:type="dxa" w:w="2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8"/>
              </w:rPr>
              <w:t>Integración</w:t>
            </w:r>
          </w:p>
        </w:tc>
        <w:tc>
          <w:tcPr>
            <w:tcW w:type="dxa" w:w="600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8"/>
              </w:rPr>
              <w:t>Misma transición silenciosa.</w:t>
            </w:r>
          </w:p>
        </w:tc>
      </w:tr>
    </w:tbl>
    <w:p>
      <w:pPr>
        <w:pStyle w:val="Heading2"/>
        <w:keepNext/>
        <w:spacing w:before="140" w:after="80"/>
      </w:pPr>
      <w:r>
        <w:rPr>
          <w:rFonts w:ascii="Aptos" w:hAnsi="Aptos"/>
          <w:b/>
          <w:color w:val="186C7F"/>
          <w:sz w:val="27"/>
        </w:rPr>
        <w:t>8.4 Guion completo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1"/>
      </w:tblGrid>
      <w:tr>
        <w:trPr>
          <w:cantSplit/>
        </w:trPr>
        <w:tc>
          <w:tcPr>
            <w:tcW w:type="dxa" w:w="9866"/>
            <w:shd w:fill="186C7F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color="186C7F"/>
              <w:left w:val="single" w:sz="8" w:color="186C7F"/>
              <w:bottom w:val="single" w:sz="8" w:color="186C7F"/>
              <w:right w:val="single" w:sz="8" w:color="186C7F"/>
            </w:tcBorders>
          </w:tcPr>
          <w:p>
            <w:pPr>
              <w:spacing w:before="0" w:after="0" w:line="259" w:lineRule="auto"/>
              <w:keepLines/>
              <w:keepNext/>
            </w:pPr>
            <w:r>
              <w:rPr>
                <w:rFonts w:ascii="Aptos" w:hAnsi="Aptos"/>
                <w:b/>
                <w:color w:val="FFFFFF"/>
                <w:sz w:val="21"/>
              </w:rPr>
              <w:t>GUION C1 — ASENTAMIENTO</w:t>
            </w:r>
          </w:p>
        </w:tc>
      </w:tr>
      <w:tr>
        <w:trPr>
          <w:cantSplit/>
        </w:trPr>
        <w:tc>
          <w:tcPr>
            <w:tcW w:type="dxa" w:w="9866"/>
            <w:shd w:fill="F7FBFB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color="186C7F"/>
              <w:left w:val="single" w:sz="8" w:color="186C7F"/>
              <w:bottom w:val="single" w:sz="8" w:color="186C7F"/>
              <w:right w:val="single" w:sz="8" w:color="186C7F"/>
            </w:tcBorders>
          </w:tcPr>
          <w:p>
            <w:pPr>
              <w:spacing w:before="0" w:after="0" w:line="278" w:lineRule="auto"/>
              <w:keepLines/>
            </w:pPr>
            <w:r>
              <w:rPr>
                <w:rFonts w:ascii="Aptos" w:hAnsi="Aptos"/>
                <w:i/>
                <w:color w:val="1D2528"/>
                <w:sz w:val="20"/>
              </w:rPr>
              <w:t>“Adoptá una postura cómoda. Respirá de manera natural, sin seguir un ritmo. Durante esta experiencia vas a permanecer en reposo. No hay nada que debas lograr.”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1"/>
      </w:tblGrid>
      <w:tr>
        <w:trPr>
          <w:cantSplit/>
        </w:trPr>
        <w:tc>
          <w:tcPr>
            <w:tcW w:type="dxa" w:w="9866"/>
            <w:shd w:fill="186C7F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color="186C7F"/>
              <w:left w:val="single" w:sz="8" w:color="186C7F"/>
              <w:bottom w:val="single" w:sz="8" w:color="186C7F"/>
              <w:right w:val="single" w:sz="8" w:color="186C7F"/>
            </w:tcBorders>
          </w:tcPr>
          <w:p>
            <w:pPr>
              <w:spacing w:before="0" w:after="0" w:line="259" w:lineRule="auto"/>
              <w:keepLines/>
              <w:keepNext/>
            </w:pPr>
            <w:r>
              <w:rPr>
                <w:rFonts w:ascii="Aptos" w:hAnsi="Aptos"/>
                <w:b/>
                <w:color w:val="FFFFFF"/>
                <w:sz w:val="21"/>
              </w:rPr>
              <w:t>GUION C2 — REPOSO NEUTRAL</w:t>
            </w:r>
          </w:p>
        </w:tc>
      </w:tr>
      <w:tr>
        <w:trPr>
          <w:cantSplit/>
        </w:trPr>
        <w:tc>
          <w:tcPr>
            <w:tcW w:type="dxa" w:w="9866"/>
            <w:shd w:fill="F7FBFB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color="186C7F"/>
              <w:left w:val="single" w:sz="8" w:color="186C7F"/>
              <w:bottom w:val="single" w:sz="8" w:color="186C7F"/>
              <w:right w:val="single" w:sz="8" w:color="186C7F"/>
            </w:tcBorders>
          </w:tcPr>
          <w:p>
            <w:pPr>
              <w:spacing w:before="0" w:after="0" w:line="278" w:lineRule="auto"/>
              <w:keepLines/>
            </w:pPr>
            <w:r>
              <w:rPr>
                <w:rFonts w:ascii="Aptos" w:hAnsi="Aptos"/>
                <w:i/>
                <w:color w:val="1D2528"/>
                <w:sz w:val="20"/>
              </w:rPr>
              <w:t>“Mantené una postura cómoda. Si querés, podés notar el contacto con la silla o colchoneta y los sonidos habituales de la sala. No intentes cambiar la respiración ni el estado emocional.”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1"/>
      </w:tblGrid>
      <w:tr>
        <w:trPr>
          <w:cantSplit/>
        </w:trPr>
        <w:tc>
          <w:tcPr>
            <w:tcW w:type="dxa" w:w="9866"/>
            <w:shd w:fill="186C7F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color="186C7F"/>
              <w:left w:val="single" w:sz="8" w:color="186C7F"/>
              <w:bottom w:val="single" w:sz="8" w:color="186C7F"/>
              <w:right w:val="single" w:sz="8" w:color="186C7F"/>
            </w:tcBorders>
          </w:tcPr>
          <w:p>
            <w:pPr>
              <w:spacing w:before="0" w:after="0" w:line="259" w:lineRule="auto"/>
              <w:keepLines/>
              <w:keepNext/>
            </w:pPr>
            <w:r>
              <w:rPr>
                <w:rFonts w:ascii="Aptos" w:hAnsi="Aptos"/>
                <w:b/>
                <w:color w:val="FFFFFF"/>
                <w:sz w:val="21"/>
              </w:rPr>
              <w:t>GUION C3 — BLOQUE PRINCIPAL</w:t>
            </w:r>
          </w:p>
        </w:tc>
      </w:tr>
      <w:tr>
        <w:trPr>
          <w:cantSplit/>
        </w:trPr>
        <w:tc>
          <w:tcPr>
            <w:tcW w:type="dxa" w:w="9866"/>
            <w:shd w:fill="F7FBFB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color="186C7F"/>
              <w:left w:val="single" w:sz="8" w:color="186C7F"/>
              <w:bottom w:val="single" w:sz="8" w:color="186C7F"/>
              <w:right w:val="single" w:sz="8" w:color="186C7F"/>
            </w:tcBorders>
          </w:tcPr>
          <w:p>
            <w:pPr>
              <w:spacing w:before="0" w:after="0" w:line="278" w:lineRule="auto"/>
              <w:keepLines/>
            </w:pPr>
            <w:r>
              <w:rPr>
                <w:rFonts w:ascii="Aptos" w:hAnsi="Aptos"/>
                <w:i/>
                <w:color w:val="1D2528"/>
                <w:sz w:val="20"/>
              </w:rPr>
              <w:t>“Comienza ahora un período de reposo en silencio. Podés abrir los ojos, cambiar de postura o levantar la mano si necesitás detenerte.”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1"/>
      </w:tblGrid>
      <w:tr>
        <w:trPr>
          <w:cantSplit/>
        </w:trPr>
        <w:tc>
          <w:tcPr>
            <w:tcW w:type="dxa" w:w="9866"/>
            <w:shd w:fill="186C7F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color="186C7F"/>
              <w:left w:val="single" w:sz="8" w:color="186C7F"/>
              <w:bottom w:val="single" w:sz="8" w:color="186C7F"/>
              <w:right w:val="single" w:sz="8" w:color="186C7F"/>
            </w:tcBorders>
          </w:tcPr>
          <w:p>
            <w:pPr>
              <w:spacing w:before="0" w:after="0" w:line="259" w:lineRule="auto"/>
              <w:keepLines/>
              <w:keepNext/>
            </w:pPr>
            <w:r>
              <w:rPr>
                <w:rFonts w:ascii="Aptos" w:hAnsi="Aptos"/>
                <w:b/>
                <w:color w:val="FFFFFF"/>
                <w:sz w:val="21"/>
              </w:rPr>
              <w:t>GUION C4 — INTEGRACIÓN</w:t>
            </w:r>
          </w:p>
        </w:tc>
      </w:tr>
      <w:tr>
        <w:trPr>
          <w:cantSplit/>
        </w:trPr>
        <w:tc>
          <w:tcPr>
            <w:tcW w:type="dxa" w:w="9866"/>
            <w:shd w:fill="F7FBFB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color="186C7F"/>
              <w:left w:val="single" w:sz="8" w:color="186C7F"/>
              <w:bottom w:val="single" w:sz="8" w:color="186C7F"/>
              <w:right w:val="single" w:sz="8" w:color="186C7F"/>
            </w:tcBorders>
          </w:tcPr>
          <w:p>
            <w:pPr>
              <w:spacing w:before="0" w:after="0" w:line="278" w:lineRule="auto"/>
              <w:keepLines/>
            </w:pPr>
            <w:r>
              <w:rPr>
                <w:rFonts w:ascii="Aptos" w:hAnsi="Aptos"/>
                <w:i/>
                <w:color w:val="1D2528"/>
                <w:sz w:val="20"/>
              </w:rPr>
              <w:t>“El período de reposo terminó. Durante tres minutos permanecé en silencio. Mové lentamente manos y pies y preparate para repetir las mediciones.”</w:t>
            </w:r>
          </w:p>
        </w:tc>
      </w:tr>
    </w:tbl>
    <w:p>
      <w:pPr>
        <w:pStyle w:val="Heading2"/>
        <w:keepNext/>
        <w:spacing w:before="140" w:after="80"/>
      </w:pPr>
      <w:r>
        <w:rPr>
          <w:rFonts w:ascii="Aptos" w:hAnsi="Aptos"/>
          <w:b/>
          <w:color w:val="186C7F"/>
          <w:sz w:val="27"/>
        </w:rPr>
        <w:t>8.5 Prohibiciones de fidelidad</w:t>
      </w:r>
    </w:p>
    <w:p>
      <w:pPr>
        <w:spacing w:before="0" w:after="40" w:line="259" w:lineRule="auto"/>
        <w:ind w:left="170"/>
      </w:pPr>
      <w:r>
        <w:rPr>
          <w:rFonts w:ascii="Aptos" w:hAnsi="Aptos"/>
          <w:color w:val="186C7F"/>
          <w:sz w:val="22"/>
        </w:rPr>
        <w:t xml:space="preserve">☐ </w:t>
      </w:r>
      <w:r>
        <w:rPr>
          <w:rFonts w:ascii="Aptos" w:hAnsi="Aptos"/>
          <w:color w:val="1D2528"/>
          <w:sz w:val="19"/>
        </w:rPr>
        <w:t>No usar pacer, respiración coherente ni conteo respiratorio.</w:t>
      </w:r>
    </w:p>
    <w:p>
      <w:pPr>
        <w:spacing w:before="0" w:after="40" w:line="259" w:lineRule="auto"/>
        <w:ind w:left="170"/>
      </w:pPr>
      <w:r>
        <w:rPr>
          <w:rFonts w:ascii="Aptos" w:hAnsi="Aptos"/>
          <w:color w:val="186C7F"/>
          <w:sz w:val="22"/>
        </w:rPr>
        <w:t xml:space="preserve">☐ </w:t>
      </w:r>
      <w:r>
        <w:rPr>
          <w:rFonts w:ascii="Aptos" w:hAnsi="Aptos"/>
          <w:color w:val="1D2528"/>
          <w:sz w:val="19"/>
        </w:rPr>
        <w:t>No utilizar gong, cuencos, música, frecuencias, visualizaciones o aromas.</w:t>
      </w:r>
    </w:p>
    <w:p>
      <w:pPr>
        <w:spacing w:before="0" w:after="40" w:line="259" w:lineRule="auto"/>
        <w:ind w:left="170"/>
      </w:pPr>
      <w:r>
        <w:rPr>
          <w:rFonts w:ascii="Aptos" w:hAnsi="Aptos"/>
          <w:color w:val="186C7F"/>
          <w:sz w:val="22"/>
        </w:rPr>
        <w:t xml:space="preserve">☐ </w:t>
      </w:r>
      <w:r>
        <w:rPr>
          <w:rFonts w:ascii="Aptos" w:hAnsi="Aptos"/>
          <w:color w:val="1D2528"/>
          <w:sz w:val="19"/>
        </w:rPr>
        <w:t>No inducir apoyo, pertenencia, gratitud o recuerdo de personas.</w:t>
      </w:r>
    </w:p>
    <w:p>
      <w:pPr>
        <w:spacing w:before="0" w:after="40" w:line="259" w:lineRule="auto"/>
        <w:ind w:left="170"/>
      </w:pPr>
      <w:r>
        <w:rPr>
          <w:rFonts w:ascii="Aptos" w:hAnsi="Aptos"/>
          <w:color w:val="186C7F"/>
          <w:sz w:val="22"/>
        </w:rPr>
        <w:t xml:space="preserve">☐ </w:t>
      </w:r>
      <w:r>
        <w:rPr>
          <w:rFonts w:ascii="Aptos" w:hAnsi="Aptos"/>
          <w:color w:val="1D2528"/>
          <w:sz w:val="19"/>
        </w:rPr>
        <w:t>No describir el silencio como terapéutico o regulador.</w:t>
      </w:r>
    </w:p>
    <w:p>
      <w:pPr>
        <w:spacing w:before="0" w:after="40" w:line="259" w:lineRule="auto"/>
        <w:ind w:left="170"/>
      </w:pPr>
      <w:r>
        <w:rPr>
          <w:rFonts w:ascii="Aptos" w:hAnsi="Aptos"/>
          <w:color w:val="186C7F"/>
          <w:sz w:val="22"/>
        </w:rPr>
        <w:t xml:space="preserve">☐ </w:t>
      </w:r>
      <w:r>
        <w:rPr>
          <w:rFonts w:ascii="Aptos" w:hAnsi="Aptos"/>
          <w:color w:val="1D2528"/>
          <w:sz w:val="19"/>
        </w:rPr>
        <w:t>No permitir uso de teléfono, lectura o sueño deliberado.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</w:trPr>
        <w:tc>
          <w:tcPr>
            <w:tcW w:type="dxa" w:w="9866"/>
            <w:shd w:fill="186C7F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start w:w="150" w:type="dxa"/>
              <w:bottom w:w="90" w:type="dxa"/>
              <w:end w:w="150" w:type="dxa"/>
            </w:tcMar>
          </w:tcPr>
          <w:p>
            <w:pPr>
              <w:spacing w:before="0" w:after="0" w:line="259" w:lineRule="auto"/>
              <w:jc w:val="left"/>
              <w:keepLines/>
            </w:pPr>
            <w:r>
              <w:rPr>
                <w:rFonts w:ascii="Aptos" w:hAnsi="Aptos"/>
                <w:b/>
                <w:color w:val="FFFFFF"/>
                <w:sz w:val="25"/>
              </w:rPr>
              <w:t>9. FIDELIDAD, DATOS, ANÁLISIS E INTERPRETACIÓN</w:t>
            </w:r>
          </w:p>
        </w:tc>
      </w:tr>
    </w:tbl>
    <w:p>
      <w:pPr>
        <w:pStyle w:val="Heading1"/>
        <w:keepNext/>
        <w:spacing w:before="200" w:after="80"/>
      </w:pPr>
      <w:r>
        <w:rPr>
          <w:rFonts w:ascii="Aptos" w:hAnsi="Aptos"/>
          <w:b/>
          <w:color w:val="0E4F5D"/>
          <w:sz w:val="34"/>
        </w:rPr>
        <w:t>9.1 Checklist de fidelidad</w:t>
      </w:r>
    </w:p>
    <w:p>
      <w:pPr>
        <w:spacing w:before="0" w:after="120" w:line="269" w:lineRule="auto"/>
      </w:pPr>
      <w:r>
        <w:rPr>
          <w:rFonts w:ascii="Aptos" w:hAnsi="Aptos"/>
          <w:i w:val="0"/>
          <w:color w:val="1D2528"/>
          <w:sz w:val="21"/>
        </w:rPr>
        <w:t>Cada sesión debe recibir una puntuación de cumplimiento. Registrar “sí/no/no aplica” en:</w:t>
      </w:r>
    </w:p>
    <w:p>
      <w:pPr>
        <w:spacing w:before="0" w:after="40" w:line="259" w:lineRule="auto"/>
        <w:ind w:left="170"/>
      </w:pPr>
      <w:r>
        <w:rPr>
          <w:rFonts w:ascii="Aptos" w:hAnsi="Aptos"/>
          <w:color w:val="186C7F"/>
          <w:sz w:val="22"/>
        </w:rPr>
        <w:t xml:space="preserve">☐ </w:t>
      </w:r>
      <w:r>
        <w:rPr>
          <w:rFonts w:ascii="Aptos" w:hAnsi="Aptos"/>
          <w:color w:val="1D2528"/>
          <w:sz w:val="19"/>
        </w:rPr>
        <w:t>Duración total dentro de ± 60 segundos.</w:t>
      </w:r>
    </w:p>
    <w:p>
      <w:pPr>
        <w:spacing w:before="0" w:after="40" w:line="259" w:lineRule="auto"/>
        <w:ind w:left="170"/>
      </w:pPr>
      <w:r>
        <w:rPr>
          <w:rFonts w:ascii="Aptos" w:hAnsi="Aptos"/>
          <w:color w:val="186C7F"/>
          <w:sz w:val="22"/>
        </w:rPr>
        <w:t xml:space="preserve">☐ </w:t>
      </w:r>
      <w:r>
        <w:rPr>
          <w:rFonts w:ascii="Aptos" w:hAnsi="Aptos"/>
          <w:color w:val="1D2528"/>
          <w:sz w:val="19"/>
        </w:rPr>
        <w:t>Guion leído sin agregados de significado terapéutico.</w:t>
      </w:r>
    </w:p>
    <w:p>
      <w:pPr>
        <w:spacing w:before="0" w:after="40" w:line="259" w:lineRule="auto"/>
        <w:ind w:left="170"/>
      </w:pPr>
      <w:r>
        <w:rPr>
          <w:rFonts w:ascii="Aptos" w:hAnsi="Aptos"/>
          <w:color w:val="186C7F"/>
          <w:sz w:val="22"/>
        </w:rPr>
        <w:t xml:space="preserve">☐ </w:t>
      </w:r>
      <w:r>
        <w:rPr>
          <w:rFonts w:ascii="Aptos" w:hAnsi="Aptos"/>
          <w:color w:val="1D2528"/>
          <w:sz w:val="19"/>
        </w:rPr>
        <w:t>Respiración 5 s / 5 s sin retenciones en A y B.</w:t>
      </w:r>
    </w:p>
    <w:p>
      <w:pPr>
        <w:spacing w:before="0" w:after="40" w:line="259" w:lineRule="auto"/>
        <w:ind w:left="170"/>
      </w:pPr>
      <w:r>
        <w:rPr>
          <w:rFonts w:ascii="Aptos" w:hAnsi="Aptos"/>
          <w:color w:val="186C7F"/>
          <w:sz w:val="22"/>
        </w:rPr>
        <w:t xml:space="preserve">☐ </w:t>
      </w:r>
      <w:r>
        <w:rPr>
          <w:rFonts w:ascii="Aptos" w:hAnsi="Aptos"/>
          <w:color w:val="1D2528"/>
          <w:sz w:val="19"/>
        </w:rPr>
        <w:t>Dinámica social presente solo en A.</w:t>
      </w:r>
    </w:p>
    <w:p>
      <w:pPr>
        <w:spacing w:before="0" w:after="40" w:line="259" w:lineRule="auto"/>
        <w:ind w:left="170"/>
      </w:pPr>
      <w:r>
        <w:rPr>
          <w:rFonts w:ascii="Aptos" w:hAnsi="Aptos"/>
          <w:color w:val="186C7F"/>
          <w:sz w:val="22"/>
        </w:rPr>
        <w:t xml:space="preserve">☐ </w:t>
      </w:r>
      <w:r>
        <w:rPr>
          <w:rFonts w:ascii="Aptos" w:hAnsi="Aptos"/>
          <w:color w:val="1D2528"/>
          <w:sz w:val="19"/>
        </w:rPr>
        <w:t>Secuencia de gong idéntica en A y B.</w:t>
      </w:r>
    </w:p>
    <w:p>
      <w:pPr>
        <w:spacing w:before="0" w:after="40" w:line="259" w:lineRule="auto"/>
        <w:ind w:left="170"/>
      </w:pPr>
      <w:r>
        <w:rPr>
          <w:rFonts w:ascii="Aptos" w:hAnsi="Aptos"/>
          <w:color w:val="186C7F"/>
          <w:sz w:val="22"/>
        </w:rPr>
        <w:t xml:space="preserve">☐ </w:t>
      </w:r>
      <w:r>
        <w:rPr>
          <w:rFonts w:ascii="Aptos" w:hAnsi="Aptos"/>
          <w:color w:val="1D2528"/>
          <w:sz w:val="19"/>
        </w:rPr>
        <w:t>Ausencia de gong y pauta respiratoria en C.</w:t>
      </w:r>
    </w:p>
    <w:p>
      <w:pPr>
        <w:spacing w:before="0" w:after="40" w:line="259" w:lineRule="auto"/>
        <w:ind w:left="170"/>
      </w:pPr>
      <w:r>
        <w:rPr>
          <w:rFonts w:ascii="Aptos" w:hAnsi="Aptos"/>
          <w:color w:val="186C7F"/>
          <w:sz w:val="22"/>
        </w:rPr>
        <w:t xml:space="preserve">☐ </w:t>
      </w:r>
      <w:r>
        <w:rPr>
          <w:rFonts w:ascii="Aptos" w:hAnsi="Aptos"/>
          <w:color w:val="1D2528"/>
          <w:sz w:val="19"/>
        </w:rPr>
        <w:t>Transición silenciosa antes de la medición post.</w:t>
      </w:r>
    </w:p>
    <w:p>
      <w:pPr>
        <w:spacing w:before="0" w:after="40" w:line="259" w:lineRule="auto"/>
        <w:ind w:left="170"/>
      </w:pPr>
      <w:r>
        <w:rPr>
          <w:rFonts w:ascii="Aptos" w:hAnsi="Aptos"/>
          <w:color w:val="186C7F"/>
          <w:sz w:val="22"/>
        </w:rPr>
        <w:t xml:space="preserve">☐ </w:t>
      </w:r>
      <w:r>
        <w:rPr>
          <w:rFonts w:ascii="Aptos" w:hAnsi="Aptos"/>
          <w:color w:val="1D2528"/>
          <w:sz w:val="19"/>
        </w:rPr>
        <w:t>Evaluador sin conocimiento de la condición, cuando sea posible.</w:t>
      </w:r>
    </w:p>
    <w:p>
      <w:pPr>
        <w:spacing w:before="0" w:after="40" w:line="259" w:lineRule="auto"/>
        <w:ind w:left="170"/>
      </w:pPr>
      <w:r>
        <w:rPr>
          <w:rFonts w:ascii="Aptos" w:hAnsi="Aptos"/>
          <w:color w:val="186C7F"/>
          <w:sz w:val="22"/>
        </w:rPr>
        <w:t xml:space="preserve">☐ </w:t>
      </w:r>
      <w:r>
        <w:rPr>
          <w:rFonts w:ascii="Aptos" w:hAnsi="Aptos"/>
          <w:color w:val="1D2528"/>
          <w:sz w:val="19"/>
        </w:rPr>
        <w:t>Eventos, interrupciones y cambios ambientales documentados.</w:t>
      </w:r>
    </w:p>
    <w:p>
      <w:pPr>
        <w:pStyle w:val="Heading2"/>
        <w:keepNext/>
        <w:spacing w:before="140" w:after="80"/>
      </w:pPr>
      <w:r>
        <w:rPr>
          <w:rFonts w:ascii="Aptos" w:hAnsi="Aptos"/>
          <w:b/>
          <w:color w:val="186C7F"/>
          <w:sz w:val="27"/>
        </w:rPr>
        <w:t>9.2 Variables primarias y exploratorias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701"/>
            <w:shd w:fill="186C7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  <w:keepLines/>
            </w:pPr>
            <w:r>
              <w:rPr>
                <w:rFonts w:ascii="Aptos" w:hAnsi="Aptos"/>
                <w:b/>
                <w:color w:val="FFFFFF"/>
                <w:sz w:val="19"/>
              </w:rPr>
              <w:t>Nivel</w:t>
            </w:r>
          </w:p>
        </w:tc>
        <w:tc>
          <w:tcPr>
            <w:tcW w:type="dxa" w:w="4139"/>
            <w:shd w:fill="186C7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  <w:keepLines/>
            </w:pPr>
            <w:r>
              <w:rPr>
                <w:rFonts w:ascii="Aptos" w:hAnsi="Aptos"/>
                <w:b/>
                <w:color w:val="FFFFFF"/>
                <w:sz w:val="19"/>
              </w:rPr>
              <w:t>Variables</w:t>
            </w:r>
          </w:p>
        </w:tc>
        <w:tc>
          <w:tcPr>
            <w:tcW w:type="dxa" w:w="3798"/>
            <w:shd w:fill="186C7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  <w:keepLines/>
            </w:pPr>
            <w:r>
              <w:rPr>
                <w:rFonts w:ascii="Aptos" w:hAnsi="Aptos"/>
                <w:b/>
                <w:color w:val="FFFFFF"/>
                <w:sz w:val="19"/>
              </w:rPr>
              <w:t>Regla de reporte</w:t>
            </w:r>
          </w:p>
        </w:tc>
      </w:tr>
      <w:tr>
        <w:trPr>
          <w:cantSplit/>
          <w:cantSplit/>
        </w:trPr>
        <w:tc>
          <w:tcPr>
            <w:tcW w:type="dxa" w:w="170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8"/>
              </w:rPr>
              <w:t>Primarias</w:t>
            </w:r>
          </w:p>
        </w:tc>
        <w:tc>
          <w:tcPr>
            <w:tcW w:type="dxa" w:w="413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8"/>
              </w:rPr>
              <w:t>Cambio en estrés, seguridad, conexión y Coherence Score/HRV espontáneo.</w:t>
            </w:r>
          </w:p>
        </w:tc>
        <w:tc>
          <w:tcPr>
            <w:tcW w:type="dxa" w:w="37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8"/>
              </w:rPr>
              <w:t>Comparar cambio pre–post y reportar tamaño de efecto con intervalo de confianza.</w:t>
            </w:r>
          </w:p>
        </w:tc>
      </w:tr>
      <w:tr>
        <w:trPr>
          <w:cantSplit/>
          <w:cantSplit/>
        </w:trPr>
        <w:tc>
          <w:tcPr>
            <w:tcW w:type="dxa" w:w="170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8"/>
              </w:rPr>
              <w:t>Secundarias</w:t>
            </w:r>
          </w:p>
        </w:tc>
        <w:tc>
          <w:tcPr>
            <w:tcW w:type="dxa" w:w="413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8"/>
              </w:rPr>
              <w:t>Activación, comodidad corporal, valencia emocional y seguimientos.</w:t>
            </w:r>
          </w:p>
        </w:tc>
        <w:tc>
          <w:tcPr>
            <w:tcW w:type="dxa" w:w="37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8"/>
              </w:rPr>
              <w:t>Reportar por separado; evitar un único “resultado positivo” compuesto.</w:t>
            </w:r>
          </w:p>
        </w:tc>
      </w:tr>
      <w:tr>
        <w:trPr>
          <w:cantSplit/>
          <w:cantSplit/>
        </w:trPr>
        <w:tc>
          <w:tcPr>
            <w:tcW w:type="dxa" w:w="170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8"/>
              </w:rPr>
              <w:t>Exploratorias</w:t>
            </w:r>
          </w:p>
        </w:tc>
        <w:tc>
          <w:tcPr>
            <w:tcW w:type="dxa" w:w="413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8"/>
              </w:rPr>
              <w:t>Energía, estrés y equilibrio/simetría GDV; WIBindex 1.1/2.0.</w:t>
            </w:r>
          </w:p>
        </w:tc>
        <w:tc>
          <w:tcPr>
            <w:tcW w:type="dxa" w:w="37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8"/>
              </w:rPr>
              <w:t>Presentar valores crudos, cambio y distribución. No inferir mecanismo cerebral ni diagnóstico.</w:t>
            </w:r>
          </w:p>
        </w:tc>
      </w:tr>
    </w:tbl>
    <w:p>
      <w:pPr>
        <w:pStyle w:val="Heading2"/>
        <w:keepNext/>
        <w:spacing w:before="140" w:after="80"/>
      </w:pPr>
      <w:r>
        <w:rPr>
          <w:rFonts w:ascii="Aptos" w:hAnsi="Aptos"/>
          <w:b/>
          <w:color w:val="186C7F"/>
          <w:sz w:val="27"/>
        </w:rPr>
        <w:t>9.3 Plan analítico mínimo</w:t>
      </w:r>
    </w:p>
    <w:p>
      <w:pPr>
        <w:pStyle w:val="ListBullet"/>
        <w:spacing w:before="0" w:after="60" w:line="259" w:lineRule="auto"/>
        <w:ind w:left="369" w:hanging="142"/>
      </w:pPr>
      <w:r>
        <w:rPr>
          <w:rFonts w:ascii="Aptos" w:hAnsi="Aptos"/>
          <w:color w:val="1D2528"/>
          <w:sz w:val="20"/>
        </w:rPr>
        <w:t>Definir antes de mirar resultados cuál es la variable primaria principal.</w:t>
      </w:r>
    </w:p>
    <w:p>
      <w:pPr>
        <w:pStyle w:val="ListBullet"/>
        <w:spacing w:before="0" w:after="60" w:line="259" w:lineRule="auto"/>
        <w:ind w:left="369" w:hanging="142"/>
      </w:pPr>
      <w:r>
        <w:rPr>
          <w:rFonts w:ascii="Aptos" w:hAnsi="Aptos"/>
          <w:color w:val="1D2528"/>
          <w:sz w:val="20"/>
        </w:rPr>
        <w:t>Analizar el cambio pre–post y, preferentemente, un modelo grupo × tiempo.</w:t>
      </w:r>
    </w:p>
    <w:p>
      <w:pPr>
        <w:pStyle w:val="ListBullet"/>
        <w:spacing w:before="0" w:after="60" w:line="259" w:lineRule="auto"/>
        <w:ind w:left="369" w:hanging="142"/>
      </w:pPr>
      <w:r>
        <w:rPr>
          <w:rFonts w:ascii="Aptos" w:hAnsi="Aptos"/>
          <w:color w:val="1D2528"/>
          <w:sz w:val="20"/>
        </w:rPr>
        <w:t>Reportar medias y desvíos o medianas y rango intercuartílico según distribución.</w:t>
      </w:r>
    </w:p>
    <w:p>
      <w:pPr>
        <w:pStyle w:val="ListBullet"/>
        <w:spacing w:before="0" w:after="60" w:line="259" w:lineRule="auto"/>
        <w:ind w:left="369" w:hanging="142"/>
      </w:pPr>
      <w:r>
        <w:rPr>
          <w:rFonts w:ascii="Aptos" w:hAnsi="Aptos"/>
          <w:color w:val="1D2528"/>
          <w:sz w:val="20"/>
        </w:rPr>
        <w:t>Reportar tamaños de efecto e intervalos de confianza; no depender solo del valor p.</w:t>
      </w:r>
    </w:p>
    <w:p>
      <w:pPr>
        <w:pStyle w:val="ListBullet"/>
        <w:spacing w:before="0" w:after="60" w:line="259" w:lineRule="auto"/>
        <w:ind w:left="369" w:hanging="142"/>
      </w:pPr>
      <w:r>
        <w:rPr>
          <w:rFonts w:ascii="Aptos" w:hAnsi="Aptos"/>
          <w:color w:val="1D2528"/>
          <w:sz w:val="20"/>
        </w:rPr>
        <w:t>Mantener un análisis por asignación y otro de participantes con protocolo completo, claramente etiquetados.</w:t>
      </w:r>
    </w:p>
    <w:p>
      <w:pPr>
        <w:pStyle w:val="ListBullet"/>
        <w:spacing w:before="0" w:after="60" w:line="259" w:lineRule="auto"/>
        <w:ind w:left="369" w:hanging="142"/>
      </w:pPr>
      <w:r>
        <w:rPr>
          <w:rFonts w:ascii="Aptos" w:hAnsi="Aptos"/>
          <w:color w:val="1D2528"/>
          <w:sz w:val="20"/>
        </w:rPr>
        <w:t>No eliminar outliers por el resultado. Usar reglas de calidad de señal predefinidas.</w:t>
      </w:r>
    </w:p>
    <w:p>
      <w:pPr>
        <w:pStyle w:val="ListBullet"/>
        <w:spacing w:before="0" w:after="60" w:line="259" w:lineRule="auto"/>
        <w:ind w:left="369" w:hanging="142"/>
      </w:pPr>
      <w:r>
        <w:rPr>
          <w:rFonts w:ascii="Aptos" w:hAnsi="Aptos"/>
          <w:color w:val="1D2528"/>
          <w:sz w:val="20"/>
        </w:rPr>
        <w:t>Tratar el piloto como estimación de factibilidad y señal, no como confirmación definitiva.</w:t>
      </w:r>
    </w:p>
    <w:p>
      <w:pPr>
        <w:pStyle w:val="Heading2"/>
        <w:keepNext/>
        <w:spacing w:before="140" w:after="80"/>
      </w:pPr>
      <w:r>
        <w:rPr>
          <w:rFonts w:ascii="Aptos" w:hAnsi="Aptos"/>
          <w:b/>
          <w:color w:val="186C7F"/>
          <w:sz w:val="27"/>
        </w:rPr>
        <w:t>9.4 Interpretación de los contrastes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2268"/>
            <w:shd w:fill="186C7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  <w:keepLines/>
            </w:pPr>
            <w:r>
              <w:rPr>
                <w:rFonts w:ascii="Aptos" w:hAnsi="Aptos"/>
                <w:b/>
                <w:color w:val="FFFFFF"/>
                <w:sz w:val="18"/>
              </w:rPr>
              <w:t>Hallazgo</w:t>
            </w:r>
          </w:p>
        </w:tc>
        <w:tc>
          <w:tcPr>
            <w:tcW w:type="dxa" w:w="4082"/>
            <w:shd w:fill="186C7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  <w:keepLines/>
            </w:pPr>
            <w:r>
              <w:rPr>
                <w:rFonts w:ascii="Aptos" w:hAnsi="Aptos"/>
                <w:b/>
                <w:color w:val="FFFFFF"/>
                <w:sz w:val="18"/>
              </w:rPr>
              <w:t>Lectura compatible</w:t>
            </w:r>
          </w:p>
        </w:tc>
        <w:tc>
          <w:tcPr>
            <w:tcW w:type="dxa" w:w="3288"/>
            <w:shd w:fill="186C7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  <w:keepLines/>
            </w:pPr>
            <w:r>
              <w:rPr>
                <w:rFonts w:ascii="Aptos" w:hAnsi="Aptos"/>
                <w:b/>
                <w:color w:val="FFFFFF"/>
                <w:sz w:val="18"/>
              </w:rPr>
              <w:t>No concluir</w:t>
            </w:r>
          </w:p>
        </w:tc>
      </w:tr>
      <w:tr>
        <w:trPr>
          <w:cantSplit/>
          <w:cantSplit/>
        </w:trPr>
        <w:tc>
          <w:tcPr>
            <w:tcW w:type="dxa" w:w="22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A &gt; B en conexión/seguridad</w:t>
            </w:r>
          </w:p>
        </w:tc>
        <w:tc>
          <w:tcPr>
            <w:tcW w:type="dxa" w:w="408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La inducción interpersonal añadió un efecto subjetivo o autonómico al paquete.</w:t>
            </w:r>
          </w:p>
        </w:tc>
        <w:tc>
          <w:tcPr>
            <w:tcW w:type="dxa" w:w="32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Que se activó una región cerebral específica.</w:t>
            </w:r>
          </w:p>
        </w:tc>
      </w:tr>
      <w:tr>
        <w:trPr>
          <w:cantSplit/>
          <w:cantSplit/>
        </w:trPr>
        <w:tc>
          <w:tcPr>
            <w:tcW w:type="dxa" w:w="22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B &gt; C en HRV/estrés</w:t>
            </w:r>
          </w:p>
        </w:tc>
        <w:tc>
          <w:tcPr>
            <w:tcW w:type="dxa" w:w="408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Respiración + gong se asoció con mayor cambio que el reposo.</w:t>
            </w:r>
          </w:p>
        </w:tc>
        <w:tc>
          <w:tcPr>
            <w:tcW w:type="dxa" w:w="32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Que el gong por sí solo causó el cambio.</w:t>
            </w:r>
          </w:p>
        </w:tc>
      </w:tr>
      <w:tr>
        <w:trPr>
          <w:cantSplit/>
          <w:cantSplit/>
        </w:trPr>
        <w:tc>
          <w:tcPr>
            <w:tcW w:type="dxa" w:w="22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A &gt; C, pero A = B</w:t>
            </w:r>
          </w:p>
        </w:tc>
        <w:tc>
          <w:tcPr>
            <w:tcW w:type="dxa" w:w="408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El paquete activo superó al control, sin evidencia clara del aporte social.</w:t>
            </w:r>
          </w:p>
        </w:tc>
        <w:tc>
          <w:tcPr>
            <w:tcW w:type="dxa" w:w="32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Que la conexión no importa en general.</w:t>
            </w:r>
          </w:p>
        </w:tc>
      </w:tr>
      <w:tr>
        <w:trPr>
          <w:cantSplit/>
          <w:cantSplit/>
        </w:trPr>
        <w:tc>
          <w:tcPr>
            <w:tcW w:type="dxa" w:w="22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Sin diferencias</w:t>
            </w:r>
          </w:p>
        </w:tc>
        <w:tc>
          <w:tcPr>
            <w:tcW w:type="dxa" w:w="408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El protocolo, dosis o muestra no detectó una señal entre condiciones.</w:t>
            </w:r>
          </w:p>
        </w:tc>
        <w:tc>
          <w:tcPr>
            <w:tcW w:type="dxa" w:w="32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Que ningún componente puede funcionar en otros contextos.</w:t>
            </w:r>
          </w:p>
        </w:tc>
      </w:tr>
      <w:tr>
        <w:trPr>
          <w:cantSplit/>
          <w:cantSplit/>
        </w:trPr>
        <w:tc>
          <w:tcPr>
            <w:tcW w:type="dxa" w:w="22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Cambio solo en GDV</w:t>
            </w:r>
          </w:p>
        </w:tc>
        <w:tc>
          <w:tcPr>
            <w:tcW w:type="dxa" w:w="408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Se observó una variación exploratoria que requiere replicación y convergencia.</w:t>
            </w:r>
          </w:p>
        </w:tc>
        <w:tc>
          <w:tcPr>
            <w:tcW w:type="dxa" w:w="32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Que existe mejoría clínica o neural.</w:t>
            </w:r>
          </w:p>
        </w:tc>
      </w:tr>
    </w:tbl>
    <w:p>
      <w:pPr>
        <w:pStyle w:val="Heading2"/>
        <w:keepNext/>
        <w:spacing w:before="140" w:after="80"/>
      </w:pPr>
      <w:r>
        <w:rPr>
          <w:rFonts w:ascii="Aptos" w:hAnsi="Aptos"/>
          <w:b/>
          <w:color w:val="186C7F"/>
          <w:sz w:val="27"/>
        </w:rPr>
        <w:t>9.5 Gestión de datos</w:t>
      </w:r>
    </w:p>
    <w:p>
      <w:pPr>
        <w:spacing w:before="0" w:after="40" w:line="259" w:lineRule="auto"/>
        <w:ind w:left="170"/>
      </w:pPr>
      <w:r>
        <w:rPr>
          <w:rFonts w:ascii="Aptos" w:hAnsi="Aptos"/>
          <w:color w:val="186C7F"/>
          <w:sz w:val="22"/>
        </w:rPr>
        <w:t xml:space="preserve">☐ </w:t>
      </w:r>
      <w:r>
        <w:rPr>
          <w:rFonts w:ascii="Aptos" w:hAnsi="Aptos"/>
          <w:color w:val="1D2528"/>
          <w:sz w:val="19"/>
        </w:rPr>
        <w:t>Asignar un código anónimo y guardar la tabla de identidad por separado.</w:t>
      </w:r>
    </w:p>
    <w:p>
      <w:pPr>
        <w:spacing w:before="0" w:after="40" w:line="259" w:lineRule="auto"/>
        <w:ind w:left="170"/>
      </w:pPr>
      <w:r>
        <w:rPr>
          <w:rFonts w:ascii="Aptos" w:hAnsi="Aptos"/>
          <w:color w:val="186C7F"/>
          <w:sz w:val="22"/>
        </w:rPr>
        <w:t xml:space="preserve">☐ </w:t>
      </w:r>
      <w:r>
        <w:rPr>
          <w:rFonts w:ascii="Aptos" w:hAnsi="Aptos"/>
          <w:color w:val="1D2528"/>
          <w:sz w:val="19"/>
        </w:rPr>
        <w:t>Conservar archivos originales de dispositivos y exportaciones sin sobreescribir.</w:t>
      </w:r>
    </w:p>
    <w:p>
      <w:pPr>
        <w:spacing w:before="0" w:after="40" w:line="259" w:lineRule="auto"/>
        <w:ind w:left="170"/>
      </w:pPr>
      <w:r>
        <w:rPr>
          <w:rFonts w:ascii="Aptos" w:hAnsi="Aptos"/>
          <w:color w:val="186C7F"/>
          <w:sz w:val="22"/>
        </w:rPr>
        <w:t xml:space="preserve">☐ </w:t>
      </w:r>
      <w:r>
        <w:rPr>
          <w:rFonts w:ascii="Aptos" w:hAnsi="Aptos"/>
          <w:color w:val="1D2528"/>
          <w:sz w:val="19"/>
        </w:rPr>
        <w:t>Registrar versión de software, configuración y hora de medición.</w:t>
      </w:r>
    </w:p>
    <w:p>
      <w:pPr>
        <w:spacing w:before="0" w:after="40" w:line="259" w:lineRule="auto"/>
        <w:ind w:left="170"/>
      </w:pPr>
      <w:r>
        <w:rPr>
          <w:rFonts w:ascii="Aptos" w:hAnsi="Aptos"/>
          <w:color w:val="186C7F"/>
          <w:sz w:val="22"/>
        </w:rPr>
        <w:t xml:space="preserve">☐ </w:t>
      </w:r>
      <w:r>
        <w:rPr>
          <w:rFonts w:ascii="Aptos" w:hAnsi="Aptos"/>
          <w:color w:val="1D2528"/>
          <w:sz w:val="19"/>
        </w:rPr>
        <w:t>Definir permisos, copias de seguridad y período de conservación.</w:t>
      </w:r>
    </w:p>
    <w:p>
      <w:pPr>
        <w:spacing w:before="0" w:after="40" w:line="259" w:lineRule="auto"/>
        <w:ind w:left="170"/>
      </w:pPr>
      <w:r>
        <w:rPr>
          <w:rFonts w:ascii="Aptos" w:hAnsi="Aptos"/>
          <w:color w:val="186C7F"/>
          <w:sz w:val="22"/>
        </w:rPr>
        <w:t xml:space="preserve">☐ </w:t>
      </w:r>
      <w:r>
        <w:rPr>
          <w:rFonts w:ascii="Aptos" w:hAnsi="Aptos"/>
          <w:color w:val="1D2528"/>
          <w:sz w:val="19"/>
        </w:rPr>
        <w:t>No compartir datos individualizados en piezas promocionales sin consentimiento específico.</w:t>
      </w:r>
    </w:p>
    <w:p>
      <w:pPr>
        <w:spacing w:before="0" w:after="40" w:line="259" w:lineRule="auto"/>
        <w:ind w:left="170"/>
      </w:pPr>
      <w:r>
        <w:rPr>
          <w:rFonts w:ascii="Aptos" w:hAnsi="Aptos"/>
          <w:color w:val="186C7F"/>
          <w:sz w:val="22"/>
        </w:rPr>
        <w:t xml:space="preserve">☐ </w:t>
      </w:r>
      <w:r>
        <w:rPr>
          <w:rFonts w:ascii="Aptos" w:hAnsi="Aptos"/>
          <w:color w:val="1D2528"/>
          <w:sz w:val="19"/>
        </w:rPr>
        <w:t>Separar reporte científico, reporte al participante y material comercial.</w:t>
      </w:r>
    </w:p>
    <w:p>
      <w:pPr>
        <w:pStyle w:val="Heading2"/>
        <w:keepNext/>
        <w:spacing w:before="140" w:after="80"/>
      </w:pPr>
      <w:r>
        <w:rPr>
          <w:rFonts w:ascii="Aptos" w:hAnsi="Aptos"/>
          <w:b/>
          <w:color w:val="186C7F"/>
          <w:sz w:val="27"/>
        </w:rPr>
        <w:t>9.6 Debrief después de la medición post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1"/>
      </w:tblGrid>
      <w:tr>
        <w:trPr>
          <w:cantSplit/>
        </w:trPr>
        <w:tc>
          <w:tcPr>
            <w:tcW w:type="dxa" w:w="9866"/>
            <w:shd w:fill="186C7F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color="186C7F"/>
              <w:left w:val="single" w:sz="8" w:color="186C7F"/>
              <w:bottom w:val="single" w:sz="8" w:color="186C7F"/>
              <w:right w:val="single" w:sz="8" w:color="186C7F"/>
            </w:tcBorders>
          </w:tcPr>
          <w:p>
            <w:pPr>
              <w:spacing w:before="0" w:after="0" w:line="259" w:lineRule="auto"/>
              <w:keepLines/>
              <w:keepNext/>
            </w:pPr>
            <w:r>
              <w:rPr>
                <w:rFonts w:ascii="Aptos" w:hAnsi="Aptos"/>
                <w:b/>
                <w:color w:val="FFFFFF"/>
                <w:sz w:val="21"/>
              </w:rPr>
              <w:t>GUION DE DEBRIEF</w:t>
            </w:r>
          </w:p>
        </w:tc>
      </w:tr>
      <w:tr>
        <w:trPr>
          <w:cantSplit/>
        </w:trPr>
        <w:tc>
          <w:tcPr>
            <w:tcW w:type="dxa" w:w="9866"/>
            <w:shd w:fill="F7FBFB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color="186C7F"/>
              <w:left w:val="single" w:sz="8" w:color="186C7F"/>
              <w:bottom w:val="single" w:sz="8" w:color="186C7F"/>
              <w:right w:val="single" w:sz="8" w:color="186C7F"/>
            </w:tcBorders>
          </w:tcPr>
          <w:p>
            <w:pPr>
              <w:spacing w:before="0" w:after="0" w:line="278" w:lineRule="auto"/>
              <w:keepLines/>
            </w:pPr>
            <w:r>
              <w:rPr>
                <w:rFonts w:ascii="Aptos" w:hAnsi="Aptos"/>
                <w:i/>
                <w:color w:val="1D2528"/>
                <w:sz w:val="20"/>
              </w:rPr>
              <w:t>“Estábamos comparando tres condiciones: una con conexión interpersonal, respiración y gong; otra con respiración y gong sin intercambio social; y una condición de reposo. Todavía no sabemos cuál produce mayores cambios. Tus respuestas son válidas aunque no hayas notado nada o incluso si la experiencia fue incómoda. Este estudio es exploratorio y no reemplaza una evaluación de salud.”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</w:trPr>
        <w:tc>
          <w:tcPr>
            <w:tcW w:type="dxa" w:w="9866"/>
            <w:shd w:fill="186C7F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start w:w="150" w:type="dxa"/>
              <w:bottom w:w="90" w:type="dxa"/>
              <w:end w:w="150" w:type="dxa"/>
            </w:tcMar>
          </w:tcPr>
          <w:p>
            <w:pPr>
              <w:spacing w:before="0" w:after="0" w:line="259" w:lineRule="auto"/>
              <w:jc w:val="left"/>
              <w:keepLines/>
            </w:pPr>
            <w:r>
              <w:rPr>
                <w:rFonts w:ascii="Aptos" w:hAnsi="Aptos"/>
                <w:b/>
                <w:color w:val="FFFFFF"/>
                <w:sz w:val="25"/>
              </w:rPr>
              <w:t>10. ANEXOS OPERATIVOS</w:t>
            </w:r>
          </w:p>
        </w:tc>
      </w:tr>
    </w:tbl>
    <w:p>
      <w:pPr>
        <w:pStyle w:val="Heading1"/>
        <w:keepNext/>
        <w:spacing w:before="200" w:after="80"/>
      </w:pPr>
      <w:r>
        <w:rPr>
          <w:rFonts w:ascii="Aptos" w:hAnsi="Aptos"/>
          <w:b/>
          <w:color w:val="0E4F5D"/>
          <w:sz w:val="34"/>
        </w:rPr>
        <w:t>ANEXO A — Checklist previo a la sesión</w:t>
      </w:r>
    </w:p>
    <w:p>
      <w:pPr>
        <w:spacing w:before="0" w:after="40" w:line="259" w:lineRule="auto"/>
        <w:ind w:left="170"/>
      </w:pPr>
      <w:r>
        <w:rPr>
          <w:rFonts w:ascii="Aptos" w:hAnsi="Aptos"/>
          <w:color w:val="186C7F"/>
          <w:sz w:val="22"/>
        </w:rPr>
        <w:t xml:space="preserve">☐ </w:t>
      </w:r>
      <w:r>
        <w:rPr>
          <w:rFonts w:ascii="Aptos" w:hAnsi="Aptos"/>
          <w:color w:val="1D2528"/>
          <w:sz w:val="19"/>
        </w:rPr>
        <w:t>Consentimiento firmado y código asignado.</w:t>
      </w:r>
    </w:p>
    <w:p>
      <w:pPr>
        <w:spacing w:before="0" w:after="40" w:line="259" w:lineRule="auto"/>
        <w:ind w:left="170"/>
      </w:pPr>
      <w:r>
        <w:rPr>
          <w:rFonts w:ascii="Aptos" w:hAnsi="Aptos"/>
          <w:color w:val="186C7F"/>
          <w:sz w:val="22"/>
        </w:rPr>
        <w:t xml:space="preserve">☐ </w:t>
      </w:r>
      <w:r>
        <w:rPr>
          <w:rFonts w:ascii="Aptos" w:hAnsi="Aptos"/>
          <w:color w:val="1D2528"/>
          <w:sz w:val="19"/>
        </w:rPr>
        <w:t>Criterios de seguridad revisados.</w:t>
      </w:r>
    </w:p>
    <w:p>
      <w:pPr>
        <w:spacing w:before="0" w:after="40" w:line="259" w:lineRule="auto"/>
        <w:ind w:left="170"/>
      </w:pPr>
      <w:r>
        <w:rPr>
          <w:rFonts w:ascii="Aptos" w:hAnsi="Aptos"/>
          <w:color w:val="186C7F"/>
          <w:sz w:val="22"/>
        </w:rPr>
        <w:t xml:space="preserve">☐ </w:t>
      </w:r>
      <w:r>
        <w:rPr>
          <w:rFonts w:ascii="Aptos" w:hAnsi="Aptos"/>
          <w:color w:val="1D2528"/>
          <w:sz w:val="19"/>
        </w:rPr>
        <w:t>Condición abierta solo por el coordinador/facilitador.</w:t>
      </w:r>
    </w:p>
    <w:p>
      <w:pPr>
        <w:spacing w:before="0" w:after="40" w:line="259" w:lineRule="auto"/>
        <w:ind w:left="170"/>
      </w:pPr>
      <w:r>
        <w:rPr>
          <w:rFonts w:ascii="Aptos" w:hAnsi="Aptos"/>
          <w:color w:val="186C7F"/>
          <w:sz w:val="22"/>
        </w:rPr>
        <w:t xml:space="preserve">☐ </w:t>
      </w:r>
      <w:r>
        <w:rPr>
          <w:rFonts w:ascii="Aptos" w:hAnsi="Aptos"/>
          <w:color w:val="1D2528"/>
          <w:sz w:val="19"/>
        </w:rPr>
        <w:t>Sala, iluminación, temperatura y ruido registrados.</w:t>
      </w:r>
    </w:p>
    <w:p>
      <w:pPr>
        <w:spacing w:before="0" w:after="40" w:line="259" w:lineRule="auto"/>
        <w:ind w:left="170"/>
      </w:pPr>
      <w:r>
        <w:rPr>
          <w:rFonts w:ascii="Aptos" w:hAnsi="Aptos"/>
          <w:color w:val="186C7F"/>
          <w:sz w:val="22"/>
        </w:rPr>
        <w:t xml:space="preserve">☐ </w:t>
      </w:r>
      <w:r>
        <w:rPr>
          <w:rFonts w:ascii="Aptos" w:hAnsi="Aptos"/>
          <w:color w:val="1D2528"/>
          <w:sz w:val="19"/>
        </w:rPr>
        <w:t>Dispositivos cargados, calibrados y con hora correcta.</w:t>
      </w:r>
    </w:p>
    <w:p>
      <w:pPr>
        <w:spacing w:before="0" w:after="40" w:line="259" w:lineRule="auto"/>
        <w:ind w:left="170"/>
      </w:pPr>
      <w:r>
        <w:rPr>
          <w:rFonts w:ascii="Aptos" w:hAnsi="Aptos"/>
          <w:color w:val="186C7F"/>
          <w:sz w:val="22"/>
        </w:rPr>
        <w:t xml:space="preserve">☐ </w:t>
      </w:r>
      <w:r>
        <w:rPr>
          <w:rFonts w:ascii="Aptos" w:hAnsi="Aptos"/>
          <w:color w:val="1D2528"/>
          <w:sz w:val="19"/>
        </w:rPr>
        <w:t>Pacer configurado a 5 s / 5 s para A y B.</w:t>
      </w:r>
    </w:p>
    <w:p>
      <w:pPr>
        <w:spacing w:before="0" w:after="40" w:line="259" w:lineRule="auto"/>
        <w:ind w:left="170"/>
      </w:pPr>
      <w:r>
        <w:rPr>
          <w:rFonts w:ascii="Aptos" w:hAnsi="Aptos"/>
          <w:color w:val="186C7F"/>
          <w:sz w:val="22"/>
        </w:rPr>
        <w:t xml:space="preserve">☐ </w:t>
      </w:r>
      <w:r>
        <w:rPr>
          <w:rFonts w:ascii="Aptos" w:hAnsi="Aptos"/>
          <w:color w:val="1D2528"/>
          <w:sz w:val="19"/>
        </w:rPr>
        <w:t>Secuencia de gong y distancia verificadas para A y B.</w:t>
      </w:r>
    </w:p>
    <w:p>
      <w:pPr>
        <w:spacing w:before="0" w:after="40" w:line="259" w:lineRule="auto"/>
        <w:ind w:left="170"/>
      </w:pPr>
      <w:r>
        <w:rPr>
          <w:rFonts w:ascii="Aptos" w:hAnsi="Aptos"/>
          <w:color w:val="186C7F"/>
          <w:sz w:val="22"/>
        </w:rPr>
        <w:t xml:space="preserve">☐ </w:t>
      </w:r>
      <w:r>
        <w:rPr>
          <w:rFonts w:ascii="Aptos" w:hAnsi="Aptos"/>
          <w:color w:val="1D2528"/>
          <w:sz w:val="19"/>
        </w:rPr>
        <w:t>Control silencioso/audio neutral preparado para C.</w:t>
      </w:r>
    </w:p>
    <w:p>
      <w:pPr>
        <w:spacing w:before="0" w:after="40" w:line="259" w:lineRule="auto"/>
        <w:ind w:left="170"/>
      </w:pPr>
      <w:r>
        <w:rPr>
          <w:rFonts w:ascii="Aptos" w:hAnsi="Aptos"/>
          <w:color w:val="186C7F"/>
          <w:sz w:val="22"/>
        </w:rPr>
        <w:t xml:space="preserve">☐ </w:t>
      </w:r>
      <w:r>
        <w:rPr>
          <w:rFonts w:ascii="Aptos" w:hAnsi="Aptos"/>
          <w:color w:val="1D2528"/>
          <w:sz w:val="19"/>
        </w:rPr>
        <w:t>Formularios pre, post, 24 h y 7 días disponibles.</w:t>
      </w:r>
    </w:p>
    <w:p>
      <w:pPr>
        <w:spacing w:before="0" w:after="40" w:line="259" w:lineRule="auto"/>
        <w:ind w:left="170"/>
      </w:pPr>
      <w:r>
        <w:rPr>
          <w:rFonts w:ascii="Aptos" w:hAnsi="Aptos"/>
          <w:color w:val="186C7F"/>
          <w:sz w:val="22"/>
        </w:rPr>
        <w:t xml:space="preserve">☐ </w:t>
      </w:r>
      <w:r>
        <w:rPr>
          <w:rFonts w:ascii="Aptos" w:hAnsi="Aptos"/>
          <w:color w:val="1D2528"/>
          <w:sz w:val="19"/>
        </w:rPr>
        <w:t>Responsable de seguridad y vía de emergencia identificados.</w:t>
      </w:r>
    </w:p>
    <w:p>
      <w:pPr>
        <w:pStyle w:val="Heading1"/>
        <w:keepNext/>
        <w:spacing w:before="200" w:after="80"/>
      </w:pPr>
      <w:r>
        <w:rPr>
          <w:rFonts w:ascii="Aptos" w:hAnsi="Aptos"/>
          <w:b/>
          <w:color w:val="0E4F5D"/>
          <w:sz w:val="34"/>
        </w:rPr>
        <w:t>ANEXO B — Ficha de contexto del participante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3969"/>
            <w:shd w:fill="186C7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  <w:keepLines/>
            </w:pPr>
            <w:r>
              <w:rPr>
                <w:rFonts w:ascii="Aptos" w:hAnsi="Aptos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5669"/>
            <w:shd w:fill="186C7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  <w:keepLines/>
            </w:pPr>
            <w:r>
              <w:rPr>
                <w:rFonts w:ascii="Aptos" w:hAnsi="Aptos"/>
                <w:b/>
                <w:color w:val="FFFFFF"/>
                <w:sz w:val="18"/>
              </w:rPr>
              <w:t>Registro</w:t>
            </w:r>
          </w:p>
        </w:tc>
      </w:tr>
      <w:tr>
        <w:trPr>
          <w:cantSplit/>
          <w:cantSplit/>
        </w:trPr>
        <w:tc>
          <w:tcPr>
            <w:tcW w:type="dxa" w:w="396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Código / fecha / condición</w:t>
            </w:r>
          </w:p>
        </w:tc>
        <w:tc>
          <w:tcPr>
            <w:tcW w:type="dxa" w:w="566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____________________________________________</w:t>
            </w:r>
          </w:p>
        </w:tc>
      </w:tr>
      <w:tr>
        <w:trPr>
          <w:cantSplit/>
          <w:cantSplit/>
        </w:trPr>
        <w:tc>
          <w:tcPr>
            <w:tcW w:type="dxa" w:w="396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Edad / género (opcional según plan)</w:t>
            </w:r>
          </w:p>
        </w:tc>
        <w:tc>
          <w:tcPr>
            <w:tcW w:type="dxa" w:w="566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____________________________________________</w:t>
            </w:r>
          </w:p>
        </w:tc>
      </w:tr>
      <w:tr>
        <w:trPr>
          <w:cantSplit/>
          <w:cantSplit/>
        </w:trPr>
        <w:tc>
          <w:tcPr>
            <w:tcW w:type="dxa" w:w="396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Horas de sueño y calidad 0–10</w:t>
            </w:r>
          </w:p>
        </w:tc>
        <w:tc>
          <w:tcPr>
            <w:tcW w:type="dxa" w:w="566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____________________________________________</w:t>
            </w:r>
          </w:p>
        </w:tc>
      </w:tr>
      <w:tr>
        <w:trPr>
          <w:cantSplit/>
          <w:cantSplit/>
        </w:trPr>
        <w:tc>
          <w:tcPr>
            <w:tcW w:type="dxa" w:w="396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Última comida</w:t>
            </w:r>
          </w:p>
        </w:tc>
        <w:tc>
          <w:tcPr>
            <w:tcW w:type="dxa" w:w="566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____________________________________________</w:t>
            </w:r>
          </w:p>
        </w:tc>
      </w:tr>
      <w:tr>
        <w:trPr>
          <w:cantSplit/>
          <w:cantSplit/>
        </w:trPr>
        <w:tc>
          <w:tcPr>
            <w:tcW w:type="dxa" w:w="396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Cafeína / nicotina / sustancias y horario</w:t>
            </w:r>
          </w:p>
        </w:tc>
        <w:tc>
          <w:tcPr>
            <w:tcW w:type="dxa" w:w="566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____________________________________________</w:t>
            </w:r>
          </w:p>
        </w:tc>
      </w:tr>
      <w:tr>
        <w:trPr>
          <w:cantSplit/>
          <w:cantSplit/>
        </w:trPr>
        <w:tc>
          <w:tcPr>
            <w:tcW w:type="dxa" w:w="396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Medicación habitual y horario</w:t>
            </w:r>
          </w:p>
        </w:tc>
        <w:tc>
          <w:tcPr>
            <w:tcW w:type="dxa" w:w="566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____________________________________________</w:t>
            </w:r>
          </w:p>
        </w:tc>
      </w:tr>
      <w:tr>
        <w:trPr>
          <w:cantSplit/>
          <w:cantSplit/>
        </w:trPr>
        <w:tc>
          <w:tcPr>
            <w:tcW w:type="dxa" w:w="396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Ejercicio intenso en últimas 3 h</w:t>
            </w:r>
          </w:p>
        </w:tc>
        <w:tc>
          <w:tcPr>
            <w:tcW w:type="dxa" w:w="566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Sí / No — detalle: __________________________</w:t>
            </w:r>
          </w:p>
        </w:tc>
      </w:tr>
      <w:tr>
        <w:trPr>
          <w:cantSplit/>
          <w:cantSplit/>
        </w:trPr>
        <w:tc>
          <w:tcPr>
            <w:tcW w:type="dxa" w:w="396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Experiencia previa con respiración, gong o meditación</w:t>
            </w:r>
          </w:p>
        </w:tc>
        <w:tc>
          <w:tcPr>
            <w:tcW w:type="dxa" w:w="566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____________________________________________</w:t>
            </w:r>
          </w:p>
        </w:tc>
      </w:tr>
      <w:tr>
        <w:trPr>
          <w:cantSplit/>
          <w:cantSplit/>
        </w:trPr>
        <w:tc>
          <w:tcPr>
            <w:tcW w:type="dxa" w:w="396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Familiaridad con otros participantes</w:t>
            </w:r>
          </w:p>
        </w:tc>
        <w:tc>
          <w:tcPr>
            <w:tcW w:type="dxa" w:w="566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Ninguna / leve / moderada / alta</w:t>
            </w:r>
          </w:p>
        </w:tc>
      </w:tr>
      <w:tr>
        <w:trPr>
          <w:cantSplit/>
          <w:cantSplit/>
        </w:trPr>
        <w:tc>
          <w:tcPr>
            <w:tcW w:type="dxa" w:w="396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Expectativa de beneficio 0–10</w:t>
            </w:r>
          </w:p>
        </w:tc>
        <w:tc>
          <w:tcPr>
            <w:tcW w:type="dxa" w:w="566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____________________________________________</w:t>
            </w:r>
          </w:p>
        </w:tc>
      </w:tr>
      <w:tr>
        <w:trPr>
          <w:cantSplit/>
          <w:cantSplit/>
        </w:trPr>
        <w:tc>
          <w:tcPr>
            <w:tcW w:type="dxa" w:w="396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Sensibilidad sonora / tinnitus / migraña</w:t>
            </w:r>
          </w:p>
        </w:tc>
        <w:tc>
          <w:tcPr>
            <w:tcW w:type="dxa" w:w="566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____________________________________________</w:t>
            </w:r>
          </w:p>
        </w:tc>
      </w:tr>
      <w:tr>
        <w:trPr>
          <w:cantSplit/>
          <w:cantSplit/>
        </w:trPr>
        <w:tc>
          <w:tcPr>
            <w:tcW w:type="dxa" w:w="396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Adaptaciones realizadas</w:t>
            </w:r>
          </w:p>
        </w:tc>
        <w:tc>
          <w:tcPr>
            <w:tcW w:type="dxa" w:w="566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____________________________________________</w:t>
            </w:r>
          </w:p>
        </w:tc>
      </w:tr>
    </w:tbl>
    <w:p>
      <w:pPr>
        <w:pStyle w:val="Heading1"/>
        <w:keepNext/>
        <w:spacing w:before="200" w:after="80"/>
      </w:pPr>
      <w:r>
        <w:rPr>
          <w:rFonts w:ascii="Aptos" w:hAnsi="Aptos"/>
          <w:b/>
          <w:color w:val="0E4F5D"/>
          <w:sz w:val="34"/>
        </w:rPr>
        <w:t>ANEXO C — Registro de estado pre y post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3969"/>
            <w:shd w:fill="186C7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  <w:keepLines/>
            </w:pPr>
            <w:r>
              <w:rPr>
                <w:rFonts w:ascii="Aptos" w:hAnsi="Aptos"/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1814"/>
            <w:shd w:fill="186C7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  <w:keepLines/>
            </w:pPr>
            <w:r>
              <w:rPr>
                <w:rFonts w:ascii="Aptos" w:hAnsi="Aptos"/>
                <w:b/>
                <w:color w:val="FFFFFF"/>
                <w:sz w:val="18"/>
              </w:rPr>
              <w:t>Pre</w:t>
            </w:r>
          </w:p>
        </w:tc>
        <w:tc>
          <w:tcPr>
            <w:tcW w:type="dxa" w:w="1814"/>
            <w:shd w:fill="186C7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  <w:keepLines/>
            </w:pPr>
            <w:r>
              <w:rPr>
                <w:rFonts w:ascii="Aptos" w:hAnsi="Aptos"/>
                <w:b/>
                <w:color w:val="FFFFFF"/>
                <w:sz w:val="18"/>
              </w:rPr>
              <w:t>Post</w:t>
            </w:r>
          </w:p>
        </w:tc>
        <w:tc>
          <w:tcPr>
            <w:tcW w:type="dxa" w:w="2041"/>
            <w:shd w:fill="186C7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  <w:keepLines/>
            </w:pPr>
            <w:r>
              <w:rPr>
                <w:rFonts w:ascii="Aptos" w:hAnsi="Aptos"/>
                <w:b/>
                <w:color w:val="FFFFFF"/>
                <w:sz w:val="18"/>
              </w:rPr>
              <w:t>Cambio</w:t>
            </w:r>
          </w:p>
        </w:tc>
      </w:tr>
      <w:tr>
        <w:trPr>
          <w:cantSplit/>
          <w:cantSplit/>
        </w:trPr>
        <w:tc>
          <w:tcPr>
            <w:tcW w:type="dxa" w:w="396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Estrés 0–10</w:t>
            </w:r>
          </w:p>
        </w:tc>
        <w:tc>
          <w:tcPr>
            <w:tcW w:type="dxa" w:w="181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</w:r>
          </w:p>
        </w:tc>
        <w:tc>
          <w:tcPr>
            <w:tcW w:type="dxa" w:w="181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</w:r>
          </w:p>
        </w:tc>
        <w:tc>
          <w:tcPr>
            <w:tcW w:type="dxa" w:w="204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</w:r>
          </w:p>
        </w:tc>
      </w:tr>
      <w:tr>
        <w:trPr>
          <w:cantSplit/>
          <w:cantSplit/>
        </w:trPr>
        <w:tc>
          <w:tcPr>
            <w:tcW w:type="dxa" w:w="396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Seguridad 0–10</w:t>
            </w:r>
          </w:p>
        </w:tc>
        <w:tc>
          <w:tcPr>
            <w:tcW w:type="dxa" w:w="181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</w:r>
          </w:p>
        </w:tc>
        <w:tc>
          <w:tcPr>
            <w:tcW w:type="dxa" w:w="181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</w:r>
          </w:p>
        </w:tc>
        <w:tc>
          <w:tcPr>
            <w:tcW w:type="dxa" w:w="204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</w:r>
          </w:p>
        </w:tc>
      </w:tr>
      <w:tr>
        <w:trPr>
          <w:cantSplit/>
          <w:cantSplit/>
        </w:trPr>
        <w:tc>
          <w:tcPr>
            <w:tcW w:type="dxa" w:w="396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Conexión 0–10</w:t>
            </w:r>
          </w:p>
        </w:tc>
        <w:tc>
          <w:tcPr>
            <w:tcW w:type="dxa" w:w="181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</w:r>
          </w:p>
        </w:tc>
        <w:tc>
          <w:tcPr>
            <w:tcW w:type="dxa" w:w="181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</w:r>
          </w:p>
        </w:tc>
        <w:tc>
          <w:tcPr>
            <w:tcW w:type="dxa" w:w="204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</w:r>
          </w:p>
        </w:tc>
      </w:tr>
      <w:tr>
        <w:trPr>
          <w:cantSplit/>
          <w:cantSplit/>
        </w:trPr>
        <w:tc>
          <w:tcPr>
            <w:tcW w:type="dxa" w:w="396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Activación corporal 0–10</w:t>
            </w:r>
          </w:p>
        </w:tc>
        <w:tc>
          <w:tcPr>
            <w:tcW w:type="dxa" w:w="181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</w:r>
          </w:p>
        </w:tc>
        <w:tc>
          <w:tcPr>
            <w:tcW w:type="dxa" w:w="181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</w:r>
          </w:p>
        </w:tc>
        <w:tc>
          <w:tcPr>
            <w:tcW w:type="dxa" w:w="204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</w:r>
          </w:p>
        </w:tc>
      </w:tr>
      <w:tr>
        <w:trPr>
          <w:cantSplit/>
          <w:cantSplit/>
        </w:trPr>
        <w:tc>
          <w:tcPr>
            <w:tcW w:type="dxa" w:w="396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Comodidad corporal 0–10</w:t>
            </w:r>
          </w:p>
        </w:tc>
        <w:tc>
          <w:tcPr>
            <w:tcW w:type="dxa" w:w="181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</w:r>
          </w:p>
        </w:tc>
        <w:tc>
          <w:tcPr>
            <w:tcW w:type="dxa" w:w="181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</w:r>
          </w:p>
        </w:tc>
        <w:tc>
          <w:tcPr>
            <w:tcW w:type="dxa" w:w="204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</w:r>
          </w:p>
        </w:tc>
      </w:tr>
      <w:tr>
        <w:trPr>
          <w:cantSplit/>
          <w:cantSplit/>
        </w:trPr>
        <w:tc>
          <w:tcPr>
            <w:tcW w:type="dxa" w:w="396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Valencia emocional −5 a +5</w:t>
            </w:r>
          </w:p>
        </w:tc>
        <w:tc>
          <w:tcPr>
            <w:tcW w:type="dxa" w:w="181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</w:r>
          </w:p>
        </w:tc>
        <w:tc>
          <w:tcPr>
            <w:tcW w:type="dxa" w:w="181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</w:r>
          </w:p>
        </w:tc>
        <w:tc>
          <w:tcPr>
            <w:tcW w:type="dxa" w:w="204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</w:r>
          </w:p>
        </w:tc>
      </w:tr>
      <w:tr>
        <w:trPr>
          <w:cantSplit/>
          <w:cantSplit/>
        </w:trPr>
        <w:tc>
          <w:tcPr>
            <w:tcW w:type="dxa" w:w="396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FC media</w:t>
            </w:r>
          </w:p>
        </w:tc>
        <w:tc>
          <w:tcPr>
            <w:tcW w:type="dxa" w:w="181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</w:r>
          </w:p>
        </w:tc>
        <w:tc>
          <w:tcPr>
            <w:tcW w:type="dxa" w:w="181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</w:r>
          </w:p>
        </w:tc>
        <w:tc>
          <w:tcPr>
            <w:tcW w:type="dxa" w:w="204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</w:r>
          </w:p>
        </w:tc>
      </w:tr>
      <w:tr>
        <w:trPr>
          <w:cantSplit/>
          <w:cantSplit/>
        </w:trPr>
        <w:tc>
          <w:tcPr>
            <w:tcW w:type="dxa" w:w="396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RMSSD</w:t>
            </w:r>
          </w:p>
        </w:tc>
        <w:tc>
          <w:tcPr>
            <w:tcW w:type="dxa" w:w="181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</w:r>
          </w:p>
        </w:tc>
        <w:tc>
          <w:tcPr>
            <w:tcW w:type="dxa" w:w="181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</w:r>
          </w:p>
        </w:tc>
        <w:tc>
          <w:tcPr>
            <w:tcW w:type="dxa" w:w="204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</w:r>
          </w:p>
        </w:tc>
      </w:tr>
      <w:tr>
        <w:trPr>
          <w:cantSplit/>
          <w:cantSplit/>
        </w:trPr>
        <w:tc>
          <w:tcPr>
            <w:tcW w:type="dxa" w:w="396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SDNN</w:t>
            </w:r>
          </w:p>
        </w:tc>
        <w:tc>
          <w:tcPr>
            <w:tcW w:type="dxa" w:w="181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</w:r>
          </w:p>
        </w:tc>
        <w:tc>
          <w:tcPr>
            <w:tcW w:type="dxa" w:w="181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</w:r>
          </w:p>
        </w:tc>
        <w:tc>
          <w:tcPr>
            <w:tcW w:type="dxa" w:w="204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</w:r>
          </w:p>
        </w:tc>
      </w:tr>
      <w:tr>
        <w:trPr>
          <w:cantSplit/>
          <w:cantSplit/>
        </w:trPr>
        <w:tc>
          <w:tcPr>
            <w:tcW w:type="dxa" w:w="396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Coherence Score</w:t>
            </w:r>
          </w:p>
        </w:tc>
        <w:tc>
          <w:tcPr>
            <w:tcW w:type="dxa" w:w="181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</w:r>
          </w:p>
        </w:tc>
        <w:tc>
          <w:tcPr>
            <w:tcW w:type="dxa" w:w="181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</w:r>
          </w:p>
        </w:tc>
        <w:tc>
          <w:tcPr>
            <w:tcW w:type="dxa" w:w="204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</w:r>
          </w:p>
        </w:tc>
      </w:tr>
      <w:tr>
        <w:trPr>
          <w:cantSplit/>
          <w:cantSplit/>
        </w:trPr>
        <w:tc>
          <w:tcPr>
            <w:tcW w:type="dxa" w:w="396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GDV energía</w:t>
            </w:r>
          </w:p>
        </w:tc>
        <w:tc>
          <w:tcPr>
            <w:tcW w:type="dxa" w:w="181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</w:r>
          </w:p>
        </w:tc>
        <w:tc>
          <w:tcPr>
            <w:tcW w:type="dxa" w:w="181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</w:r>
          </w:p>
        </w:tc>
        <w:tc>
          <w:tcPr>
            <w:tcW w:type="dxa" w:w="204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</w:r>
          </w:p>
        </w:tc>
      </w:tr>
      <w:tr>
        <w:trPr>
          <w:cantSplit/>
          <w:cantSplit/>
        </w:trPr>
        <w:tc>
          <w:tcPr>
            <w:tcW w:type="dxa" w:w="396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GDV estrés</w:t>
            </w:r>
          </w:p>
        </w:tc>
        <w:tc>
          <w:tcPr>
            <w:tcW w:type="dxa" w:w="181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</w:r>
          </w:p>
        </w:tc>
        <w:tc>
          <w:tcPr>
            <w:tcW w:type="dxa" w:w="181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</w:r>
          </w:p>
        </w:tc>
        <w:tc>
          <w:tcPr>
            <w:tcW w:type="dxa" w:w="204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</w:r>
          </w:p>
        </w:tc>
      </w:tr>
      <w:tr>
        <w:trPr>
          <w:cantSplit/>
          <w:cantSplit/>
        </w:trPr>
        <w:tc>
          <w:tcPr>
            <w:tcW w:type="dxa" w:w="396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GDV equilibrio/simetría</w:t>
            </w:r>
          </w:p>
        </w:tc>
        <w:tc>
          <w:tcPr>
            <w:tcW w:type="dxa" w:w="181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</w:r>
          </w:p>
        </w:tc>
        <w:tc>
          <w:tcPr>
            <w:tcW w:type="dxa" w:w="181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</w:r>
          </w:p>
        </w:tc>
        <w:tc>
          <w:tcPr>
            <w:tcW w:type="dxa" w:w="204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</w:r>
          </w:p>
        </w:tc>
      </w:tr>
      <w:tr>
        <w:trPr>
          <w:cantSplit/>
          <w:cantSplit/>
        </w:trPr>
        <w:tc>
          <w:tcPr>
            <w:tcW w:type="dxa" w:w="396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WIBindex (versión)</w:t>
            </w:r>
          </w:p>
        </w:tc>
        <w:tc>
          <w:tcPr>
            <w:tcW w:type="dxa" w:w="181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</w:r>
          </w:p>
        </w:tc>
        <w:tc>
          <w:tcPr>
            <w:tcW w:type="dxa" w:w="181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</w:r>
          </w:p>
        </w:tc>
        <w:tc>
          <w:tcPr>
            <w:tcW w:type="dxa" w:w="204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</w:trPr>
        <w:tc>
          <w:tcPr>
            <w:tcW w:type="dxa" w:w="9866"/>
            <w:shd w:fill="186C7F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start w:w="150" w:type="dxa"/>
              <w:bottom w:w="90" w:type="dxa"/>
              <w:end w:w="150" w:type="dxa"/>
            </w:tcMar>
          </w:tcPr>
          <w:p>
            <w:pPr>
              <w:spacing w:before="0" w:after="0" w:line="259" w:lineRule="auto"/>
              <w:jc w:val="left"/>
              <w:keepLines/>
            </w:pPr>
            <w:r>
              <w:rPr>
                <w:rFonts w:ascii="Aptos" w:hAnsi="Aptos"/>
                <w:b/>
                <w:color w:val="FFFFFF"/>
                <w:sz w:val="25"/>
              </w:rPr>
              <w:t>ANEXOS — SEGUIMIENTO Y CONTROL DE CALIDAD</w:t>
            </w:r>
          </w:p>
        </w:tc>
      </w:tr>
    </w:tbl>
    <w:p>
      <w:pPr>
        <w:pStyle w:val="Heading1"/>
        <w:keepNext/>
        <w:spacing w:before="200" w:after="80"/>
      </w:pPr>
      <w:r>
        <w:rPr>
          <w:rFonts w:ascii="Aptos" w:hAnsi="Aptos"/>
          <w:b/>
          <w:color w:val="0E4F5D"/>
          <w:sz w:val="34"/>
        </w:rPr>
        <w:t>ANEXO D — Seguimiento a 24 horas y 7 días</w:t>
      </w:r>
    </w:p>
    <w:p>
      <w:pPr>
        <w:spacing w:before="0" w:after="120" w:line="269" w:lineRule="auto"/>
      </w:pPr>
      <w:r>
        <w:rPr>
          <w:rFonts w:ascii="Aptos" w:hAnsi="Aptos"/>
          <w:i w:val="0"/>
          <w:color w:val="1D2528"/>
          <w:sz w:val="21"/>
        </w:rPr>
        <w:t>Aplicar las mismas preguntas en ambos momentos, añadiendo el período de referencia: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6236"/>
            <w:shd w:fill="186C7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  <w:keepLines/>
            </w:pPr>
            <w:r>
              <w:rPr>
                <w:rFonts w:ascii="Aptos" w:hAnsi="Aptos"/>
                <w:b/>
                <w:color w:val="FFFFFF"/>
                <w:sz w:val="18"/>
              </w:rPr>
              <w:t>Pregunta</w:t>
            </w:r>
          </w:p>
        </w:tc>
        <w:tc>
          <w:tcPr>
            <w:tcW w:type="dxa" w:w="3402"/>
            <w:shd w:fill="186C7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  <w:keepLines/>
            </w:pPr>
            <w:r>
              <w:rPr>
                <w:rFonts w:ascii="Aptos" w:hAnsi="Aptos"/>
                <w:b/>
                <w:color w:val="FFFFFF"/>
                <w:sz w:val="18"/>
              </w:rPr>
              <w:t>Escala / respuesta</w:t>
            </w:r>
          </w:p>
        </w:tc>
      </w:tr>
      <w:tr>
        <w:trPr>
          <w:cantSplit/>
          <w:cantSplit/>
        </w:trPr>
        <w:tc>
          <w:tcPr>
            <w:tcW w:type="dxa" w:w="623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¿Cuánto estrés sentís ahora?</w:t>
            </w:r>
          </w:p>
        </w:tc>
        <w:tc>
          <w:tcPr>
            <w:tcW w:type="dxa" w:w="34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0–10</w:t>
            </w:r>
          </w:p>
        </w:tc>
      </w:tr>
      <w:tr>
        <w:trPr>
          <w:cantSplit/>
          <w:cantSplit/>
        </w:trPr>
        <w:tc>
          <w:tcPr>
            <w:tcW w:type="dxa" w:w="623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¿Cuán seguro/a y a salvo te sentís ahora?</w:t>
            </w:r>
          </w:p>
        </w:tc>
        <w:tc>
          <w:tcPr>
            <w:tcW w:type="dxa" w:w="34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0–10</w:t>
            </w:r>
          </w:p>
        </w:tc>
      </w:tr>
      <w:tr>
        <w:trPr>
          <w:cantSplit/>
          <w:cantSplit/>
        </w:trPr>
        <w:tc>
          <w:tcPr>
            <w:tcW w:type="dxa" w:w="623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¿Cuán conectado/a te sentís con otras personas?</w:t>
            </w:r>
          </w:p>
        </w:tc>
        <w:tc>
          <w:tcPr>
            <w:tcW w:type="dxa" w:w="34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0–10</w:t>
            </w:r>
          </w:p>
        </w:tc>
      </w:tr>
      <w:tr>
        <w:trPr>
          <w:cantSplit/>
          <w:cantSplit/>
        </w:trPr>
        <w:tc>
          <w:tcPr>
            <w:tcW w:type="dxa" w:w="623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¿Cómo dormiste desde la experiencia?</w:t>
            </w:r>
          </w:p>
        </w:tc>
        <w:tc>
          <w:tcPr>
            <w:tcW w:type="dxa" w:w="34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0–10 + comentario</w:t>
            </w:r>
          </w:p>
        </w:tc>
      </w:tr>
      <w:tr>
        <w:trPr>
          <w:cantSplit/>
          <w:cantSplit/>
        </w:trPr>
        <w:tc>
          <w:tcPr>
            <w:tcW w:type="dxa" w:w="623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¿Notaste un cambio corporal o emocional que atribuyas a la experiencia?</w:t>
            </w:r>
          </w:p>
        </w:tc>
        <w:tc>
          <w:tcPr>
            <w:tcW w:type="dxa" w:w="34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Sí / No / No sé + descripción</w:t>
            </w:r>
          </w:p>
        </w:tc>
      </w:tr>
      <w:tr>
        <w:trPr>
          <w:cantSplit/>
          <w:cantSplit/>
        </w:trPr>
        <w:tc>
          <w:tcPr>
            <w:tcW w:type="dxa" w:w="623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¿Tuviste alguna molestia?</w:t>
            </w:r>
          </w:p>
        </w:tc>
        <w:tc>
          <w:tcPr>
            <w:tcW w:type="dxa" w:w="34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Dolor de cabeza, mareo, ansiedad, tinnitus, fatiga, otra</w:t>
            </w:r>
          </w:p>
        </w:tc>
      </w:tr>
      <w:tr>
        <w:trPr>
          <w:cantSplit/>
          <w:cantSplit/>
        </w:trPr>
        <w:tc>
          <w:tcPr>
            <w:tcW w:type="dxa" w:w="623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¿Cuánto duró el cambio principal percibido?</w:t>
            </w:r>
          </w:p>
        </w:tc>
        <w:tc>
          <w:tcPr>
            <w:tcW w:type="dxa" w:w="34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Minutos / horas / continúa / no hubo</w:t>
            </w:r>
          </w:p>
        </w:tc>
      </w:tr>
      <w:tr>
        <w:trPr>
          <w:cantSplit/>
          <w:cantSplit/>
        </w:trPr>
        <w:tc>
          <w:tcPr>
            <w:tcW w:type="dxa" w:w="623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¿Realizaste otra práctica de bienestar después?</w:t>
            </w:r>
          </w:p>
        </w:tc>
        <w:tc>
          <w:tcPr>
            <w:tcW w:type="dxa" w:w="34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Sí / No + detalle</w:t>
            </w:r>
          </w:p>
        </w:tc>
      </w:tr>
      <w:tr>
        <w:trPr>
          <w:cantSplit/>
          <w:cantSplit/>
        </w:trPr>
        <w:tc>
          <w:tcPr>
            <w:tcW w:type="dxa" w:w="623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Comentario libre</w:t>
            </w:r>
          </w:p>
        </w:tc>
        <w:tc>
          <w:tcPr>
            <w:tcW w:type="dxa" w:w="34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Texto breve</w:t>
            </w:r>
          </w:p>
        </w:tc>
      </w:tr>
    </w:tbl>
    <w:p>
      <w:pPr>
        <w:pStyle w:val="Heading1"/>
        <w:keepNext/>
        <w:spacing w:before="200" w:after="80"/>
      </w:pPr>
      <w:r>
        <w:rPr>
          <w:rFonts w:ascii="Aptos" w:hAnsi="Aptos"/>
          <w:b/>
          <w:color w:val="0E4F5D"/>
          <w:sz w:val="34"/>
        </w:rPr>
        <w:t>ANEXO E — Registro de desviaciones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  <w:cantSplit/>
        </w:trPr>
        <w:tc>
          <w:tcPr>
            <w:tcW w:type="dxa" w:w="1134"/>
            <w:shd w:fill="186C7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  <w:keepLines/>
            </w:pPr>
            <w:r>
              <w:rPr>
                <w:rFonts w:ascii="Aptos" w:hAnsi="Aptos"/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1304"/>
            <w:shd w:fill="186C7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  <w:keepLines/>
            </w:pPr>
            <w:r>
              <w:rPr>
                <w:rFonts w:ascii="Aptos" w:hAnsi="Aptos"/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2268"/>
            <w:shd w:fill="186C7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  <w:keepLines/>
            </w:pPr>
            <w:r>
              <w:rPr>
                <w:rFonts w:ascii="Aptos" w:hAnsi="Aptos"/>
                <w:b/>
                <w:color w:val="FFFFFF"/>
                <w:sz w:val="18"/>
              </w:rPr>
              <w:t>Desviación</w:t>
            </w:r>
          </w:p>
        </w:tc>
        <w:tc>
          <w:tcPr>
            <w:tcW w:type="dxa" w:w="1701"/>
            <w:shd w:fill="186C7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  <w:keepLines/>
            </w:pPr>
            <w:r>
              <w:rPr>
                <w:rFonts w:ascii="Aptos" w:hAnsi="Aptos"/>
                <w:b/>
                <w:color w:val="FFFFFF"/>
                <w:sz w:val="18"/>
              </w:rPr>
              <w:t>Causa</w:t>
            </w:r>
          </w:p>
        </w:tc>
        <w:tc>
          <w:tcPr>
            <w:tcW w:type="dxa" w:w="1814"/>
            <w:shd w:fill="186C7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  <w:keepLines/>
            </w:pPr>
            <w:r>
              <w:rPr>
                <w:rFonts w:ascii="Aptos" w:hAnsi="Aptos"/>
                <w:b/>
                <w:color w:val="FFFFFF"/>
                <w:sz w:val="18"/>
              </w:rPr>
              <w:t>Impacto probable</w:t>
            </w:r>
          </w:p>
        </w:tc>
        <w:tc>
          <w:tcPr>
            <w:tcW w:type="dxa" w:w="1417"/>
            <w:shd w:fill="186C7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  <w:keepLines/>
            </w:pPr>
            <w:r>
              <w:rPr>
                <w:rFonts w:ascii="Aptos" w:hAnsi="Aptos"/>
                <w:b/>
                <w:color w:val="FFFFFF"/>
                <w:sz w:val="18"/>
              </w:rPr>
              <w:t>Acción</w:t>
            </w:r>
          </w:p>
        </w:tc>
      </w:tr>
      <w:tr>
        <w:trPr>
          <w:cantSplit/>
          <w:cantSplit/>
        </w:trPr>
        <w:tc>
          <w:tcPr>
            <w:tcW w:type="dxa" w:w="11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</w:r>
          </w:p>
        </w:tc>
        <w:tc>
          <w:tcPr>
            <w:tcW w:type="dxa" w:w="130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</w:r>
          </w:p>
        </w:tc>
        <w:tc>
          <w:tcPr>
            <w:tcW w:type="dxa" w:w="22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</w:r>
          </w:p>
        </w:tc>
        <w:tc>
          <w:tcPr>
            <w:tcW w:type="dxa" w:w="170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</w:r>
          </w:p>
        </w:tc>
        <w:tc>
          <w:tcPr>
            <w:tcW w:type="dxa" w:w="181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</w:r>
          </w:p>
        </w:tc>
        <w:tc>
          <w:tcPr>
            <w:tcW w:type="dxa" w:w="141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</w:r>
          </w:p>
        </w:tc>
      </w:tr>
      <w:tr>
        <w:trPr>
          <w:cantSplit/>
          <w:cantSplit/>
        </w:trPr>
        <w:tc>
          <w:tcPr>
            <w:tcW w:type="dxa" w:w="11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</w:r>
          </w:p>
        </w:tc>
        <w:tc>
          <w:tcPr>
            <w:tcW w:type="dxa" w:w="130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</w:r>
          </w:p>
        </w:tc>
        <w:tc>
          <w:tcPr>
            <w:tcW w:type="dxa" w:w="22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</w:r>
          </w:p>
        </w:tc>
        <w:tc>
          <w:tcPr>
            <w:tcW w:type="dxa" w:w="170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</w:r>
          </w:p>
        </w:tc>
        <w:tc>
          <w:tcPr>
            <w:tcW w:type="dxa" w:w="181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</w:r>
          </w:p>
        </w:tc>
        <w:tc>
          <w:tcPr>
            <w:tcW w:type="dxa" w:w="141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</w:r>
          </w:p>
        </w:tc>
      </w:tr>
      <w:tr>
        <w:trPr>
          <w:cantSplit/>
          <w:cantSplit/>
        </w:trPr>
        <w:tc>
          <w:tcPr>
            <w:tcW w:type="dxa" w:w="11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</w:r>
          </w:p>
        </w:tc>
        <w:tc>
          <w:tcPr>
            <w:tcW w:type="dxa" w:w="130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</w:r>
          </w:p>
        </w:tc>
        <w:tc>
          <w:tcPr>
            <w:tcW w:type="dxa" w:w="22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</w:r>
          </w:p>
        </w:tc>
        <w:tc>
          <w:tcPr>
            <w:tcW w:type="dxa" w:w="170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</w:r>
          </w:p>
        </w:tc>
        <w:tc>
          <w:tcPr>
            <w:tcW w:type="dxa" w:w="181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</w:r>
          </w:p>
        </w:tc>
        <w:tc>
          <w:tcPr>
            <w:tcW w:type="dxa" w:w="141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</w:r>
          </w:p>
        </w:tc>
      </w:tr>
      <w:tr>
        <w:trPr>
          <w:cantSplit/>
          <w:cantSplit/>
        </w:trPr>
        <w:tc>
          <w:tcPr>
            <w:tcW w:type="dxa" w:w="11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</w:r>
          </w:p>
        </w:tc>
        <w:tc>
          <w:tcPr>
            <w:tcW w:type="dxa" w:w="130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</w:r>
          </w:p>
        </w:tc>
        <w:tc>
          <w:tcPr>
            <w:tcW w:type="dxa" w:w="22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</w:r>
          </w:p>
        </w:tc>
        <w:tc>
          <w:tcPr>
            <w:tcW w:type="dxa" w:w="170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</w:r>
          </w:p>
        </w:tc>
        <w:tc>
          <w:tcPr>
            <w:tcW w:type="dxa" w:w="181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</w:r>
          </w:p>
        </w:tc>
        <w:tc>
          <w:tcPr>
            <w:tcW w:type="dxa" w:w="141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</w:r>
          </w:p>
        </w:tc>
      </w:tr>
      <w:tr>
        <w:trPr>
          <w:cantSplit/>
          <w:cantSplit/>
        </w:trPr>
        <w:tc>
          <w:tcPr>
            <w:tcW w:type="dxa" w:w="11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</w:r>
          </w:p>
        </w:tc>
        <w:tc>
          <w:tcPr>
            <w:tcW w:type="dxa" w:w="130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</w:r>
          </w:p>
        </w:tc>
        <w:tc>
          <w:tcPr>
            <w:tcW w:type="dxa" w:w="22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</w:r>
          </w:p>
        </w:tc>
        <w:tc>
          <w:tcPr>
            <w:tcW w:type="dxa" w:w="170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</w:r>
          </w:p>
        </w:tc>
        <w:tc>
          <w:tcPr>
            <w:tcW w:type="dxa" w:w="181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</w:r>
          </w:p>
        </w:tc>
        <w:tc>
          <w:tcPr>
            <w:tcW w:type="dxa" w:w="141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</w:r>
          </w:p>
        </w:tc>
      </w:tr>
    </w:tbl>
    <w:p>
      <w:pPr>
        <w:pStyle w:val="Heading1"/>
        <w:keepNext/>
        <w:spacing w:before="200" w:after="80"/>
      </w:pPr>
      <w:r>
        <w:rPr>
          <w:rFonts w:ascii="Aptos" w:hAnsi="Aptos"/>
          <w:b/>
          <w:color w:val="0E4F5D"/>
          <w:sz w:val="34"/>
        </w:rPr>
        <w:t>ANEXO F — Registro de evento adverso o malestar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3628"/>
            <w:shd w:fill="186C7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  <w:keepLines/>
            </w:pPr>
            <w:r>
              <w:rPr>
                <w:rFonts w:ascii="Aptos" w:hAnsi="Aptos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6009"/>
            <w:shd w:fill="186C7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  <w:keepLines/>
            </w:pPr>
            <w:r>
              <w:rPr>
                <w:rFonts w:ascii="Aptos" w:hAnsi="Aptos"/>
                <w:b/>
                <w:color w:val="FFFFFF"/>
                <w:sz w:val="18"/>
              </w:rPr>
              <w:t>Registro</w:t>
            </w:r>
          </w:p>
        </w:tc>
      </w:tr>
      <w:tr>
        <w:trPr>
          <w:cantSplit/>
          <w:cantSplit/>
        </w:trPr>
        <w:tc>
          <w:tcPr>
            <w:tcW w:type="dxa" w:w="36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Código / condición / fecha</w:t>
            </w:r>
          </w:p>
        </w:tc>
        <w:tc>
          <w:tcPr>
            <w:tcW w:type="dxa" w:w="600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____________________________________________</w:t>
            </w:r>
          </w:p>
        </w:tc>
      </w:tr>
      <w:tr>
        <w:trPr>
          <w:cantSplit/>
          <w:cantSplit/>
        </w:trPr>
        <w:tc>
          <w:tcPr>
            <w:tcW w:type="dxa" w:w="36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Descripción</w:t>
            </w:r>
          </w:p>
        </w:tc>
        <w:tc>
          <w:tcPr>
            <w:tcW w:type="dxa" w:w="600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____________________________________________</w:t>
            </w:r>
          </w:p>
        </w:tc>
      </w:tr>
      <w:tr>
        <w:trPr>
          <w:cantSplit/>
          <w:cantSplit/>
        </w:trPr>
        <w:tc>
          <w:tcPr>
            <w:tcW w:type="dxa" w:w="36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Inicio / duración</w:t>
            </w:r>
          </w:p>
        </w:tc>
        <w:tc>
          <w:tcPr>
            <w:tcW w:type="dxa" w:w="600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____________________________________________</w:t>
            </w:r>
          </w:p>
        </w:tc>
      </w:tr>
      <w:tr>
        <w:trPr>
          <w:cantSplit/>
          <w:cantSplit/>
        </w:trPr>
        <w:tc>
          <w:tcPr>
            <w:tcW w:type="dxa" w:w="36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Intensidad</w:t>
            </w:r>
          </w:p>
        </w:tc>
        <w:tc>
          <w:tcPr>
            <w:tcW w:type="dxa" w:w="600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Leve / moderada / severa</w:t>
            </w:r>
          </w:p>
        </w:tc>
      </w:tr>
      <w:tr>
        <w:trPr>
          <w:cantSplit/>
          <w:cantSplit/>
        </w:trPr>
        <w:tc>
          <w:tcPr>
            <w:tcW w:type="dxa" w:w="36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Acción tomada</w:t>
            </w:r>
          </w:p>
        </w:tc>
        <w:tc>
          <w:tcPr>
            <w:tcW w:type="dxa" w:w="600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____________________________________________</w:t>
            </w:r>
          </w:p>
        </w:tc>
      </w:tr>
      <w:tr>
        <w:trPr>
          <w:cantSplit/>
          <w:cantSplit/>
        </w:trPr>
        <w:tc>
          <w:tcPr>
            <w:tcW w:type="dxa" w:w="36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Resolución</w:t>
            </w:r>
          </w:p>
        </w:tc>
        <w:tc>
          <w:tcPr>
            <w:tcW w:type="dxa" w:w="600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Completa / parcial / derivación</w:t>
            </w:r>
          </w:p>
        </w:tc>
      </w:tr>
      <w:tr>
        <w:trPr>
          <w:cantSplit/>
          <w:cantSplit/>
        </w:trPr>
        <w:tc>
          <w:tcPr>
            <w:tcW w:type="dxa" w:w="36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Relación con la experiencia</w:t>
            </w:r>
          </w:p>
        </w:tc>
        <w:tc>
          <w:tcPr>
            <w:tcW w:type="dxa" w:w="600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No relacionada / posible / probable / no evaluable</w:t>
            </w:r>
          </w:p>
        </w:tc>
      </w:tr>
      <w:tr>
        <w:trPr>
          <w:cantSplit/>
          <w:cantSplit/>
        </w:trPr>
        <w:tc>
          <w:tcPr>
            <w:tcW w:type="dxa" w:w="36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Seguimiento</w:t>
            </w:r>
          </w:p>
        </w:tc>
        <w:tc>
          <w:tcPr>
            <w:tcW w:type="dxa" w:w="600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BFB"/>
          </w:tcPr>
          <w:p>
            <w:pPr>
              <w:spacing w:before="0" w:after="0" w:line="250" w:lineRule="auto"/>
              <w:keepLines/>
            </w:pPr>
            <w:r>
              <w:rPr>
                <w:rFonts w:ascii="Aptos" w:hAnsi="Aptos"/>
                <w:color w:val="1D2528"/>
                <w:sz w:val="17"/>
              </w:rPr>
              <w:t>____________________________________________</w:t>
            </w:r>
          </w:p>
        </w:tc>
      </w:tr>
    </w:tbl>
    <w:p>
      <w:pPr>
        <w:pStyle w:val="Heading1"/>
        <w:keepNext/>
        <w:spacing w:before="200" w:after="80"/>
      </w:pPr>
      <w:r>
        <w:rPr>
          <w:rFonts w:ascii="Aptos" w:hAnsi="Aptos"/>
          <w:b/>
          <w:color w:val="0E4F5D"/>
          <w:sz w:val="34"/>
        </w:rPr>
        <w:t>ANEXO G — Criterio de sesión válida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C4E4E7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single" w:sz="10" w:color="186C7F"/>
              <w:left w:val="single" w:sz="10" w:color="186C7F"/>
              <w:bottom w:val="single" w:sz="10" w:color="186C7F"/>
              <w:right w:val="single" w:sz="10" w:color="186C7F"/>
            </w:tcBorders>
          </w:tcPr>
          <w:p>
            <w:pPr>
              <w:spacing w:before="0" w:after="40" w:line="259" w:lineRule="auto"/>
              <w:keepLines/>
            </w:pPr>
            <w:r>
              <w:rPr>
                <w:rFonts w:ascii="Aptos" w:hAnsi="Aptos"/>
                <w:b/>
                <w:color w:val="186C7F"/>
                <w:sz w:val="24"/>
              </w:rPr>
              <w:t xml:space="preserve">✓ </w:t>
            </w:r>
            <w:r>
              <w:rPr>
                <w:rFonts w:ascii="Aptos" w:hAnsi="Aptos"/>
                <w:b/>
                <w:color w:val="186C7F"/>
                <w:sz w:val="22"/>
              </w:rPr>
              <w:t>Sesión válida para análisis principal</w:t>
            </w:r>
          </w:p>
          <w:p>
            <w:pPr>
              <w:spacing w:before="0" w:after="0" w:line="259" w:lineRule="auto"/>
              <w:keepLines/>
            </w:pPr>
            <w:r>
              <w:rPr>
                <w:rFonts w:ascii="Aptos" w:hAnsi="Aptos"/>
                <w:color w:val="1D2528"/>
                <w:sz w:val="20"/>
              </w:rPr>
              <w:t>Consentimiento completo; mediciones pre y post válidas; intervención dentro del tiempo; sin contaminación crítica entre condiciones; sin evento que obligue a interrumpir antes del bloque principal. Las sesiones no válidas se conservan en la base y se clasifican, no se borran.</w:t>
            </w:r>
          </w:p>
        </w:tc>
      </w:tr>
    </w:tbl>
    <w:p>
      <w:pPr>
        <w:pStyle w:val="Heading1"/>
        <w:keepNext/>
        <w:spacing w:before="200" w:after="80"/>
      </w:pPr>
      <w:r>
        <w:rPr>
          <w:rFonts w:ascii="Aptos" w:hAnsi="Aptos"/>
          <w:b/>
          <w:color w:val="0E4F5D"/>
          <w:sz w:val="34"/>
        </w:rPr>
        <w:t>ANEXO H — Referencias conceptuales seleccionadas</w:t>
      </w:r>
    </w:p>
    <w:p>
      <w:pPr>
        <w:spacing w:before="0" w:after="100" w:line="252" w:lineRule="auto"/>
        <w:ind w:left="369" w:hanging="369"/>
      </w:pPr>
      <w:r>
        <w:rPr>
          <w:rFonts w:ascii="Aptos" w:hAnsi="Aptos"/>
          <w:color w:val="1D2528"/>
          <w:sz w:val="18"/>
        </w:rPr>
        <w:t>Eisenberger, N. I., Lieberman, M. D., &amp; Williams, K. D. (2003). Does rejection hurt? An fMRI study of social exclusion. Science, 302(5643), 290–292. https://doi.org/10.1126/science.1089134</w:t>
      </w:r>
    </w:p>
    <w:p>
      <w:pPr>
        <w:spacing w:before="0" w:after="100" w:line="252" w:lineRule="auto"/>
        <w:ind w:left="369" w:hanging="369"/>
      </w:pPr>
      <w:r>
        <w:rPr>
          <w:rFonts w:ascii="Aptos" w:hAnsi="Aptos"/>
          <w:color w:val="1D2528"/>
          <w:sz w:val="18"/>
        </w:rPr>
        <w:t>Eisenberger, N. I., Taylor, S. E., Gable, S. L., Hilmert, C. J., &amp; Lieberman, M. D. (2007). Neural pathways link social support to attenuated neuroendocrine stress responses. NeuroImage, 35(4), 1601–1612. https://doi.org/10.1016/j.neuroimage.2007.01.038</w:t>
      </w:r>
    </w:p>
    <w:p>
      <w:pPr>
        <w:spacing w:before="0" w:after="100" w:line="252" w:lineRule="auto"/>
        <w:ind w:left="369" w:hanging="369"/>
      </w:pPr>
      <w:r>
        <w:rPr>
          <w:rFonts w:ascii="Aptos" w:hAnsi="Aptos"/>
          <w:color w:val="1D2528"/>
          <w:sz w:val="18"/>
        </w:rPr>
        <w:t>Eisenberger, N. I., Master, S. L., Inagaki, T. K., Taylor, S. E., Shirinyan, D., Lieberman, M. D., &amp; Naliboff, B. D. (2011). Attachment figures activate a safety signal-related neural region and reduce pain experience. PNAS, 108(28), 11721–11726. https://doi.org/10.1073/pnas.1108239108</w:t>
      </w:r>
    </w:p>
    <w:p>
      <w:pPr>
        <w:spacing w:before="0" w:after="100" w:line="252" w:lineRule="auto"/>
        <w:ind w:left="369" w:hanging="369"/>
      </w:pPr>
      <w:r>
        <w:rPr>
          <w:rFonts w:ascii="Aptos" w:hAnsi="Aptos"/>
          <w:color w:val="1D2528"/>
          <w:sz w:val="18"/>
        </w:rPr>
        <w:t>Eisenberger, N. I. (2012). The pain of social disconnection: examining the shared neural underpinnings of physical and social pain. Nature Reviews Neuroscience, 13, 421–434. https://doi.org/10.1038/nrn3231</w:t>
      </w:r>
    </w:p>
    <w:p>
      <w:pPr>
        <w:spacing w:before="0" w:after="100" w:line="252" w:lineRule="auto"/>
        <w:ind w:left="369" w:hanging="369"/>
      </w:pPr>
      <w:r>
        <w:rPr>
          <w:rFonts w:ascii="Aptos" w:hAnsi="Aptos"/>
          <w:color w:val="1D2528"/>
          <w:sz w:val="18"/>
        </w:rPr>
        <w:t>Zaccaro, A., Piarulli, A., Laurino, M., Garbella, E., Menicucci, D., Neri, B., &amp; Gemignani, A. (2018). How breath-control can change your life: a systematic review on psychophysiological correlates of slow breathing. Frontiers in Human Neuroscience, 12, 353. https://doi.org/10.3389/fnhum.2018.00353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9D3CA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single" w:sz="10" w:color="F299A3"/>
              <w:left w:val="single" w:sz="10" w:color="F299A3"/>
              <w:bottom w:val="single" w:sz="10" w:color="F299A3"/>
              <w:right w:val="single" w:sz="10" w:color="F299A3"/>
            </w:tcBorders>
          </w:tcPr>
          <w:p>
            <w:pPr>
              <w:spacing w:before="0" w:after="40" w:line="259" w:lineRule="auto"/>
              <w:keepLines/>
            </w:pPr>
            <w:r>
              <w:rPr>
                <w:rFonts w:ascii="Aptos" w:hAnsi="Aptos"/>
                <w:b/>
                <w:color w:val="F299A3"/>
                <w:sz w:val="24"/>
              </w:rPr>
              <w:t xml:space="preserve">→ </w:t>
            </w:r>
            <w:r>
              <w:rPr>
                <w:rFonts w:ascii="Aptos" w:hAnsi="Aptos"/>
                <w:b/>
                <w:color w:val="F299A3"/>
                <w:sz w:val="22"/>
              </w:rPr>
              <w:t>Próximo paso metodológico</w:t>
            </w:r>
          </w:p>
          <w:p>
            <w:pPr>
              <w:spacing w:before="0" w:after="0" w:line="259" w:lineRule="auto"/>
              <w:keepLines/>
            </w:pPr>
            <w:r>
              <w:rPr>
                <w:rFonts w:ascii="Aptos" w:hAnsi="Aptos"/>
                <w:color w:val="1D2528"/>
                <w:sz w:val="20"/>
              </w:rPr>
              <w:t>Antes del primer participante: fijar la modalidad de control C, la variable primaria, la regla de calidad de señal, el tamaño de muestra piloto, la secuencia exacta del gong y el plan de análisis. Registrar estos elementos en una versión cerrada del protocolo.</w:t>
            </w:r>
          </w:p>
        </w:tc>
      </w:tr>
    </w:tbl>
    <w:p/>
    <w:p>
      <w:pPr>
        <w:spacing w:before="200" w:after="40" w:line="259" w:lineRule="auto"/>
        <w:jc w:val="center"/>
      </w:pPr>
      <w:r>
        <w:rPr>
          <w:rFonts w:ascii="Aptos" w:hAnsi="Aptos"/>
          <w:b/>
          <w:color w:val="186C7F"/>
          <w:sz w:val="24"/>
        </w:rPr>
        <w:t>BIENESTAR VIBRACIONAL</w:t>
      </w:r>
    </w:p>
    <w:p>
      <w:pPr>
        <w:spacing w:before="0" w:after="0" w:line="259" w:lineRule="auto"/>
        <w:jc w:val="center"/>
      </w:pPr>
      <w:r>
        <w:rPr>
          <w:rFonts w:ascii="Aptos" w:hAnsi="Aptos"/>
          <w:i/>
          <w:color w:val="4A5A5F"/>
          <w:sz w:val="20"/>
        </w:rPr>
        <w:t>“Somos lo que vibramos”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59" w:lineRule="auto"/>
      <w:jc w:val="center"/>
    </w:pPr>
    <w:r>
      <w:rPr>
        <w:rFonts w:ascii="Aptos" w:hAnsi="Aptos"/>
        <w:color w:val="4A5A5F"/>
        <w:sz w:val="16"/>
      </w:rPr>
      <w:t xml:space="preserve">Documento de investigación exploratoria  •  Versión 1.0  •  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59" w:lineRule="auto"/>
      <w:jc w:val="left"/>
    </w:pPr>
    <w:r>
      <w:rPr>
        <w:rFonts w:ascii="Aptos" w:hAnsi="Aptos"/>
        <w:b/>
        <w:color w:val="186C7F"/>
        <w:sz w:val="17"/>
      </w:rPr>
      <w:t>BIENESTAR VIBRACIONAL  |  WIBindex</w:t>
    </w:r>
    <w:r>
      <w:rPr>
        <w:rFonts w:ascii="Aptos" w:hAnsi="Aptos"/>
        <w:color w:val="4A5A5F"/>
        <w:sz w:val="17"/>
      </w:rPr>
      <w:t xml:space="preserve">     Protocolo piloto A/B/C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E4F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6C7F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86C7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Protocolo piloto de Coherencia Social y Regulación Vibroacústica</dc:title>
  <dc:subject>Guía operativa para grupos A, B y C - WIBindex</dc:subject>
  <dc:creator>Bienestar Vibracional</dc:creator>
  <cp:keywords>WIBindex, regulación autonómica, coherencia social, gong, respiración, protocolo piloto</cp:keywords>
  <dc:description>Documento de investigación exploratoria.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