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3E2F2B"/>
          <w:sz w:val="72"/>
          <w:szCs w:val="72"/>
        </w:rPr>
        <w:t xml:space="preserve">YADALA</w:t>
      </w:r>
    </w:p>
    <w:p>
      <w:pPr>
        <w:spacing w:after="120" w:before="0"/>
        <w:jc w:val="center"/>
      </w:pPr>
      <w:r>
        <w:rPr>
          <w:rFonts w:ascii="Arial" w:cs="Arial" w:eastAsia="Arial" w:hAnsi="Arial"/>
          <w:b/>
          <w:bCs/>
          <w:color w:val="C6A56B"/>
          <w:sz w:val="28"/>
          <w:szCs w:val="28"/>
        </w:rPr>
        <w:t xml:space="preserve">DOSSIER PRINCIPIOS ACTIVOS — SUPLEMENTO v1.1</w:t>
      </w:r>
    </w:p>
    <w:p>
      <w:pPr>
        <w:spacing w:after="1000" w:before="0"/>
        <w:jc w:val="center"/>
      </w:pPr>
      <w:r>
        <w:rPr>
          <w:rFonts w:ascii="Arial" w:cs="Arial" w:eastAsia="Arial" w:hAnsi="Arial"/>
          <w:i/>
          <w:iCs/>
          <w:color w:val="7A5C3A"/>
          <w:sz w:val="22"/>
          <w:szCs w:val="22"/>
        </w:rPr>
        <w:t xml:space="preserve">Dimensión Neurocutánea · Definición Oficial del Sistema · Skin-Brain Axis</w:t>
      </w:r>
    </w:p>
    <w:p>
      <w:pPr>
        <w:pBdr>
          <w:top w:val="single" w:color="C6A56B" w:sz="6" w:space="4"/>
        </w:pBdr>
        <w:spacing w:after="80" w:before="200"/>
        <w:jc w:val="center"/>
      </w:pPr>
      <w:r>
        <w:rPr>
          <w:rFonts w:ascii="Arial" w:cs="Arial" w:eastAsia="Arial" w:hAnsi="Arial"/>
          <w:b/>
          <w:bCs/>
          <w:color w:val="3E2F2B"/>
          <w:sz w:val="18"/>
          <w:szCs w:val="18"/>
        </w:rPr>
        <w:t xml:space="preserve">Integrado con Dossier Técnico Yadala · Junio 2026</w:t>
      </w:r>
    </w:p>
    <w:p>
      <w:r>
        <w:br w:type="page"/>
      </w:r>
    </w:p>
    <w:p>
      <w:pPr>
        <w:pStyle w:val="Heading1"/>
        <w:pBdr>
          <w:bottom w:val="single" w:color="C6A56B" w:sz="6" w:space="4"/>
        </w:pBdr>
        <w:spacing w:after="200" w:before="440"/>
      </w:pPr>
      <w:r>
        <w:rPr>
          <w:rFonts w:ascii="Arial" w:cs="Arial" w:eastAsia="Arial" w:hAnsi="Arial"/>
          <w:b/>
          <w:bCs/>
          <w:color w:val="3E2F2B"/>
          <w:sz w:val="32"/>
          <w:szCs w:val="32"/>
        </w:rPr>
        <w:t xml:space="preserve">LA CUARTA DIMENSIÓN — NEUROCUTÁNEA</w:t>
      </w:r>
    </w:p>
    <w:p>
      <w:pPr>
        <w:spacing w:after="100" w:before="100"/>
      </w:pPr>
      <w:r>
        <w:t xml:space="preserve"/>
      </w:r>
    </w:p>
    <w:p>
      <w:pPr>
        <w:pStyle w:val="Heading2"/>
        <w:spacing w:after="120" w:before="300"/>
      </w:pPr>
      <w:r>
        <w:rPr>
          <w:rFonts w:ascii="Arial" w:cs="Arial" w:eastAsia="Arial" w:hAnsi="Arial"/>
          <w:b/>
          <w:bCs/>
          <w:color w:val="3E2F2B"/>
          <w:sz w:val="26"/>
          <w:szCs w:val="26"/>
        </w:rPr>
        <w:t xml:space="preserve">El nuevo paradigma: la piel como órgano neuroinmunoendocrino</w:t>
      </w:r>
    </w:p>
    <w:p>
      <w:pPr>
        <w:spacing w:after="60" w:before="60"/>
      </w:pPr>
      <w:r>
        <w:rPr>
          <w:rFonts w:ascii="Arial" w:cs="Arial" w:eastAsia="Arial" w:hAnsi="Arial"/>
          <w:i w:val="false"/>
          <w:iCs w:val="false"/>
          <w:color w:val="2C1810"/>
          <w:sz w:val="22"/>
          <w:szCs w:val="22"/>
        </w:rPr>
        <w:t xml:space="preserve">Durante décadas la piel fue considerada únicamente una barrera física. La investigación actual demuestra que es un órgano neuroinmunoendocrino altamente sofisticado, con comunicación permanente entre el sistema nervioso, el sistema inmunológico, los queratinocitos, los fibroblastos, las terminaciones nerviosas y el sistema vascular.</w:t>
      </w:r>
    </w:p>
    <w:p>
      <w:pPr>
        <w:spacing w:after="100" w:before="100"/>
      </w:pPr>
      <w:r>
        <w:t xml:space="preserve"/>
      </w:r>
    </w:p>
    <w:p>
      <w:pPr>
        <w:shd w:fill="EDD9A3" w:val="clear"/>
        <w:spacing w:after="120" w:before="120"/>
      </w:pPr>
      <w:r>
        <w:rPr>
          <w:rFonts w:ascii="Arial" w:cs="Arial" w:eastAsia="Arial" w:hAnsi="Arial"/>
          <w:b/>
          <w:bCs/>
          <w:i/>
          <w:iCs/>
          <w:color w:val="3E2F2B"/>
          <w:sz w:val="24"/>
          <w:szCs w:val="24"/>
        </w:rPr>
        <w:t xml:space="preserve">  La piel percibe, interpreta y responde a estímulos físicos, emocionales y ambientales.</w:t>
      </w:r>
    </w:p>
    <w:p>
      <w:pPr>
        <w:spacing w:after="100" w:before="100"/>
      </w:pPr>
      <w:r>
        <w:t xml:space="preserve"/>
      </w:r>
    </w:p>
    <w:p>
      <w:pPr>
        <w:pStyle w:val="Heading2"/>
        <w:spacing w:after="120" w:before="300"/>
      </w:pPr>
      <w:r>
        <w:rPr>
          <w:rFonts w:ascii="Arial" w:cs="Arial" w:eastAsia="Arial" w:hAnsi="Arial"/>
          <w:b/>
          <w:bCs/>
          <w:color w:val="3E2F2B"/>
          <w:sz w:val="26"/>
          <w:szCs w:val="26"/>
        </w:rPr>
        <w:t xml:space="preserve">El eje piel-cerebro — Skin-Brain Axis</w:t>
      </w:r>
    </w:p>
    <w:p>
      <w:pPr>
        <w:spacing w:after="60" w:before="60"/>
      </w:pPr>
      <w:r>
        <w:rPr>
          <w:rFonts w:ascii="Arial" w:cs="Arial" w:eastAsia="Arial" w:hAnsi="Arial"/>
          <w:i w:val="false"/>
          <w:iCs w:val="false"/>
          <w:color w:val="2C1810"/>
          <w:sz w:val="22"/>
          <w:szCs w:val="22"/>
        </w:rPr>
        <w:t xml:space="preserve">La literatura científica moderna describe el Skin-Brain Axis — el eje piel-cerebro. Este sistema explica cómo el estrés emocional, la ansiedad, la fatiga y la sobrecarga nerviosa se reflejan directamente en la piel a través de mediadores bioquímicos: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4B896" w:sz="1"/>
              <w:left w:val="single" w:color="D4B896" w:sz="1"/>
              <w:bottom w:val="single" w:color="D4B896" w:sz="1"/>
              <w:right w:val="single" w:color="D4B896" w:sz="1"/>
            </w:tcBorders>
            <w:shd w:fill="3E2F2B" w:val="clear"/>
            <w:tcMar>
              <w:top w:type="dxa" w:w="80"/>
              <w:left w:type="dxa" w:w="120"/>
              <w:bottom w:type="dxa" w:w="80"/>
              <w:right w:type="dxa" w:w="120"/>
            </w:tcMar>
          </w:tcPr>
          <w:p>
            <w:r>
              <w:rPr>
                <w:rFonts w:ascii="Arial" w:cs="Arial" w:eastAsia="Arial" w:hAnsi="Arial"/>
                <w:b/>
                <w:bCs/>
                <w:color w:val="FFFFFF"/>
                <w:sz w:val="20"/>
                <w:szCs w:val="20"/>
              </w:rPr>
              <w:t xml:space="preserve">Mediador</w:t>
            </w:r>
          </w:p>
        </w:tc>
        <w:tc>
          <w:tcPr>
            <w:tcW w:type="dxa" w:w="2800"/>
            <w:tcBorders>
              <w:top w:val="single" w:color="D4B896" w:sz="1"/>
              <w:left w:val="single" w:color="D4B896" w:sz="1"/>
              <w:bottom w:val="single" w:color="D4B896" w:sz="1"/>
              <w:right w:val="single" w:color="D4B896" w:sz="1"/>
            </w:tcBorders>
            <w:shd w:fill="3E2F2B" w:val="clear"/>
            <w:tcMar>
              <w:top w:type="dxa" w:w="80"/>
              <w:left w:type="dxa" w:w="120"/>
              <w:bottom w:type="dxa" w:w="80"/>
              <w:right w:type="dxa" w:w="120"/>
            </w:tcMar>
          </w:tcPr>
          <w:p>
            <w:r>
              <w:rPr>
                <w:rFonts w:ascii="Arial" w:cs="Arial" w:eastAsia="Arial" w:hAnsi="Arial"/>
                <w:b/>
                <w:bCs/>
                <w:color w:val="FFFFFF"/>
                <w:sz w:val="20"/>
                <w:szCs w:val="20"/>
              </w:rPr>
              <w:t xml:space="preserve">Origen</w:t>
            </w:r>
          </w:p>
        </w:tc>
        <w:tc>
          <w:tcPr>
            <w:tcW w:type="dxa" w:w="4560"/>
            <w:tcBorders>
              <w:top w:val="single" w:color="D4B896" w:sz="1"/>
              <w:left w:val="single" w:color="D4B896" w:sz="1"/>
              <w:bottom w:val="single" w:color="D4B896" w:sz="1"/>
              <w:right w:val="single" w:color="D4B896" w:sz="1"/>
            </w:tcBorders>
            <w:shd w:fill="3E2F2B" w:val="clear"/>
            <w:tcMar>
              <w:top w:type="dxa" w:w="80"/>
              <w:left w:type="dxa" w:w="120"/>
              <w:bottom w:type="dxa" w:w="80"/>
              <w:right w:type="dxa" w:w="120"/>
            </w:tcMar>
          </w:tcPr>
          <w:p>
            <w:r>
              <w:rPr>
                <w:rFonts w:ascii="Arial" w:cs="Arial" w:eastAsia="Arial" w:hAnsi="Arial"/>
                <w:b/>
                <w:bCs/>
                <w:color w:val="FFFFFF"/>
                <w:sz w:val="20"/>
                <w:szCs w:val="20"/>
              </w:rPr>
              <w:t xml:space="preserve">Efecto sobre la piel</w:t>
            </w:r>
          </w:p>
        </w:tc>
      </w:tr>
      <w:tr>
        <w:tc>
          <w:tcPr>
            <w:tcW w:type="dxa" w:w="200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Cortisol</w:t>
            </w:r>
          </w:p>
        </w:tc>
        <w:tc>
          <w:tcPr>
            <w:tcW w:type="dxa" w:w="280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Estrés crónico y sobrecarga nerviosa</w:t>
            </w:r>
          </w:p>
        </w:tc>
        <w:tc>
          <w:tcPr>
            <w:tcW w:type="dxa" w:w="456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Degradación de colágeno · Disminución de reparación tisular · Inflamación crónica de bajo grado</w:t>
            </w:r>
          </w:p>
        </w:tc>
      </w:tr>
      <w:tr>
        <w:tc>
          <w:tcPr>
            <w:tcW w:type="dxa" w:w="200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Sustancia P</w:t>
            </w:r>
          </w:p>
        </w:tc>
        <w:tc>
          <w:tcPr>
            <w:tcW w:type="dxa" w:w="280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Neuropéptido del sistema nervioso periférico</w:t>
            </w:r>
          </w:p>
        </w:tc>
        <w:tc>
          <w:tcPr>
            <w:tcW w:type="dxa" w:w="456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Inflamación neurogénica · Sensibilidad cutánea · Alteraciones del equilibrio tisular</w:t>
            </w:r>
          </w:p>
        </w:tc>
      </w:tr>
      <w:tr>
        <w:tc>
          <w:tcPr>
            <w:tcW w:type="dxa" w:w="200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CGRP y otros neuropéptidos</w:t>
            </w:r>
          </w:p>
        </w:tc>
        <w:tc>
          <w:tcPr>
            <w:tcW w:type="dxa" w:w="280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Terminaciones nerviosas cutáneas</w:t>
            </w:r>
          </w:p>
        </w:tc>
        <w:tc>
          <w:tcPr>
            <w:tcW w:type="dxa" w:w="456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Regulación vascular · Comunicación nerviosa · Homeostasis cutánea</w:t>
            </w:r>
          </w:p>
        </w:tc>
      </w:tr>
    </w:tbl>
    <w:p>
      <w:pPr>
        <w:spacing w:after="100" w:before="100"/>
      </w:pPr>
      <w:r>
        <w:t xml:space="preserve"/>
      </w:r>
    </w:p>
    <w:p>
      <w:pPr>
        <w:pStyle w:val="Heading2"/>
        <w:spacing w:after="120" w:before="300"/>
      </w:pPr>
      <w:r>
        <w:rPr>
          <w:rFonts w:ascii="Arial" w:cs="Arial" w:eastAsia="Arial" w:hAnsi="Arial"/>
          <w:b/>
          <w:bCs/>
          <w:color w:val="3E2F2B"/>
          <w:sz w:val="26"/>
          <w:szCs w:val="26"/>
        </w:rPr>
        <w:t xml:space="preserve">Cómo actúa Yadala en la dimensión neurocutánea</w:t>
      </w:r>
    </w:p>
    <w:p>
      <w:pPr>
        <w:spacing w:after="100" w:before="100"/>
      </w:pPr>
      <w:r>
        <w:t xml:space="preserve"/>
      </w:r>
    </w:p>
    <w:p>
      <w:pPr>
        <w:spacing w:after="80" w:before="200"/>
      </w:pPr>
      <w:r>
        <w:rPr>
          <w:rFonts w:ascii="Arial" w:cs="Arial" w:eastAsia="Arial" w:hAnsi="Arial"/>
          <w:b/>
          <w:bCs/>
          <w:color w:val="7A5C3A"/>
          <w:sz w:val="22"/>
          <w:szCs w:val="22"/>
        </w:rPr>
        <w:t xml:space="preserve">Bioestimulación sensorial</w:t>
      </w:r>
    </w:p>
    <w:p>
      <w:pPr>
        <w:spacing w:after="60" w:before="60"/>
      </w:pPr>
      <w:r>
        <w:rPr>
          <w:rFonts w:ascii="Arial" w:cs="Arial" w:eastAsia="Arial" w:hAnsi="Arial"/>
          <w:i w:val="false"/>
          <w:iCs w:val="false"/>
          <w:color w:val="2C1810"/>
          <w:sz w:val="22"/>
          <w:szCs w:val="22"/>
        </w:rPr>
        <w:t xml:space="preserve">La aplicación tópica y la interacción mecánica del protocolo generan señales percibidas por receptores cutáneos especializados. Estas señales influyen sobre la respuesta vascular, el tono muscular superficial, la percepción sensorial y la regulación fisiológica local.</w:t>
      </w:r>
    </w:p>
    <w:p>
      <w:pPr>
        <w:spacing w:after="100" w:before="100"/>
      </w:pPr>
      <w:r>
        <w:t xml:space="preserve"/>
      </w:r>
    </w:p>
    <w:p>
      <w:pPr>
        <w:spacing w:after="80" w:before="200"/>
      </w:pPr>
      <w:r>
        <w:rPr>
          <w:rFonts w:ascii="Arial" w:cs="Arial" w:eastAsia="Arial" w:hAnsi="Arial"/>
          <w:b/>
          <w:bCs/>
          <w:color w:val="7A5C3A"/>
          <w:sz w:val="22"/>
          <w:szCs w:val="22"/>
        </w:rPr>
        <w:t xml:space="preserve">Optimización de la comunicación celular</w:t>
      </w:r>
    </w:p>
    <w:p>
      <w:pPr>
        <w:spacing w:after="60" w:before="60"/>
      </w:pPr>
      <w:r>
        <w:rPr>
          <w:rFonts w:ascii="Arial" w:cs="Arial" w:eastAsia="Arial" w:hAnsi="Arial"/>
          <w:i w:val="false"/>
          <w:iCs w:val="false"/>
          <w:color w:val="2C1810"/>
          <w:sz w:val="22"/>
          <w:szCs w:val="22"/>
        </w:rPr>
        <w:t xml:space="preserve">La activación sensorial favorece la interacción entre epidermis y dermis, la señalización fibroblástica y la adaptación tisular. El fibroblasto no recibe solo señales mecánicas — recibe también señales nerviosas que modulan su actividad biosintética.</w:t>
      </w:r>
    </w:p>
    <w:p>
      <w:pPr>
        <w:spacing w:after="100" w:before="100"/>
      </w:pPr>
      <w:r>
        <w:t xml:space="preserve"/>
      </w:r>
    </w:p>
    <w:p>
      <w:pPr>
        <w:spacing w:after="80" w:before="200"/>
      </w:pPr>
      <w:r>
        <w:rPr>
          <w:rFonts w:ascii="Arial" w:cs="Arial" w:eastAsia="Arial" w:hAnsi="Arial"/>
          <w:b/>
          <w:bCs/>
          <w:color w:val="7A5C3A"/>
          <w:sz w:val="22"/>
          <w:szCs w:val="22"/>
        </w:rPr>
        <w:t xml:space="preserve">Favorecimiento de estados fisiológicos regenerativos</w:t>
      </w:r>
    </w:p>
    <w:p>
      <w:pPr>
        <w:spacing w:after="60" w:before="60"/>
      </w:pPr>
      <w:r>
        <w:rPr>
          <w:rFonts w:ascii="Arial" w:cs="Arial" w:eastAsia="Arial" w:hAnsi="Arial"/>
          <w:i w:val="false"/>
          <w:iCs w:val="false"/>
          <w:color w:val="2C1810"/>
          <w:sz w:val="22"/>
          <w:szCs w:val="22"/>
        </w:rPr>
        <w:t xml:space="preserve">La reducción de señales asociadas al estrés biológico contribuye a mejor recuperación, mayor equilibrio funcional y mejor calidad cutánea global. Una piel en estado de estrés crónico no responde bien a ningún tratamiento — Yadala actúa también sobre ese estado.</w:t>
      </w:r>
    </w:p>
    <w:p>
      <w:pPr>
        <w:spacing w:after="100" w:before="100"/>
      </w:pPr>
      <w:r>
        <w:t xml:space="preserve"/>
      </w:r>
    </w:p>
    <w:p>
      <w:pPr>
        <w:pStyle w:val="Heading2"/>
        <w:spacing w:after="120" w:before="300"/>
      </w:pPr>
      <w:r>
        <w:rPr>
          <w:rFonts w:ascii="Arial" w:cs="Arial" w:eastAsia="Arial" w:hAnsi="Arial"/>
          <w:b/>
          <w:bCs/>
          <w:color w:val="3E2F2B"/>
          <w:sz w:val="26"/>
          <w:szCs w:val="26"/>
        </w:rPr>
        <w:t xml:space="preserve">Por qué esto importa para el agente y para el centro</w:t>
      </w:r>
    </w:p>
    <w:p>
      <w:pPr>
        <w:spacing w:after="60" w:before="60"/>
      </w:pPr>
      <w:r>
        <w:rPr>
          <w:rFonts w:ascii="Arial" w:cs="Arial" w:eastAsia="Arial" w:hAnsi="Arial"/>
          <w:i w:val="false"/>
          <w:iCs w:val="false"/>
          <w:color w:val="2C1810"/>
          <w:sz w:val="22"/>
          <w:szCs w:val="22"/>
        </w:rPr>
        <w:t xml:space="preserve">La dimensión neurocutánea explica por qué clientas con piel técnicamente sana pero sometidas a estrés crónico presentan signos de envejecimiento acelerado. Es el argumento científico detrás del concepto de 'piel agotada' o 'piel que no responde'.</w:t>
      </w:r>
    </w:p>
    <w:p>
      <w:pPr>
        <w:spacing w:after="100" w:before="100"/>
      </w:pPr>
      <w:r>
        <w:t xml:space="preserve"/>
      </w:r>
    </w:p>
    <w:p>
      <w:pPr>
        <w:spacing w:after="80" w:before="200"/>
      </w:pPr>
      <w:r>
        <w:rPr>
          <w:rFonts w:ascii="Arial" w:cs="Arial" w:eastAsia="Arial" w:hAnsi="Arial"/>
          <w:b/>
          <w:bCs/>
          <w:color w:val="7A5C3A"/>
          <w:sz w:val="22"/>
          <w:szCs w:val="22"/>
        </w:rPr>
        <w:t xml:space="preserve">Frases de comunicación para este eje</w:t>
      </w:r>
    </w:p>
    <w:p>
      <w:pPr>
        <w:pBdr>
          <w:left w:val="single" w:color="C6A56B" w:sz="12" w:space="8"/>
        </w:pBdr>
        <w:spacing w:after="100" w:before="100"/>
        <w:ind w:left="720"/>
      </w:pPr>
      <w:r>
        <w:rPr>
          <w:rFonts w:ascii="Arial" w:cs="Arial" w:eastAsia="Arial" w:hAnsi="Arial"/>
          <w:i/>
          <w:iCs/>
          <w:color w:val="7A5C3A"/>
          <w:sz w:val="20"/>
          <w:szCs w:val="20"/>
        </w:rPr>
        <w:t xml:space="preserve">"Tu piel no solo envejece por el tiempo. Envejece por lo que procesa."</w:t>
      </w:r>
    </w:p>
    <w:p>
      <w:pPr>
        <w:pBdr>
          <w:left w:val="single" w:color="C6A56B" w:sz="12" w:space="8"/>
        </w:pBdr>
        <w:spacing w:after="100" w:before="100"/>
        <w:ind w:left="720"/>
      </w:pPr>
      <w:r>
        <w:rPr>
          <w:rFonts w:ascii="Arial" w:cs="Arial" w:eastAsia="Arial" w:hAnsi="Arial"/>
          <w:i/>
          <w:iCs/>
          <w:color w:val="7A5C3A"/>
          <w:sz w:val="20"/>
          <w:szCs w:val="20"/>
        </w:rPr>
        <w:t xml:space="preserve">"El estrés tiene una dirección: va directo a la piel. Yadala actúa exactamente ahí."</w:t>
      </w:r>
    </w:p>
    <w:p>
      <w:pPr>
        <w:pBdr>
          <w:left w:val="single" w:color="C6A56B" w:sz="12" w:space="8"/>
        </w:pBdr>
        <w:spacing w:after="100" w:before="100"/>
        <w:ind w:left="720"/>
      </w:pPr>
      <w:r>
        <w:rPr>
          <w:rFonts w:ascii="Arial" w:cs="Arial" w:eastAsia="Arial" w:hAnsi="Arial"/>
          <w:i/>
          <w:iCs/>
          <w:color w:val="7A5C3A"/>
          <w:sz w:val="20"/>
          <w:szCs w:val="20"/>
        </w:rPr>
        <w:t xml:space="preserve">"No es fatiga. Es que el sistema nervioso de tu piel lleva meses en alerta."</w:t>
      </w:r>
    </w:p>
    <w:p>
      <w:pPr>
        <w:pBdr>
          <w:bottom w:val="single" w:color="C6A56B" w:sz="4" w:space="1"/>
        </w:pBdr>
        <w:spacing w:after="220" w:before="220"/>
      </w:pPr>
      <w:r>
        <w:t xml:space="preserve"/>
      </w:r>
    </w:p>
    <w:p>
      <w:pPr>
        <w:pStyle w:val="Heading1"/>
        <w:pBdr>
          <w:bottom w:val="single" w:color="C6A56B" w:sz="6" w:space="4"/>
        </w:pBdr>
        <w:spacing w:after="200" w:before="440"/>
      </w:pPr>
      <w:r>
        <w:rPr>
          <w:rFonts w:ascii="Arial" w:cs="Arial" w:eastAsia="Arial" w:hAnsi="Arial"/>
          <w:b/>
          <w:bCs/>
          <w:color w:val="3E2F2B"/>
          <w:sz w:val="32"/>
          <w:szCs w:val="32"/>
        </w:rPr>
        <w:t xml:space="preserve">DEFINICIÓN OFICIAL DEL SISTEMA YADALA</w:t>
      </w:r>
    </w:p>
    <w:p>
      <w:pPr>
        <w:spacing w:after="100" w:before="100"/>
      </w:pPr>
      <w:r>
        <w:t xml:space="preserve"/>
      </w:r>
    </w:p>
    <w:p>
      <w:pPr>
        <w:pStyle w:val="Heading2"/>
        <w:spacing w:after="120" w:before="300"/>
      </w:pPr>
      <w:r>
        <w:rPr>
          <w:rFonts w:ascii="Arial" w:cs="Arial" w:eastAsia="Arial" w:hAnsi="Arial"/>
          <w:b/>
          <w:bCs/>
          <w:color w:val="3E2F2B"/>
          <w:sz w:val="26"/>
          <w:szCs w:val="26"/>
        </w:rPr>
        <w:t xml:space="preserve">Qué NO es Yadala — posicionamiento diferencial</w:t>
      </w:r>
    </w:p>
    <w:p>
      <w:pPr>
        <w:spacing w:after="60" w:before="60"/>
      </w:pPr>
      <w:r>
        <w:rPr>
          <w:rFonts w:ascii="Arial" w:cs="Arial" w:eastAsia="Arial" w:hAnsi="Arial"/>
          <w:i w:val="false"/>
          <w:iCs w:val="false"/>
          <w:color w:val="2C1810"/>
          <w:sz w:val="22"/>
          <w:szCs w:val="22"/>
        </w:rPr>
        <w:t xml:space="preserve">Yadala no pretende sustituir ni competir con procedimientos que modifican estructuras anatómicas profundas o añaden volumen físico:</w:t>
      </w:r>
    </w:p>
    <w:p>
      <w:pPr>
        <w:pStyle w:val="ListParagraph"/>
        <w:numPr>
          <w:ilvl w:val="0"/>
          <w:numId w:val="2"/>
        </w:numPr>
        <w:spacing w:after="40" w:before="40"/>
      </w:pPr>
      <w:r>
        <w:rPr>
          <w:rFonts w:ascii="Arial" w:cs="Arial" w:eastAsia="Arial" w:hAnsi="Arial"/>
          <w:color w:val="2C1810"/>
          <w:sz w:val="22"/>
          <w:szCs w:val="22"/>
        </w:rPr>
        <w:t xml:space="preserve">Rellenos dérmicos (fillers de ácido hialurónico)</w:t>
      </w:r>
    </w:p>
    <w:p>
      <w:pPr>
        <w:pStyle w:val="ListParagraph"/>
        <w:numPr>
          <w:ilvl w:val="0"/>
          <w:numId w:val="2"/>
        </w:numPr>
        <w:spacing w:after="40" w:before="40"/>
      </w:pPr>
      <w:r>
        <w:rPr>
          <w:rFonts w:ascii="Arial" w:cs="Arial" w:eastAsia="Arial" w:hAnsi="Arial"/>
          <w:color w:val="2C1810"/>
          <w:sz w:val="22"/>
          <w:szCs w:val="22"/>
        </w:rPr>
        <w:t xml:space="preserve">Hilos tensores</w:t>
      </w:r>
    </w:p>
    <w:p>
      <w:pPr>
        <w:pStyle w:val="ListParagraph"/>
        <w:numPr>
          <w:ilvl w:val="0"/>
          <w:numId w:val="2"/>
        </w:numPr>
        <w:spacing w:after="40" w:before="40"/>
      </w:pPr>
      <w:r>
        <w:rPr>
          <w:rFonts w:ascii="Arial" w:cs="Arial" w:eastAsia="Arial" w:hAnsi="Arial"/>
          <w:color w:val="2C1810"/>
          <w:sz w:val="22"/>
          <w:szCs w:val="22"/>
        </w:rPr>
        <w:t xml:space="preserve">Ultrasonidos focalizados (HIFU)</w:t>
      </w:r>
    </w:p>
    <w:p>
      <w:pPr>
        <w:pStyle w:val="ListParagraph"/>
        <w:numPr>
          <w:ilvl w:val="0"/>
          <w:numId w:val="2"/>
        </w:numPr>
        <w:spacing w:after="40" w:before="40"/>
      </w:pPr>
      <w:r>
        <w:rPr>
          <w:rFonts w:ascii="Arial" w:cs="Arial" w:eastAsia="Arial" w:hAnsi="Arial"/>
          <w:color w:val="2C1810"/>
          <w:sz w:val="22"/>
          <w:szCs w:val="22"/>
        </w:rPr>
        <w:t xml:space="preserve">Radiofrecuencia médica de alta intensidad</w:t>
      </w:r>
    </w:p>
    <w:p>
      <w:pPr>
        <w:pStyle w:val="ListParagraph"/>
        <w:numPr>
          <w:ilvl w:val="0"/>
          <w:numId w:val="2"/>
        </w:numPr>
        <w:spacing w:after="40" w:before="40"/>
      </w:pPr>
      <w:r>
        <w:rPr>
          <w:rFonts w:ascii="Arial" w:cs="Arial" w:eastAsia="Arial" w:hAnsi="Arial"/>
          <w:color w:val="2C1810"/>
          <w:sz w:val="22"/>
          <w:szCs w:val="22"/>
        </w:rPr>
        <w:t xml:space="preserve">Procedimientos quirúrgicos (lifting, blefaroplastia)</w:t>
      </w:r>
    </w:p>
    <w:p>
      <w:pPr>
        <w:spacing w:after="100" w:before="100"/>
      </w:pPr>
      <w:r>
        <w:t xml:space="preserve"/>
      </w:r>
    </w:p>
    <w:p>
      <w:pPr>
        <w:spacing w:after="60" w:before="60"/>
      </w:pPr>
      <w:r>
        <w:rPr>
          <w:rFonts w:ascii="Arial" w:cs="Arial" w:eastAsia="Arial" w:hAnsi="Arial"/>
          <w:i/>
          <w:iCs/>
          <w:color w:val="2C1810"/>
          <w:sz w:val="22"/>
          <w:szCs w:val="22"/>
        </w:rPr>
        <w:t xml:space="preserve">Estos procedimientos actúan desde fuera hacia dentro, modificando o añadiendo. Yadala actúa desde dentro hacia fuera, activando lo que ya existe.</w:t>
      </w:r>
    </w:p>
    <w:p>
      <w:pPr>
        <w:spacing w:after="100" w:before="100"/>
      </w:pPr>
      <w:r>
        <w:t xml:space="preserve"/>
      </w:r>
    </w:p>
    <w:p>
      <w:pPr>
        <w:pStyle w:val="Heading2"/>
        <w:spacing w:after="120" w:before="300"/>
      </w:pPr>
      <w:r>
        <w:rPr>
          <w:rFonts w:ascii="Arial" w:cs="Arial" w:eastAsia="Arial" w:hAnsi="Arial"/>
          <w:b/>
          <w:bCs/>
          <w:color w:val="3E2F2B"/>
          <w:sz w:val="26"/>
          <w:szCs w:val="26"/>
        </w:rPr>
        <w:t xml:space="preserve">Definición oficial</w:t>
      </w:r>
    </w:p>
    <w:p>
      <w:pPr>
        <w:spacing w:after="100" w:before="100"/>
      </w:pPr>
      <w:r>
        <w:t xml:space="preserve"/>
      </w:r>
    </w:p>
    <w:p>
      <w:pPr>
        <w:pBdr>
          <w:left w:val="single" w:color="C6A56B" w:sz="12" w:space="8"/>
        </w:pBdr>
        <w:spacing w:after="100" w:before="100"/>
        <w:ind w:left="720"/>
      </w:pPr>
      <w:r>
        <w:rPr>
          <w:rFonts w:ascii="Arial" w:cs="Arial" w:eastAsia="Arial" w:hAnsi="Arial"/>
          <w:b/>
          <w:bCs/>
          <w:i/>
          <w:iCs/>
          <w:color w:val="3E2F2B"/>
          <w:sz w:val="22"/>
          <w:szCs w:val="22"/>
        </w:rPr>
        <w:t xml:space="preserve">Yadala es un sistema de bioestimulación funcional integrada que actúa sobre la epidermis, dermis, sistema neurocutáneo y sistema miofascial superficial, favoreciendo la recuperación de procesos fisiológicos relacionados con la regeneración, comunicación celular, soporte estructural, equilibrio tisular y expresión funcional de la piel.</w:t>
      </w:r>
    </w:p>
    <w:p>
      <w:pPr>
        <w:spacing w:after="100" w:before="100"/>
      </w:pPr>
      <w:r>
        <w:t xml:space="preserve"/>
      </w:r>
    </w:p>
    <w:p>
      <w:pPr>
        <w:pBdr>
          <w:left w:val="single" w:color="C6A56B" w:sz="12" w:space="8"/>
        </w:pBdr>
        <w:spacing w:after="100" w:before="100"/>
        <w:ind w:left="720"/>
      </w:pPr>
      <w:r>
        <w:rPr>
          <w:rFonts w:ascii="Arial" w:cs="Arial" w:eastAsia="Arial" w:hAnsi="Arial"/>
          <w:b/>
          <w:bCs/>
          <w:i/>
          <w:iCs/>
          <w:color w:val="3E2F2B"/>
          <w:sz w:val="22"/>
          <w:szCs w:val="22"/>
        </w:rPr>
        <w:t xml:space="preserve">Su objetivo no es imponer una transformación artificial, sino estimular la capacidad inherente de los tejidos para recuperar su equilibrio, vitalidad y funcionalidad biológica.</w:t>
      </w:r>
    </w:p>
    <w:p>
      <w:pPr>
        <w:spacing w:after="100" w:before="100"/>
      </w:pPr>
      <w:r>
        <w:t xml:space="preserve"/>
      </w:r>
    </w:p>
    <w:p>
      <w:pPr>
        <w:pStyle w:val="Heading2"/>
        <w:spacing w:after="120" w:before="300"/>
      </w:pPr>
      <w:r>
        <w:rPr>
          <w:rFonts w:ascii="Arial" w:cs="Arial" w:eastAsia="Arial" w:hAnsi="Arial"/>
          <w:b/>
          <w:bCs/>
          <w:color w:val="3E2F2B"/>
          <w:sz w:val="26"/>
          <w:szCs w:val="26"/>
        </w:rPr>
        <w:t xml:space="preserve">Las cuatro dimensiones — mapa completo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4B896" w:sz="1"/>
              <w:left w:val="single" w:color="D4B896" w:sz="1"/>
              <w:bottom w:val="single" w:color="D4B896" w:sz="1"/>
              <w:right w:val="single" w:color="D4B896" w:sz="1"/>
            </w:tcBorders>
            <w:shd w:fill="3E2F2B" w:val="clear"/>
            <w:tcMar>
              <w:top w:type="dxa" w:w="80"/>
              <w:left w:type="dxa" w:w="120"/>
              <w:bottom w:type="dxa" w:w="80"/>
              <w:right w:type="dxa" w:w="120"/>
            </w:tcMar>
          </w:tcPr>
          <w:p>
            <w:r>
              <w:rPr>
                <w:rFonts w:ascii="Arial" w:cs="Arial" w:eastAsia="Arial" w:hAnsi="Arial"/>
                <w:b/>
                <w:bCs/>
                <w:color w:val="FFFFFF"/>
                <w:sz w:val="20"/>
                <w:szCs w:val="20"/>
              </w:rPr>
              <w:t xml:space="preserve">Dimensión</w:t>
            </w:r>
          </w:p>
        </w:tc>
        <w:tc>
          <w:tcPr>
            <w:tcW w:type="dxa" w:w="3000"/>
            <w:tcBorders>
              <w:top w:val="single" w:color="D4B896" w:sz="1"/>
              <w:left w:val="single" w:color="D4B896" w:sz="1"/>
              <w:bottom w:val="single" w:color="D4B896" w:sz="1"/>
              <w:right w:val="single" w:color="D4B896" w:sz="1"/>
            </w:tcBorders>
            <w:shd w:fill="3E2F2B" w:val="clear"/>
            <w:tcMar>
              <w:top w:type="dxa" w:w="80"/>
              <w:left w:type="dxa" w:w="120"/>
              <w:bottom w:type="dxa" w:w="80"/>
              <w:right w:type="dxa" w:w="120"/>
            </w:tcMar>
          </w:tcPr>
          <w:p>
            <w:r>
              <w:rPr>
                <w:rFonts w:ascii="Arial" w:cs="Arial" w:eastAsia="Arial" w:hAnsi="Arial"/>
                <w:b/>
                <w:bCs/>
                <w:color w:val="FFFFFF"/>
                <w:sz w:val="20"/>
                <w:szCs w:val="20"/>
              </w:rPr>
              <w:t xml:space="preserve">Sistema que activa</w:t>
            </w:r>
          </w:p>
        </w:tc>
        <w:tc>
          <w:tcPr>
            <w:tcW w:type="dxa" w:w="4560"/>
            <w:tcBorders>
              <w:top w:val="single" w:color="D4B896" w:sz="1"/>
              <w:left w:val="single" w:color="D4B896" w:sz="1"/>
              <w:bottom w:val="single" w:color="D4B896" w:sz="1"/>
              <w:right w:val="single" w:color="D4B896" w:sz="1"/>
            </w:tcBorders>
            <w:shd w:fill="3E2F2B" w:val="clear"/>
            <w:tcMar>
              <w:top w:type="dxa" w:w="80"/>
              <w:left w:type="dxa" w:w="120"/>
              <w:bottom w:type="dxa" w:w="80"/>
              <w:right w:type="dxa" w:w="120"/>
            </w:tcMar>
          </w:tcPr>
          <w:p>
            <w:r>
              <w:rPr>
                <w:rFonts w:ascii="Arial" w:cs="Arial" w:eastAsia="Arial" w:hAnsi="Arial"/>
                <w:b/>
                <w:bCs/>
                <w:color w:val="FFFFFF"/>
                <w:sz w:val="20"/>
                <w:szCs w:val="20"/>
              </w:rPr>
              <w:t xml:space="preserve">Resultado observable</w:t>
            </w:r>
          </w:p>
        </w:tc>
      </w:tr>
      <w:tr>
        <w:tc>
          <w:tcPr>
            <w:tcW w:type="dxa" w:w="180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Epidérmica</w:t>
            </w:r>
          </w:p>
        </w:tc>
        <w:tc>
          <w:tcPr>
            <w:tcW w:type="dxa" w:w="300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Manto ácido · Barrera cutánea · Microbioma · pH</w:t>
            </w:r>
          </w:p>
        </w:tc>
        <w:tc>
          <w:tcPr>
            <w:tcW w:type="dxa" w:w="456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Textura de porcelana · Poros finos · Luminosidad · Barrera restaurada</w:t>
            </w:r>
          </w:p>
        </w:tc>
      </w:tr>
      <w:tr>
        <w:tc>
          <w:tcPr>
            <w:tcW w:type="dxa" w:w="180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Dérmica</w:t>
            </w:r>
          </w:p>
        </w:tc>
        <w:tc>
          <w:tcPr>
            <w:tcW w:type="dxa" w:w="300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Fibroblastos · Colágeno III · Elastina · GAGs · Microcirculación</w:t>
            </w:r>
          </w:p>
        </w:tc>
        <w:tc>
          <w:tcPr>
            <w:tcW w:type="dxa" w:w="456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Firmeza · Densidad · Contorno definido · Efecto glow · Drenaje linfático</w:t>
            </w:r>
          </w:p>
        </w:tc>
      </w:tr>
      <w:tr>
        <w:tc>
          <w:tcPr>
            <w:tcW w:type="dxa" w:w="180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Neurocutánea</w:t>
            </w:r>
          </w:p>
        </w:tc>
        <w:tc>
          <w:tcPr>
            <w:tcW w:type="dxa" w:w="300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Eje piel-cerebro · Receptores sensoriales · Señalización celular · Neuropéptidos</w:t>
            </w:r>
          </w:p>
        </w:tc>
        <w:tc>
          <w:tcPr>
            <w:tcW w:type="dxa" w:w="456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Piel que 'responde' · Reducción envejecimiento por estrés · Comunicación celular restaurada</w:t>
            </w:r>
          </w:p>
        </w:tc>
      </w:tr>
      <w:tr>
        <w:tc>
          <w:tcPr>
            <w:tcW w:type="dxa" w:w="180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Miofascial (SMAS)</w:t>
            </w:r>
          </w:p>
        </w:tc>
        <w:tc>
          <w:tcPr>
            <w:tcW w:type="dxa" w:w="300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Músculos faciales superficiales · Fascia · Ligamentos · Terminaciones nerviosas</w:t>
            </w:r>
          </w:p>
        </w:tc>
        <w:tc>
          <w:tcPr>
            <w:tcW w:type="dxa" w:w="456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Microcontracciones · Lifting biológico · Tono muscular · Reposicionamiento anatómico</w:t>
            </w:r>
          </w:p>
        </w:tc>
      </w:tr>
    </w:tbl>
    <w:p>
      <w:pPr>
        <w:spacing w:after="100" w:before="100"/>
      </w:pPr>
      <w:r>
        <w:t xml:space="preserve"/>
      </w:r>
    </w:p>
    <w:p>
      <w:pPr>
        <w:pStyle w:val="Heading2"/>
        <w:spacing w:after="120" w:before="300"/>
      </w:pPr>
      <w:r>
        <w:rPr>
          <w:rFonts w:ascii="Arial" w:cs="Arial" w:eastAsia="Arial" w:hAnsi="Arial"/>
          <w:b/>
          <w:bCs/>
          <w:color w:val="3E2F2B"/>
          <w:sz w:val="26"/>
          <w:szCs w:val="26"/>
        </w:rPr>
        <w:t xml:space="preserve">Glosario ampliado — términos neurocutáneos para agentes IA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4B896" w:sz="1"/>
              <w:left w:val="single" w:color="D4B896" w:sz="1"/>
              <w:bottom w:val="single" w:color="D4B896" w:sz="1"/>
              <w:right w:val="single" w:color="D4B896" w:sz="1"/>
            </w:tcBorders>
            <w:shd w:fill="3E2F2B"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6160"/>
            <w:tcBorders>
              <w:top w:val="single" w:color="D4B896" w:sz="1"/>
              <w:left w:val="single" w:color="D4B896" w:sz="1"/>
              <w:bottom w:val="single" w:color="D4B896" w:sz="1"/>
              <w:right w:val="single" w:color="D4B896" w:sz="1"/>
            </w:tcBorders>
            <w:shd w:fill="3E2F2B" w:val="clear"/>
            <w:tcMar>
              <w:top w:type="dxa" w:w="80"/>
              <w:left w:type="dxa" w:w="120"/>
              <w:bottom w:type="dxa" w:w="80"/>
              <w:right w:type="dxa" w:w="120"/>
            </w:tcMar>
          </w:tcPr>
          <w:p>
            <w:r>
              <w:rPr>
                <w:rFonts w:ascii="Arial" w:cs="Arial" w:eastAsia="Arial" w:hAnsi="Arial"/>
                <w:b/>
                <w:bCs/>
                <w:color w:val="FFFFFF"/>
                <w:sz w:val="20"/>
                <w:szCs w:val="20"/>
              </w:rPr>
              <w:t xml:space="preserve">Definición para uso en respuestas</w:t>
            </w:r>
          </w:p>
        </w:tc>
      </w:tr>
      <w:tr>
        <w:tc>
          <w:tcPr>
            <w:tcW w:type="dxa" w:w="320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Skin-Brain Axis</w:t>
            </w:r>
          </w:p>
        </w:tc>
        <w:tc>
          <w:tcPr>
            <w:tcW w:type="dxa" w:w="616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Eje de comunicación bidireccional entre piel y sistema nervioso central. El estrés se refleja en la piel y viceversa</w:t>
            </w:r>
          </w:p>
        </w:tc>
      </w:tr>
      <w:tr>
        <w:tc>
          <w:tcPr>
            <w:tcW w:type="dxa" w:w="320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Cortisol cutáneo</w:t>
            </w:r>
          </w:p>
        </w:tc>
        <w:tc>
          <w:tcPr>
            <w:tcW w:type="dxa" w:w="616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El estrés crónico eleva el cortisol → degrada colágeno → acelera el envejecimiento visible</w:t>
            </w:r>
          </w:p>
        </w:tc>
      </w:tr>
      <w:tr>
        <w:tc>
          <w:tcPr>
            <w:tcW w:type="dxa" w:w="320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Sustancia P</w:t>
            </w:r>
          </w:p>
        </w:tc>
        <w:tc>
          <w:tcPr>
            <w:tcW w:type="dxa" w:w="616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Neuropéptido liberado en respuesta al estrés → inflamación neurogénica → piel sensible y reactiva</w:t>
            </w:r>
          </w:p>
        </w:tc>
      </w:tr>
      <w:tr>
        <w:tc>
          <w:tcPr>
            <w:tcW w:type="dxa" w:w="320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Inflamación silenciosa</w:t>
            </w:r>
          </w:p>
        </w:tc>
        <w:tc>
          <w:tcPr>
            <w:tcW w:type="dxa" w:w="616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Inflamación crónica de bajo grado no visible pero que acelera el envejecimiento dérmico</w:t>
            </w:r>
          </w:p>
        </w:tc>
      </w:tr>
      <w:tr>
        <w:tc>
          <w:tcPr>
            <w:tcW w:type="dxa" w:w="320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Bioestimulación funcional integrada</w:t>
            </w:r>
          </w:p>
        </w:tc>
        <w:tc>
          <w:tcPr>
            <w:tcW w:type="dxa" w:w="6160"/>
            <w:tcBorders>
              <w:top w:val="single" w:color="D4B896" w:sz="1"/>
              <w:left w:val="single" w:color="D4B896" w:sz="1"/>
              <w:bottom w:val="single" w:color="D4B896" w:sz="1"/>
              <w:right w:val="single" w:color="D4B896" w:sz="1"/>
            </w:tcBorders>
            <w:shd w:fill="F5EFE6" w:val="clear"/>
            <w:tcMar>
              <w:top w:type="dxa" w:w="80"/>
              <w:left w:type="dxa" w:w="120"/>
              <w:bottom w:type="dxa" w:w="80"/>
              <w:right w:type="dxa" w:w="120"/>
            </w:tcMar>
          </w:tcPr>
          <w:p>
            <w:r>
              <w:rPr>
                <w:rFonts w:ascii="Arial" w:cs="Arial" w:eastAsia="Arial" w:hAnsi="Arial"/>
                <w:color w:val="2C1810"/>
                <w:sz w:val="20"/>
                <w:szCs w:val="20"/>
              </w:rPr>
              <w:t xml:space="preserve">Categoría donde se posiciona Yadala: activación de los mecanismos biológicos propios del tejido</w:t>
            </w:r>
          </w:p>
        </w:tc>
      </w:tr>
      <w:tr>
        <w:tc>
          <w:tcPr>
            <w:tcW w:type="dxa" w:w="320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Órgano neuroinmunoendocrino</w:t>
            </w:r>
          </w:p>
        </w:tc>
        <w:tc>
          <w:tcPr>
            <w:tcW w:type="dxa" w:w="6160"/>
            <w:tcBorders>
              <w:top w:val="single" w:color="D4B896" w:sz="1"/>
              <w:left w:val="single" w:color="D4B896" w:sz="1"/>
              <w:bottom w:val="single" w:color="D4B896" w:sz="1"/>
              <w:right w:val="single" w:color="D4B896" w:sz="1"/>
            </w:tcBorders>
            <w:shd w:fill="FAF5EE" w:val="clear"/>
            <w:tcMar>
              <w:top w:type="dxa" w:w="80"/>
              <w:left w:type="dxa" w:w="120"/>
              <w:bottom w:type="dxa" w:w="80"/>
              <w:right w:type="dxa" w:w="120"/>
            </w:tcMar>
          </w:tcPr>
          <w:p>
            <w:r>
              <w:rPr>
                <w:rFonts w:ascii="Arial" w:cs="Arial" w:eastAsia="Arial" w:hAnsi="Arial"/>
                <w:color w:val="2C1810"/>
                <w:sz w:val="20"/>
                <w:szCs w:val="20"/>
              </w:rPr>
              <w:t xml:space="preserve">Concepto científico moderno: la piel no es solo barrera, percibe, procesa y responde a estímulos físicos, emocionales y ambientales</w:t>
            </w:r>
          </w:p>
        </w:tc>
      </w:tr>
    </w:tbl>
    <w:p>
      <w:pPr>
        <w:pBdr>
          <w:bottom w:val="single" w:color="C6A56B" w:sz="4" w:space="1"/>
        </w:pBdr>
        <w:spacing w:after="220" w:before="220"/>
      </w:pPr>
      <w:r>
        <w:t xml:space="preserve"/>
      </w:r>
    </w:p>
    <w:p>
      <w:pPr>
        <w:pBdr>
          <w:top w:val="single" w:color="C6A56B" w:sz="4" w:space="8"/>
        </w:pBdr>
        <w:spacing w:after="200" w:before="500"/>
        <w:jc w:val="center"/>
      </w:pPr>
      <w:r>
        <w:rPr>
          <w:rFonts w:ascii="Arial" w:cs="Arial" w:eastAsia="Arial" w:hAnsi="Arial"/>
          <w:i/>
          <w:iCs/>
          <w:color w:val="9E7E5A"/>
          <w:sz w:val="18"/>
          <w:szCs w:val="18"/>
        </w:rPr>
        <w:t xml:space="preserve">YADALA Knowledge Base · Dossier Principios Activos v1.1 · Junio 2026</w:t>
      </w:r>
    </w:p>
    <w:p>
      <w:pPr>
        <w:jc w:val="center"/>
      </w:pPr>
      <w:r>
        <w:rPr>
          <w:rFonts w:ascii="Arial" w:cs="Arial" w:eastAsia="Arial" w:hAnsi="Arial"/>
          <w:color w:val="3E2F2B"/>
          <w:sz w:val="18"/>
          <w:szCs w:val="18"/>
        </w:rPr>
        <w:t xml:space="preserve">Actualizado con Dossier Técnico Oficial · 4 dimensiones biológicas · Skin-Brain Axis · Definición oficial del sistema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3E2F2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3E2F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2026-06-03T19:18:48.584Z</dcterms:created>
  <dcterms:modified xsi:type="dcterms:W3CDTF">2026-06-03T19:18:48.615Z</dcterms:modified>
</cp:coreProperties>
</file>

<file path=docProps/custom.xml><?xml version="1.0" encoding="utf-8"?>
<Properties xmlns="http://schemas.openxmlformats.org/officeDocument/2006/custom-properties" xmlns:vt="http://schemas.openxmlformats.org/officeDocument/2006/docPropsVTypes"/>
</file>