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922" w:tblpY="1143"/>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59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3E2F2B"/>
            <w:tcMar>
              <w:top w:w="800" w:type="dxa"/>
              <w:left w:w="700" w:type="dxa"/>
              <w:bottom w:w="800" w:type="dxa"/>
              <w:right w:w="700" w:type="dxa"/>
            </w:tcMar>
          </w:tcPr>
          <w:p w14:paraId="094EF334">
            <w:pPr>
              <w:jc w:val="center"/>
            </w:pPr>
            <w:r>
              <w:rPr>
                <w:rFonts w:ascii="Arial" w:hAnsi="Arial" w:eastAsia="Arial" w:cs="Arial"/>
                <w:b/>
                <w:bCs/>
                <w:color w:val="C6A56B"/>
                <w:sz w:val="72"/>
                <w:szCs w:val="72"/>
              </w:rPr>
              <w:t>YADALA</w:t>
            </w:r>
          </w:p>
          <w:p w14:paraId="6055798D">
            <w:pPr>
              <w:spacing w:before="100" w:after="100"/>
              <w:jc w:val="center"/>
            </w:pPr>
          </w:p>
          <w:p w14:paraId="715502CD">
            <w:pPr>
              <w:jc w:val="center"/>
            </w:pPr>
            <w:r>
              <w:rPr>
                <w:rFonts w:ascii="Arial" w:hAnsi="Arial" w:eastAsia="Arial" w:cs="Arial"/>
                <w:b/>
                <w:bCs/>
                <w:color w:val="FFFFFF"/>
                <w:sz w:val="30"/>
                <w:szCs w:val="30"/>
              </w:rPr>
              <w:t>DOSSIER CLÍNICO DE EVIDENCIA</w:t>
            </w:r>
          </w:p>
          <w:p w14:paraId="1AAC04CA">
            <w:pPr>
              <w:spacing w:before="60" w:after="60"/>
            </w:pPr>
          </w:p>
          <w:p w14:paraId="2669DF65">
            <w:pPr>
              <w:jc w:val="center"/>
            </w:pPr>
            <w:r>
              <w:rPr>
                <w:rFonts w:ascii="Arial" w:hAnsi="Arial" w:eastAsia="Arial" w:cs="Arial"/>
                <w:i/>
                <w:iCs/>
                <w:color w:val="F5EFE6"/>
                <w:sz w:val="24"/>
                <w:szCs w:val="24"/>
              </w:rPr>
              <w:t>Bioestimulación Facial en Acción</w:t>
            </w:r>
          </w:p>
          <w:p w14:paraId="3CFE8B8B">
            <w:pPr>
              <w:spacing w:before="60" w:after="60"/>
            </w:pPr>
          </w:p>
          <w:p w14:paraId="356441F7">
            <w:pPr>
              <w:jc w:val="center"/>
            </w:pPr>
            <w:r>
              <w:rPr>
                <w:rFonts w:ascii="Arial" w:hAnsi="Arial" w:eastAsia="Arial" w:cs="Arial"/>
                <w:color w:val="F5EFE6"/>
                <w:sz w:val="20"/>
                <w:szCs w:val="20"/>
              </w:rPr>
              <w:t>Análisis Visual de Zonas Activadas · Mecanismo de Acción · Capas de la Piel</w:t>
            </w:r>
          </w:p>
          <w:p w14:paraId="31C44BE5">
            <w:pPr>
              <w:spacing w:before="200" w:after="200"/>
            </w:pPr>
          </w:p>
          <w:p w14:paraId="3A489CFA">
            <w:pPr>
              <w:jc w:val="center"/>
            </w:pPr>
            <w:r>
              <w:rPr>
                <w:rFonts w:ascii="Arial" w:hAnsi="Arial" w:eastAsia="Arial" w:cs="Arial"/>
                <w:i/>
                <w:iCs/>
                <w:color w:val="C6A56B"/>
                <w:sz w:val="18"/>
                <w:szCs w:val="18"/>
              </w:rPr>
              <w:t>Mayo 2026 · Uso Profesional · Centros de Estética</w:t>
            </w:r>
          </w:p>
        </w:tc>
      </w:tr>
    </w:tbl>
    <w:tbl>
      <w:tblPr>
        <w:tblStyle w:val="9"/>
        <w:tblpPr w:leftFromText="180" w:rightFromText="180" w:vertAnchor="text" w:horzAnchor="page" w:tblpX="1657" w:tblpY="564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8D9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3E2F2B"/>
            <w:tcMar>
              <w:top w:w="200" w:type="dxa"/>
              <w:left w:w="300" w:type="dxa"/>
              <w:bottom w:w="200" w:type="dxa"/>
              <w:right w:w="300" w:type="dxa"/>
            </w:tcMar>
          </w:tcPr>
          <w:p w14:paraId="700378E6">
            <w:r>
              <w:rPr>
                <w:rFonts w:ascii="Arial" w:hAnsi="Arial" w:eastAsia="Arial" w:cs="Arial"/>
                <w:b/>
                <w:bCs/>
                <w:color w:val="C6A56B"/>
                <w:sz w:val="32"/>
                <w:szCs w:val="32"/>
              </w:rPr>
              <w:t>¿QUÉ ES YADALA?</w:t>
            </w:r>
          </w:p>
          <w:p w14:paraId="6E521F6B">
            <w:pPr>
              <w:spacing w:before="60" w:after="0"/>
            </w:pPr>
            <w:r>
              <w:rPr>
                <w:rFonts w:ascii="Arial" w:hAnsi="Arial" w:eastAsia="Arial" w:cs="Arial"/>
                <w:i/>
                <w:iCs/>
                <w:color w:val="F5EFE6"/>
                <w:sz w:val="20"/>
                <w:szCs w:val="20"/>
              </w:rPr>
              <w:t>Bioestimulación facial tópica de acción profunda · Sin agujas · Sin cirugía</w:t>
            </w:r>
          </w:p>
        </w:tc>
      </w:tr>
    </w:tbl>
    <w:p w14:paraId="15AF0BD1">
      <w:pPr>
        <w:spacing w:before="200" w:after="120"/>
      </w:pPr>
    </w:p>
    <w:p w14:paraId="7FE934A6">
      <w:pPr>
        <w:spacing w:before="80" w:after="80"/>
      </w:pPr>
      <w:r>
        <w:rPr>
          <w:rFonts w:ascii="Arial" w:hAnsi="Arial" w:eastAsia="Arial" w:cs="Arial"/>
          <w:b w:val="0"/>
          <w:bCs w:val="0"/>
          <w:color w:val="3E2F2B"/>
          <w:sz w:val="21"/>
          <w:szCs w:val="21"/>
        </w:rPr>
        <w:t>Yadala es un tratamiento de cabina de bioestimulación facial tópica. No es una mascarilla cosmética convencional. Es un protocolo de 55 minutos que actúa en todas las capas de la piel — desde la epidermis hasta la fascia y el músculo — generando respuestas biológicas reales, visibles y medibles desde la primera sesión.</w:t>
      </w:r>
    </w:p>
    <w:p w14:paraId="4FAFE49E">
      <w:pPr>
        <w:spacing w:before="60" w:after="60"/>
      </w:pPr>
    </w:p>
    <w:p w14:paraId="390B64DB">
      <w:pPr>
        <w:spacing w:before="80" w:after="80"/>
      </w:pPr>
      <w:r>
        <w:rPr>
          <w:rFonts w:ascii="Arial" w:hAnsi="Arial" w:eastAsia="Arial" w:cs="Arial"/>
          <w:b w:val="0"/>
          <w:bCs w:val="0"/>
          <w:color w:val="3E2F2B"/>
          <w:sz w:val="21"/>
          <w:szCs w:val="21"/>
        </w:rPr>
        <w:t>Lo que hace Yadala es extraordinariamente raro en cosmética tópica: provoca microcontracciones musculares involuntarias, activa la microcirculación mediante hiperemia controlada, reactiva los fibroblastos dormidos y estimula la neuroestimulación fascial que sostiene la estructura del rostro.</w:t>
      </w:r>
    </w:p>
    <w:p w14:paraId="597C0F5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7D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D4C4A8" w:sz="0" w:space="0"/>
              <w:left w:val="single" w:color="D4C4A8" w:sz="0" w:space="0"/>
              <w:bottom w:val="single" w:color="D4C4A8" w:sz="0" w:space="0"/>
              <w:right w:val="single" w:color="D4C4A8" w:sz="0" w:space="0"/>
            </w:tcBorders>
            <w:shd w:val="clear" w:color="auto" w:fill="F5EFE6"/>
            <w:tcMar>
              <w:top w:w="140" w:type="dxa"/>
              <w:left w:w="240" w:type="dxa"/>
              <w:bottom w:w="140" w:type="dxa"/>
              <w:right w:w="240" w:type="dxa"/>
            </w:tcMar>
          </w:tcPr>
          <w:p w14:paraId="7A547F73">
            <w:r>
              <w:rPr>
                <w:rFonts w:ascii="Arial" w:hAnsi="Arial" w:eastAsia="Arial" w:cs="Arial"/>
                <w:b/>
                <w:bCs/>
                <w:i/>
                <w:iCs/>
                <w:color w:val="3E2F2B"/>
                <w:sz w:val="22"/>
                <w:szCs w:val="22"/>
              </w:rPr>
              <w:t>"La clienta no puede fingir la sonrisa. El músculo cigomático se mueve solo. Eso, en cosmética tópica, no existe en ningún otro producto del mercado."</w:t>
            </w:r>
          </w:p>
        </w:tc>
      </w:tr>
    </w:tbl>
    <w:p w14:paraId="61644BF6">
      <w:pPr>
        <w:jc w:val="both"/>
        <w:rPr>
          <w:rFonts w:hint="default"/>
          <w:lang w:val="es-ES"/>
        </w:rPr>
      </w:pPr>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65D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3E2F2B"/>
            <w:tcMar>
              <w:top w:w="200" w:type="dxa"/>
              <w:left w:w="300" w:type="dxa"/>
              <w:bottom w:w="200" w:type="dxa"/>
              <w:right w:w="300" w:type="dxa"/>
            </w:tcMar>
          </w:tcPr>
          <w:p w14:paraId="0C036363">
            <w:r>
              <w:rPr>
                <w:rFonts w:ascii="Arial" w:hAnsi="Arial" w:eastAsia="Arial" w:cs="Arial"/>
                <w:b/>
                <w:bCs/>
                <w:color w:val="C6A56B"/>
                <w:sz w:val="32"/>
                <w:szCs w:val="32"/>
              </w:rPr>
              <w:t>CÓMO ACTÚA YADALA EN CADA CAPA</w:t>
            </w:r>
          </w:p>
          <w:p w14:paraId="3B10C270">
            <w:pPr>
              <w:spacing w:before="60" w:after="0"/>
            </w:pPr>
            <w:r>
              <w:rPr>
                <w:rFonts w:ascii="Arial" w:hAnsi="Arial" w:eastAsia="Arial" w:cs="Arial"/>
                <w:i/>
                <w:iCs/>
                <w:color w:val="F5EFE6"/>
                <w:sz w:val="20"/>
                <w:szCs w:val="20"/>
              </w:rPr>
              <w:t>De la epidermis al músculo — una acción en profundidad real</w:t>
            </w:r>
          </w:p>
        </w:tc>
      </w:tr>
    </w:tbl>
    <w:p w14:paraId="6B2640BF">
      <w:pPr>
        <w:spacing w:before="200" w:after="80"/>
        <w:rPr>
          <w:rFonts w:ascii="Arial" w:hAnsi="Arial" w:eastAsia="Arial" w:cs="Arial"/>
          <w:b/>
          <w:bCs/>
          <w:color w:val="C6A56B"/>
          <w:sz w:val="19"/>
          <w:szCs w:val="19"/>
        </w:rPr>
      </w:pPr>
    </w:p>
    <w:p w14:paraId="7111EE72">
      <w:pPr>
        <w:spacing w:before="200" w:after="80"/>
      </w:pPr>
      <w:r>
        <w:rPr>
          <w:rFonts w:ascii="Arial" w:hAnsi="Arial" w:eastAsia="Arial" w:cs="Arial"/>
          <w:b/>
          <w:bCs/>
          <w:color w:val="C6A56B"/>
          <w:sz w:val="19"/>
          <w:szCs w:val="19"/>
        </w:rPr>
        <w:t>LAS 7 CAPAS DONDE YADALA TRABAJA</w:t>
      </w:r>
    </w:p>
    <w:p w14:paraId="07892B41">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0"/>
        <w:gridCol w:w="3440"/>
        <w:gridCol w:w="2079"/>
        <w:gridCol w:w="2511"/>
      </w:tblGrid>
      <w:tr w14:paraId="22C1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nil"/>
              <w:left w:val="nil"/>
              <w:bottom w:val="nil"/>
              <w:right w:val="nil"/>
            </w:tcBorders>
            <w:shd w:val="clear" w:color="auto" w:fill="3E2F2B"/>
            <w:tcMar>
              <w:top w:w="80" w:type="dxa"/>
              <w:left w:w="120" w:type="dxa"/>
              <w:bottom w:w="80" w:type="dxa"/>
              <w:right w:w="120" w:type="dxa"/>
            </w:tcMar>
          </w:tcPr>
          <w:p w14:paraId="246DCCE9">
            <w:pPr>
              <w:jc w:val="center"/>
            </w:pPr>
            <w:r>
              <w:rPr>
                <w:rFonts w:ascii="Arial" w:hAnsi="Arial" w:eastAsia="Arial" w:cs="Arial"/>
                <w:b/>
                <w:bCs/>
                <w:color w:val="C6A56B"/>
                <w:sz w:val="19"/>
                <w:szCs w:val="19"/>
              </w:rPr>
              <w:t>CAPA</w:t>
            </w:r>
          </w:p>
        </w:tc>
        <w:tc>
          <w:tcPr>
            <w:tcW w:w="2340" w:type="dxa"/>
            <w:tcBorders>
              <w:top w:val="nil"/>
              <w:left w:val="nil"/>
              <w:bottom w:val="nil"/>
              <w:right w:val="nil"/>
            </w:tcBorders>
            <w:shd w:val="clear" w:color="auto" w:fill="3E2F2B"/>
            <w:tcMar>
              <w:top w:w="80" w:type="dxa"/>
              <w:left w:w="120" w:type="dxa"/>
              <w:bottom w:w="80" w:type="dxa"/>
              <w:right w:w="120" w:type="dxa"/>
            </w:tcMar>
          </w:tcPr>
          <w:p w14:paraId="1470F537">
            <w:pPr>
              <w:jc w:val="center"/>
            </w:pPr>
            <w:r>
              <w:rPr>
                <w:rFonts w:ascii="Arial" w:hAnsi="Arial" w:eastAsia="Arial" w:cs="Arial"/>
                <w:b/>
                <w:bCs/>
                <w:color w:val="C6A56B"/>
                <w:sz w:val="19"/>
                <w:szCs w:val="19"/>
              </w:rPr>
              <w:t>ESTRUCTURA</w:t>
            </w:r>
          </w:p>
        </w:tc>
        <w:tc>
          <w:tcPr>
            <w:tcW w:w="2340" w:type="dxa"/>
            <w:tcBorders>
              <w:top w:val="nil"/>
              <w:left w:val="nil"/>
              <w:bottom w:val="nil"/>
              <w:right w:val="nil"/>
            </w:tcBorders>
            <w:shd w:val="clear" w:color="auto" w:fill="3E2F2B"/>
            <w:tcMar>
              <w:top w:w="80" w:type="dxa"/>
              <w:left w:w="120" w:type="dxa"/>
              <w:bottom w:w="80" w:type="dxa"/>
              <w:right w:w="120" w:type="dxa"/>
            </w:tcMar>
          </w:tcPr>
          <w:p w14:paraId="6271A0FF">
            <w:pPr>
              <w:jc w:val="center"/>
            </w:pPr>
            <w:r>
              <w:rPr>
                <w:rFonts w:ascii="Arial" w:hAnsi="Arial" w:eastAsia="Arial" w:cs="Arial"/>
                <w:b/>
                <w:bCs/>
                <w:color w:val="C6A56B"/>
                <w:sz w:val="19"/>
                <w:szCs w:val="19"/>
              </w:rPr>
              <w:t>QUÉ FALLA</w:t>
            </w:r>
          </w:p>
        </w:tc>
        <w:tc>
          <w:tcPr>
            <w:tcW w:w="2340" w:type="dxa"/>
            <w:tcBorders>
              <w:top w:val="nil"/>
              <w:left w:val="nil"/>
              <w:bottom w:val="nil"/>
              <w:right w:val="nil"/>
            </w:tcBorders>
            <w:shd w:val="clear" w:color="auto" w:fill="3E2F2B"/>
            <w:tcMar>
              <w:top w:w="80" w:type="dxa"/>
              <w:left w:w="120" w:type="dxa"/>
              <w:bottom w:w="80" w:type="dxa"/>
              <w:right w:w="120" w:type="dxa"/>
            </w:tcMar>
          </w:tcPr>
          <w:p w14:paraId="1202313D">
            <w:pPr>
              <w:jc w:val="center"/>
            </w:pPr>
            <w:r>
              <w:rPr>
                <w:rFonts w:ascii="Arial" w:hAnsi="Arial" w:eastAsia="Arial" w:cs="Arial"/>
                <w:b/>
                <w:bCs/>
                <w:color w:val="C6A56B"/>
                <w:sz w:val="19"/>
                <w:szCs w:val="19"/>
              </w:rPr>
              <w:t>YADALA ACTÚA</w:t>
            </w:r>
          </w:p>
        </w:tc>
      </w:tr>
      <w:tr w14:paraId="2CE5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1219AE09">
            <w:r>
              <w:rPr>
                <w:rFonts w:ascii="Arial" w:hAnsi="Arial" w:eastAsia="Arial" w:cs="Arial"/>
                <w:color w:val="3E2F2B"/>
                <w:sz w:val="19"/>
                <w:szCs w:val="19"/>
              </w:rPr>
              <w:t>Epidermis</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3CC54351">
            <w:r>
              <w:rPr>
                <w:rFonts w:ascii="Arial" w:hAnsi="Arial" w:eastAsia="Arial" w:cs="Arial"/>
                <w:color w:val="3E2F2B"/>
                <w:sz w:val="19"/>
                <w:szCs w:val="19"/>
              </w:rPr>
              <w:t>Queratinocitos · barrera cutánea</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2BFEAF56">
            <w:r>
              <w:rPr>
                <w:rFonts w:ascii="Arial" w:hAnsi="Arial" w:eastAsia="Arial" w:cs="Arial"/>
                <w:color w:val="3E2F2B"/>
                <w:sz w:val="19"/>
                <w:szCs w:val="19"/>
              </w:rPr>
              <w:t>Renovación lenta · poros · textura</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26EC7826">
            <w:r>
              <w:rPr>
                <w:rFonts w:ascii="Arial" w:hAnsi="Arial" w:eastAsia="Arial" w:cs="Arial"/>
                <w:color w:val="3E2F2B"/>
                <w:sz w:val="19"/>
                <w:szCs w:val="19"/>
              </w:rPr>
              <w:t>Oxigenación · regulación pH · luminosidad</w:t>
            </w:r>
          </w:p>
        </w:tc>
      </w:tr>
      <w:tr w14:paraId="2D46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53D6705D">
            <w:r>
              <w:rPr>
                <w:rFonts w:ascii="Arial" w:hAnsi="Arial" w:eastAsia="Arial" w:cs="Arial"/>
                <w:color w:val="3E2F2B"/>
                <w:sz w:val="19"/>
                <w:szCs w:val="19"/>
              </w:rPr>
              <w:t>Dermis papilar</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2F1E93C0">
            <w:r>
              <w:rPr>
                <w:rFonts w:ascii="Arial" w:hAnsi="Arial" w:eastAsia="Arial" w:cs="Arial"/>
                <w:color w:val="3E2F2B"/>
                <w:sz w:val="19"/>
                <w:szCs w:val="19"/>
              </w:rPr>
              <w:t>Fibroblastos · colágeno III · capilares</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76A65F84">
            <w:r>
              <w:rPr>
                <w:rFonts w:ascii="Arial" w:hAnsi="Arial" w:eastAsia="Arial" w:cs="Arial"/>
                <w:color w:val="3E2F2B"/>
                <w:sz w:val="19"/>
                <w:szCs w:val="19"/>
              </w:rPr>
              <w:t>Menos colágeno · arrugas finas</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753BE20C">
            <w:r>
              <w:rPr>
                <w:rFonts w:ascii="Arial" w:hAnsi="Arial" w:eastAsia="Arial" w:cs="Arial"/>
                <w:color w:val="3E2F2B"/>
                <w:sz w:val="19"/>
                <w:szCs w:val="19"/>
              </w:rPr>
              <w:t>Activa fibroblastos · síntesis colágeno III</w:t>
            </w:r>
          </w:p>
        </w:tc>
      </w:tr>
      <w:tr w14:paraId="3912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55B2BCD9">
            <w:r>
              <w:rPr>
                <w:rFonts w:ascii="Arial" w:hAnsi="Arial" w:eastAsia="Arial" w:cs="Arial"/>
                <w:color w:val="3E2F2B"/>
                <w:sz w:val="19"/>
                <w:szCs w:val="19"/>
              </w:rPr>
              <w:t>Dermis reticular</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1B3480BF">
            <w:r>
              <w:rPr>
                <w:rFonts w:ascii="Arial" w:hAnsi="Arial" w:eastAsia="Arial" w:cs="Arial"/>
                <w:color w:val="3E2F2B"/>
                <w:sz w:val="19"/>
                <w:szCs w:val="19"/>
              </w:rPr>
              <w:t>Colágeno I · elastina · GAGs</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1260B4F9">
            <w:r>
              <w:rPr>
                <w:rFonts w:ascii="Arial" w:hAnsi="Arial" w:eastAsia="Arial" w:cs="Arial"/>
                <w:color w:val="3E2F2B"/>
                <w:sz w:val="19"/>
                <w:szCs w:val="19"/>
              </w:rPr>
              <w:t>Flacidez · pérdida de densidad</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13E28913">
            <w:r>
              <w:rPr>
                <w:rFonts w:ascii="Arial" w:hAnsi="Arial" w:eastAsia="Arial" w:cs="Arial"/>
                <w:color w:val="3E2F2B"/>
                <w:sz w:val="19"/>
                <w:szCs w:val="19"/>
              </w:rPr>
              <w:t>Síntesis colágeno I · GAGs · HA endógeno</w:t>
            </w:r>
          </w:p>
        </w:tc>
      </w:tr>
      <w:tr w14:paraId="4ECA4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05E32D1D">
            <w:r>
              <w:rPr>
                <w:rFonts w:ascii="Arial" w:hAnsi="Arial" w:eastAsia="Arial" w:cs="Arial"/>
                <w:color w:val="3E2F2B"/>
                <w:sz w:val="19"/>
                <w:szCs w:val="19"/>
              </w:rPr>
              <w:t>Hipodermis</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6AEABD7D">
            <w:r>
              <w:rPr>
                <w:rFonts w:ascii="Arial" w:hAnsi="Arial" w:eastAsia="Arial" w:cs="Arial"/>
                <w:color w:val="3E2F2B"/>
                <w:sz w:val="19"/>
                <w:szCs w:val="19"/>
              </w:rPr>
              <w:t>Grasa · vasos · nervios periféricos</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64C23795">
            <w:r>
              <w:rPr>
                <w:rFonts w:ascii="Arial" w:hAnsi="Arial" w:eastAsia="Arial" w:cs="Arial"/>
                <w:color w:val="3E2F2B"/>
                <w:sz w:val="19"/>
                <w:szCs w:val="19"/>
              </w:rPr>
              <w:t>Ptosis grasa · volumen perdido</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2D4BB642">
            <w:r>
              <w:rPr>
                <w:rFonts w:ascii="Arial" w:hAnsi="Arial" w:eastAsia="Arial" w:cs="Arial"/>
                <w:color w:val="3E2F2B"/>
                <w:sz w:val="19"/>
                <w:szCs w:val="19"/>
              </w:rPr>
              <w:t>Estimulación SNP → señal neuromuscular</w:t>
            </w:r>
          </w:p>
        </w:tc>
      </w:tr>
      <w:tr w14:paraId="2303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610B66A4">
            <w:r>
              <w:rPr>
                <w:rFonts w:ascii="Arial" w:hAnsi="Arial" w:eastAsia="Arial" w:cs="Arial"/>
                <w:color w:val="3E2F2B"/>
                <w:sz w:val="19"/>
                <w:szCs w:val="19"/>
              </w:rPr>
              <w:t>Fascia (SMAS)</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3BBBD642">
            <w:r>
              <w:rPr>
                <w:rFonts w:ascii="Arial" w:hAnsi="Arial" w:eastAsia="Arial" w:cs="Arial"/>
                <w:color w:val="3E2F2B"/>
                <w:sz w:val="19"/>
                <w:szCs w:val="19"/>
              </w:rPr>
              <w:t>Red de tensión fascial facial</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3AC055BD">
            <w:r>
              <w:rPr>
                <w:rFonts w:ascii="Arial" w:hAnsi="Arial" w:eastAsia="Arial" w:cs="Arial"/>
                <w:color w:val="3E2F2B"/>
                <w:sz w:val="19"/>
                <w:szCs w:val="19"/>
              </w:rPr>
              <w:t>Relajación → caída de tejidos</w:t>
            </w:r>
          </w:p>
        </w:tc>
        <w:tc>
          <w:tcPr>
            <w:tcW w:w="234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4D3F2128">
            <w:r>
              <w:rPr>
                <w:rFonts w:ascii="Arial" w:hAnsi="Arial" w:eastAsia="Arial" w:cs="Arial"/>
                <w:color w:val="3E2F2B"/>
                <w:sz w:val="19"/>
                <w:szCs w:val="19"/>
              </w:rPr>
              <w:t>Neuroestimulación fascial → lifting biológico</w:t>
            </w:r>
          </w:p>
        </w:tc>
      </w:tr>
      <w:tr w14:paraId="11F8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1FAB1CB2">
            <w:r>
              <w:rPr>
                <w:rFonts w:ascii="Arial" w:hAnsi="Arial" w:eastAsia="Arial" w:cs="Arial"/>
                <w:color w:val="3E2F2B"/>
                <w:sz w:val="19"/>
                <w:szCs w:val="19"/>
              </w:rPr>
              <w:t>Músculo</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2570ABB8">
            <w:r>
              <w:rPr>
                <w:rFonts w:ascii="Arial" w:hAnsi="Arial" w:eastAsia="Arial" w:cs="Arial"/>
                <w:color w:val="3E2F2B"/>
                <w:sz w:val="19"/>
                <w:szCs w:val="19"/>
              </w:rPr>
              <w:t>Cigomático · orbicular · platisma · etc.</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0D41719F">
            <w:r>
              <w:rPr>
                <w:rFonts w:ascii="Arial" w:hAnsi="Arial" w:eastAsia="Arial" w:cs="Arial"/>
                <w:color w:val="3E2F2B"/>
                <w:sz w:val="19"/>
                <w:szCs w:val="19"/>
              </w:rPr>
              <w:t>Pérdida de tono · tensión crónica</w:t>
            </w:r>
          </w:p>
        </w:tc>
        <w:tc>
          <w:tcPr>
            <w:tcW w:w="234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1767CC62">
            <w:r>
              <w:rPr>
                <w:rFonts w:ascii="Arial" w:hAnsi="Arial" w:eastAsia="Arial" w:cs="Arial"/>
                <w:color w:val="3E2F2B"/>
                <w:sz w:val="19"/>
                <w:szCs w:val="19"/>
              </w:rPr>
              <w:t>Microcontracciones involuntarias · reeducación</w:t>
            </w:r>
          </w:p>
        </w:tc>
      </w:tr>
    </w:tbl>
    <w:p w14:paraId="36AB5E13">
      <w:pPr>
        <w:spacing w:before="200" w:after="120"/>
      </w:pPr>
    </w:p>
    <w:p w14:paraId="16CE444D">
      <w:pPr>
        <w:spacing w:before="200" w:after="80"/>
      </w:pPr>
      <w:r>
        <w:rPr>
          <w:rFonts w:ascii="Arial" w:hAnsi="Arial" w:eastAsia="Arial" w:cs="Arial"/>
          <w:b/>
          <w:bCs/>
          <w:color w:val="C6A56B"/>
          <w:sz w:val="19"/>
          <w:szCs w:val="19"/>
        </w:rPr>
        <w:t>EL MECANISMO COMPLETO EN 6 PASOS</w:t>
      </w:r>
    </w:p>
    <w:p w14:paraId="1C041F54">
      <w:pPr>
        <w:spacing w:before="50" w:after="50"/>
        <w:ind w:left="360" w:hanging="240"/>
      </w:pPr>
      <w:r>
        <w:rPr>
          <w:rFonts w:ascii="Arial" w:hAnsi="Arial" w:eastAsia="Arial" w:cs="Arial"/>
          <w:b/>
          <w:bCs/>
          <w:color w:val="C6A56B"/>
          <w:sz w:val="20"/>
          <w:szCs w:val="20"/>
        </w:rPr>
        <w:t xml:space="preserve">1.  </w:t>
      </w:r>
      <w:r>
        <w:rPr>
          <w:rFonts w:ascii="Arial" w:hAnsi="Arial" w:eastAsia="Arial" w:cs="Arial"/>
          <w:color w:val="3E2F2B"/>
          <w:sz w:val="20"/>
          <w:szCs w:val="20"/>
        </w:rPr>
        <w:t>Los activos bioestimuladores penetran la barrera epidérmica y alcanzan la dermis papilar.</w:t>
      </w:r>
    </w:p>
    <w:p w14:paraId="5DB6AC98">
      <w:pPr>
        <w:spacing w:before="50" w:after="50"/>
        <w:ind w:left="360" w:hanging="240"/>
      </w:pPr>
      <w:r>
        <w:rPr>
          <w:rFonts w:ascii="Arial" w:hAnsi="Arial" w:eastAsia="Arial" w:cs="Arial"/>
          <w:b/>
          <w:bCs/>
          <w:color w:val="C6A56B"/>
          <w:sz w:val="20"/>
          <w:szCs w:val="20"/>
        </w:rPr>
        <w:t xml:space="preserve">2.  </w:t>
      </w:r>
      <w:r>
        <w:rPr>
          <w:rFonts w:ascii="Arial" w:hAnsi="Arial" w:eastAsia="Arial" w:cs="Arial"/>
          <w:color w:val="3E2F2B"/>
          <w:sz w:val="20"/>
          <w:szCs w:val="20"/>
        </w:rPr>
        <w:t>En la dermis activan los fibroblastos dormidos → producen colágeno tipo I y III, elastina, GAGs y ácido hialurónico endógeno.</w:t>
      </w:r>
    </w:p>
    <w:p w14:paraId="7A2C3F07">
      <w:pPr>
        <w:spacing w:before="50" w:after="50"/>
        <w:ind w:left="360" w:hanging="240"/>
      </w:pPr>
      <w:r>
        <w:rPr>
          <w:rFonts w:ascii="Arial" w:hAnsi="Arial" w:eastAsia="Arial" w:cs="Arial"/>
          <w:b/>
          <w:bCs/>
          <w:color w:val="C6A56B"/>
          <w:sz w:val="20"/>
          <w:szCs w:val="20"/>
        </w:rPr>
        <w:t xml:space="preserve">3.  </w:t>
      </w:r>
      <w:r>
        <w:rPr>
          <w:rFonts w:ascii="Arial" w:hAnsi="Arial" w:eastAsia="Arial" w:cs="Arial"/>
          <w:color w:val="3E2F2B"/>
          <w:sz w:val="20"/>
          <w:szCs w:val="20"/>
        </w:rPr>
        <w:t>La hiperemia controlada (enrojecimiento temporal) indica oxigenación tisular real — el mismo signo clínico que produce la radiofrecuencia, el LED o las microagujas.</w:t>
      </w:r>
    </w:p>
    <w:p w14:paraId="3DA79DBF">
      <w:pPr>
        <w:spacing w:before="50" w:after="50"/>
        <w:ind w:left="360" w:hanging="240"/>
      </w:pPr>
      <w:r>
        <w:rPr>
          <w:rFonts w:ascii="Arial" w:hAnsi="Arial" w:eastAsia="Arial" w:cs="Arial"/>
          <w:b/>
          <w:bCs/>
          <w:color w:val="C6A56B"/>
          <w:sz w:val="20"/>
          <w:szCs w:val="20"/>
        </w:rPr>
        <w:t xml:space="preserve">4.  </w:t>
      </w:r>
      <w:r>
        <w:rPr>
          <w:rFonts w:ascii="Arial" w:hAnsi="Arial" w:eastAsia="Arial" w:cs="Arial"/>
          <w:color w:val="3E2F2B"/>
          <w:sz w:val="20"/>
          <w:szCs w:val="20"/>
        </w:rPr>
        <w:t>Los activos estimulan las terminaciones nerviosas del sistema nervioso periférico → la señal viaja al músculo → microcontracciones involuntarias visibles.</w:t>
      </w:r>
    </w:p>
    <w:p w14:paraId="0825602E">
      <w:pPr>
        <w:spacing w:before="50" w:after="50"/>
        <w:ind w:left="360" w:hanging="240"/>
      </w:pPr>
      <w:r>
        <w:rPr>
          <w:rFonts w:ascii="Arial" w:hAnsi="Arial" w:eastAsia="Arial" w:cs="Arial"/>
          <w:b/>
          <w:bCs/>
          <w:color w:val="C6A56B"/>
          <w:sz w:val="20"/>
          <w:szCs w:val="20"/>
        </w:rPr>
        <w:t xml:space="preserve">5.  </w:t>
      </w:r>
      <w:r>
        <w:rPr>
          <w:rFonts w:ascii="Arial" w:hAnsi="Arial" w:eastAsia="Arial" w:cs="Arial"/>
          <w:color w:val="3E2F2B"/>
          <w:sz w:val="20"/>
          <w:szCs w:val="20"/>
        </w:rPr>
        <w:t>La neuroestimulación alcanza el SMAS (fascia superficial) → se reactiva la tensión fascial → efecto lifting biológico.</w:t>
      </w:r>
    </w:p>
    <w:p w14:paraId="2978AD93">
      <w:pPr>
        <w:spacing w:before="50" w:after="50"/>
        <w:ind w:left="360" w:hanging="240"/>
        <w:rPr>
          <w:rFonts w:ascii="Arial" w:hAnsi="Arial" w:eastAsia="Arial" w:cs="Arial"/>
          <w:color w:val="3E2F2B"/>
          <w:sz w:val="20"/>
          <w:szCs w:val="20"/>
        </w:rPr>
      </w:pPr>
      <w:r>
        <w:rPr>
          <w:rFonts w:ascii="Arial" w:hAnsi="Arial" w:eastAsia="Arial" w:cs="Arial"/>
          <w:b/>
          <w:bCs/>
          <w:color w:val="C6A56B"/>
          <w:sz w:val="20"/>
          <w:szCs w:val="20"/>
        </w:rPr>
        <w:t xml:space="preserve">6.  </w:t>
      </w:r>
      <w:r>
        <w:rPr>
          <w:rFonts w:ascii="Arial" w:hAnsi="Arial" w:eastAsia="Arial" w:cs="Arial"/>
          <w:color w:val="3E2F2B"/>
          <w:sz w:val="20"/>
          <w:szCs w:val="20"/>
        </w:rPr>
        <w:t>El resultado acumulado: piel más densa, más oxigenada, músculos con más tono, fascia más tensa → rostro más elevado, más definido, más expresivo.</w:t>
      </w:r>
    </w:p>
    <w:p w14:paraId="32428462">
      <w:pPr>
        <w:spacing w:before="50" w:after="50"/>
        <w:ind w:left="360" w:hanging="240"/>
        <w:rPr>
          <w:rFonts w:ascii="Arial" w:hAnsi="Arial" w:eastAsia="Arial" w:cs="Arial"/>
          <w:color w:val="3E2F2B"/>
          <w:sz w:val="20"/>
          <w:szCs w:val="20"/>
        </w:rPr>
      </w:pPr>
    </w:p>
    <w:p w14:paraId="01B6AD06">
      <w:pPr>
        <w:spacing w:before="160" w:after="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81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D4C4A8" w:sz="0" w:space="0"/>
              <w:left w:val="single" w:color="D4C4A8" w:sz="0" w:space="0"/>
              <w:bottom w:val="single" w:color="D4C4A8" w:sz="0" w:space="0"/>
              <w:right w:val="single" w:color="D4C4A8" w:sz="0" w:space="0"/>
            </w:tcBorders>
            <w:shd w:val="clear" w:color="auto" w:fill="F5EFE6"/>
            <w:tcMar>
              <w:top w:w="140" w:type="dxa"/>
              <w:left w:w="240" w:type="dxa"/>
              <w:bottom w:w="140" w:type="dxa"/>
              <w:right w:w="240" w:type="dxa"/>
            </w:tcMar>
          </w:tcPr>
          <w:p w14:paraId="771A6F7D">
            <w:r>
              <w:rPr>
                <w:rFonts w:ascii="Arial" w:hAnsi="Arial" w:eastAsia="Arial" w:cs="Arial"/>
                <w:b/>
                <w:bCs/>
                <w:i/>
                <w:iCs/>
                <w:color w:val="3E2F2B"/>
                <w:sz w:val="22"/>
                <w:szCs w:val="22"/>
              </w:rPr>
              <w:t>"Yadala no relaja ni paraliza. Activa, educa y estimula. Por eso el rostro no pierde expresión — la recupera."</w:t>
            </w:r>
          </w:p>
        </w:tc>
      </w:tr>
    </w:tbl>
    <w:p w14:paraId="783CBD1D">
      <w:pPr>
        <w:spacing w:before="300" w:after="0"/>
      </w:pPr>
    </w:p>
    <w:p w14:paraId="184EE0D6"/>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6A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nil"/>
              <w:left w:val="nil"/>
              <w:bottom w:val="nil"/>
              <w:right w:val="nil"/>
            </w:tcBorders>
            <w:shd w:val="clear" w:color="auto" w:fill="3E2F2B"/>
            <w:tcMar>
              <w:top w:w="200" w:type="dxa"/>
              <w:left w:w="300" w:type="dxa"/>
              <w:bottom w:w="200" w:type="dxa"/>
              <w:right w:w="300" w:type="dxa"/>
            </w:tcMar>
          </w:tcPr>
          <w:p w14:paraId="61F8BCB5">
            <w:r>
              <w:rPr>
                <w:rFonts w:ascii="Arial" w:hAnsi="Arial" w:eastAsia="Arial" w:cs="Arial"/>
                <w:b/>
                <w:bCs/>
                <w:color w:val="C6A56B"/>
                <w:sz w:val="32"/>
                <w:szCs w:val="32"/>
              </w:rPr>
              <w:t>EVIDENCIA VISUAL EN CABINA</w:t>
            </w:r>
          </w:p>
          <w:p w14:paraId="4E4DAAC1">
            <w:pPr>
              <w:spacing w:before="60" w:after="0"/>
            </w:pPr>
            <w:r>
              <w:rPr>
                <w:rFonts w:ascii="Arial" w:hAnsi="Arial" w:eastAsia="Arial" w:cs="Arial"/>
                <w:i/>
                <w:iCs/>
                <w:color w:val="F5EFE6"/>
                <w:sz w:val="20"/>
                <w:szCs w:val="20"/>
              </w:rPr>
              <w:t>Análisis zona a zona de las respuestas observadas durante la aplicación</w:t>
            </w:r>
          </w:p>
        </w:tc>
      </w:tr>
    </w:tbl>
    <w:p w14:paraId="000472C5">
      <w:pPr>
        <w:spacing w:before="200" w:after="120"/>
      </w:pPr>
    </w:p>
    <w:p w14:paraId="4926C3B2">
      <w:pPr>
        <w:spacing w:before="80" w:after="80"/>
        <w:rPr>
          <w:rFonts w:ascii="Arial" w:hAnsi="Arial" w:eastAsia="Arial" w:cs="Arial"/>
          <w:b w:val="0"/>
          <w:bCs w:val="0"/>
          <w:color w:val="3E2F2B"/>
          <w:sz w:val="21"/>
          <w:szCs w:val="21"/>
        </w:rPr>
      </w:pPr>
      <w:r>
        <w:rPr>
          <w:rFonts w:ascii="Arial" w:hAnsi="Arial" w:eastAsia="Arial" w:cs="Arial"/>
          <w:b w:val="0"/>
          <w:bCs w:val="0"/>
          <w:color w:val="3E2F2B"/>
          <w:sz w:val="21"/>
          <w:szCs w:val="21"/>
        </w:rPr>
        <w:t>Las siguientes fotografías fueron tomadas durante una sesión real de Yadala. Muestran las respuestas neuromusculares involuntarias que se producen mientras la mascarilla actúa. Ninguna expresión fue forzada o posada — todas son respuestas biológicas espontáneas.</w:t>
      </w:r>
    </w:p>
    <w:p w14:paraId="2BC92383">
      <w:pPr>
        <w:spacing w:before="80" w:after="80"/>
        <w:rPr>
          <w:rFonts w:ascii="Arial" w:hAnsi="Arial" w:eastAsia="Arial" w:cs="Arial"/>
          <w:b w:val="0"/>
          <w:bCs w:val="0"/>
          <w:color w:val="3E2F2B"/>
          <w:sz w:val="21"/>
          <w:szCs w:val="21"/>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47AE3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C6A56B"/>
            <w:tcMar>
              <w:top w:w="160" w:type="dxa"/>
              <w:left w:w="200" w:type="dxa"/>
              <w:bottom w:w="160" w:type="dxa"/>
              <w:right w:w="200" w:type="dxa"/>
            </w:tcMar>
            <w:vAlign w:val="center"/>
          </w:tcPr>
          <w:p w14:paraId="2BCB3EB0">
            <w:pPr>
              <w:jc w:val="center"/>
            </w:pPr>
            <w:r>
              <w:rPr>
                <w:rFonts w:ascii="Arial" w:hAnsi="Arial" w:eastAsia="Arial" w:cs="Arial"/>
                <w:b/>
                <w:bCs/>
                <w:color w:val="FFFFFF"/>
                <w:sz w:val="36"/>
                <w:szCs w:val="36"/>
              </w:rPr>
              <w:t>Z10</w:t>
            </w:r>
          </w:p>
        </w:tc>
        <w:tc>
          <w:tcPr>
            <w:tcW w:w="8160" w:type="dxa"/>
            <w:tcBorders>
              <w:top w:val="nil"/>
              <w:left w:val="nil"/>
              <w:bottom w:val="nil"/>
              <w:right w:val="nil"/>
            </w:tcBorders>
            <w:shd w:val="clear" w:color="auto" w:fill="3E2F2B"/>
            <w:tcMar>
              <w:top w:w="120" w:type="dxa"/>
              <w:left w:w="240" w:type="dxa"/>
              <w:bottom w:w="120" w:type="dxa"/>
              <w:right w:w="240" w:type="dxa"/>
            </w:tcMar>
          </w:tcPr>
          <w:p w14:paraId="49E32980">
            <w:r>
              <w:rPr>
                <w:rFonts w:ascii="Arial" w:hAnsi="Arial" w:eastAsia="Arial" w:cs="Arial"/>
                <w:b/>
                <w:bCs/>
                <w:color w:val="FFFFFF"/>
                <w:sz w:val="26"/>
                <w:szCs w:val="26"/>
              </w:rPr>
              <w:t>PÁRPADO SUPERIOR</w:t>
            </w:r>
          </w:p>
          <w:p w14:paraId="2F972904">
            <w:pPr>
              <w:spacing w:before="40" w:after="0"/>
            </w:pPr>
            <w:r>
              <w:rPr>
                <w:rFonts w:ascii="Arial" w:hAnsi="Arial" w:eastAsia="Arial" w:cs="Arial"/>
                <w:i/>
                <w:iCs/>
                <w:color w:val="C6A56B"/>
                <w:sz w:val="18"/>
                <w:szCs w:val="18"/>
              </w:rPr>
              <w:t>Orbicular del ojo (Orbicularis oculi)  ·  Línea RECOVER</w:t>
            </w:r>
          </w:p>
        </w:tc>
      </w:tr>
    </w:tbl>
    <w:p w14:paraId="5A47CB78">
      <w:pPr>
        <w:spacing w:before="120" w:after="80"/>
      </w:pPr>
    </w:p>
    <w:p w14:paraId="0C8FD388">
      <w:pPr>
        <w:spacing w:before="200" w:after="80"/>
      </w:pPr>
      <w:r>
        <w:rPr>
          <w:rFonts w:ascii="Arial" w:hAnsi="Arial" w:eastAsia="Arial" w:cs="Arial"/>
          <w:b/>
          <w:bCs/>
          <w:color w:val="C6A56B"/>
          <w:sz w:val="19"/>
          <w:szCs w:val="19"/>
        </w:rPr>
        <w:t>QUÉ SE OBSERVA EN LA FOTO IMG_1054</w:t>
      </w:r>
    </w:p>
    <w:p w14:paraId="2010165A">
      <w:pPr>
        <w:spacing w:before="80" w:after="80"/>
      </w:pPr>
      <w:r>
        <w:rPr>
          <w:rFonts w:ascii="Arial" w:hAnsi="Arial" w:eastAsia="Arial" w:cs="Arial"/>
          <w:b w:val="0"/>
          <w:bCs w:val="0"/>
          <w:color w:val="3E2F2B"/>
          <w:sz w:val="21"/>
          <w:szCs w:val="21"/>
        </w:rPr>
        <w:t>El ojo izquierdo presenta un guiño involuntario claro durante la aplicación. El músculo orbicular del ojo — que rodea completamente el ojo formando un esfínter circular — está recibiendo la señal neuromuscular de Yadala y se contrae de forma asimétrica respecto al ojo derecho.</w:t>
      </w:r>
    </w:p>
    <w:p w14:paraId="3317182A">
      <w:pPr>
        <w:spacing w:before="60" w:after="60"/>
      </w:pPr>
    </w:p>
    <w:p w14:paraId="39D4CCC2">
      <w:pPr>
        <w:spacing w:before="80" w:after="80"/>
      </w:pPr>
      <w:r>
        <w:rPr>
          <w:rFonts w:ascii="Arial" w:hAnsi="Arial" w:eastAsia="Arial" w:cs="Arial"/>
          <w:b w:val="0"/>
          <w:bCs w:val="0"/>
          <w:color w:val="3E2F2B"/>
          <w:sz w:val="21"/>
          <w:szCs w:val="21"/>
        </w:rPr>
        <w:t>La asimetría entre ambos ojos es completamente normal: indica que en ese momento la concentración de activos era mayor en el lado izquierdo, o que las terminaciones nerviosas de esa zona respondieron primero. El SMAS distribuye la señal de forma progresiva, no simultánea.</w:t>
      </w:r>
    </w:p>
    <w:p w14:paraId="7DA80DB4">
      <w:pPr>
        <w:spacing w:before="120" w:after="80"/>
      </w:pPr>
    </w:p>
    <w:p w14:paraId="012023BB">
      <w:pPr>
        <w:spacing w:before="200" w:after="80"/>
      </w:pPr>
      <w:r>
        <w:rPr>
          <w:rFonts w:ascii="Arial" w:hAnsi="Arial" w:eastAsia="Arial" w:cs="Arial"/>
          <w:b/>
          <w:bCs/>
          <w:color w:val="C6A56B"/>
          <w:sz w:val="19"/>
          <w:szCs w:val="19"/>
        </w:rPr>
        <w:t>ANATOMÍA DE LA ZONA</w:t>
      </w:r>
    </w:p>
    <w:p w14:paraId="54DF2159">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Músculo orbicular del ojo: único músculo que cierra el párpado — su tono sostiene la apertura ocular y la forma de la mirada</w:t>
      </w:r>
    </w:p>
    <w:p w14:paraId="5602708C">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Nervio facial rama temporal: inerva el orbicular → su estimulación produce el cierre involuntario</w:t>
      </w:r>
    </w:p>
    <w:p w14:paraId="4FCCA9BB">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Grasa orbitaria: da el volumen del párpado superior — pierde densidad con los años</w:t>
      </w:r>
    </w:p>
    <w:p w14:paraId="1939BF30">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Dermis periorbitaria: extremadamente fina, con muy poca reserva de colágeno</w:t>
      </w:r>
    </w:p>
    <w:p w14:paraId="3C01E99D">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Ligamento cantonal: fija el ángulo externo del ojo — cuando se relaja el ojo parece más pequeño</w:t>
      </w:r>
    </w:p>
    <w:p w14:paraId="334F4CE0">
      <w:pPr>
        <w:spacing w:before="120" w:after="80"/>
      </w:pPr>
    </w:p>
    <w:p w14:paraId="10604350">
      <w:pPr>
        <w:spacing w:before="200" w:after="80"/>
      </w:pPr>
      <w:r>
        <w:rPr>
          <w:rFonts w:ascii="Arial" w:hAnsi="Arial" w:eastAsia="Arial" w:cs="Arial"/>
          <w:b/>
          <w:bCs/>
          <w:color w:val="C6A56B"/>
          <w:sz w:val="19"/>
          <w:szCs w:val="19"/>
        </w:rPr>
        <w:t>QUÉ HACE YADALA EN ESTA ZONA</w:t>
      </w:r>
    </w:p>
    <w:p w14:paraId="3D019BFF">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Activa microcontracciones del orbicular → tonifica el músculo que mantiene abierta y viva la mirada</w:t>
      </w:r>
    </w:p>
    <w:p w14:paraId="6CD751EB">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Estimula fibroblastos en la dermis periorbitaria → síntesis de colágeno en una zona que lo necesita urgentemente</w:t>
      </w:r>
    </w:p>
    <w:p w14:paraId="3EE0E095">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Mejora la microcirculación local → reduce la congestión que genera ojeras y aspecto hinchado</w:t>
      </w:r>
    </w:p>
    <w:p w14:paraId="56F81160">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Acción neurofascial sobre el SMAS periorbitario → efecto lifting del tercio superior</w:t>
      </w:r>
    </w:p>
    <w:p w14:paraId="3179008D">
      <w:pPr>
        <w:spacing w:before="120" w:after="80"/>
      </w:pPr>
    </w:p>
    <w:tbl>
      <w:tblPr>
        <w:tblStyle w:val="9"/>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
        <w:gridCol w:w="4680"/>
        <w:gridCol w:w="4500"/>
        <w:gridCol w:w="180"/>
      </w:tblGrid>
      <w:tr w14:paraId="1F3C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180" w:type="dxa"/>
        </w:trPr>
        <w:tc>
          <w:tcPr>
            <w:tcW w:w="9360" w:type="dxa"/>
            <w:gridSpan w:val="3"/>
            <w:tcBorders>
              <w:top w:val="single" w:color="D4C4A8" w:sz="0" w:space="0"/>
              <w:left w:val="single" w:color="D4C4A8" w:sz="0" w:space="0"/>
              <w:bottom w:val="single" w:color="D4C4A8" w:sz="0" w:space="0"/>
              <w:right w:val="single" w:color="D4C4A8" w:sz="0" w:space="0"/>
            </w:tcBorders>
            <w:shd w:val="clear" w:color="auto" w:fill="F5EFE6"/>
            <w:tcMar>
              <w:top w:w="140" w:type="dxa"/>
              <w:left w:w="240" w:type="dxa"/>
              <w:bottom w:w="140" w:type="dxa"/>
              <w:right w:w="240" w:type="dxa"/>
            </w:tcMar>
          </w:tcPr>
          <w:p w14:paraId="141B3317">
            <w:r>
              <w:rPr>
                <w:rFonts w:ascii="Arial" w:hAnsi="Arial" w:eastAsia="Arial" w:cs="Arial"/>
                <w:b/>
                <w:bCs/>
                <w:i/>
                <w:iCs/>
                <w:color w:val="3E2F2B"/>
                <w:sz w:val="22"/>
                <w:szCs w:val="22"/>
              </w:rPr>
              <w:t>"El guiño espontáneo es la demostración más elocuente de la activación neuromuscular. No lo puede provocar ninguna crema del mercado."</w:t>
            </w:r>
          </w:p>
        </w:tc>
      </w:tr>
      <w:tr w14:paraId="12AD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80" w:type="dxa"/>
        </w:trPr>
        <w:tc>
          <w:tcPr>
            <w:tcW w:w="4680" w:type="dxa"/>
            <w:tcBorders>
              <w:top w:val="nil"/>
              <w:left w:val="nil"/>
              <w:bottom w:val="nil"/>
              <w:right w:val="nil"/>
            </w:tcBorders>
            <w:tcMar>
              <w:top w:w="0" w:type="dxa"/>
              <w:left w:w="60" w:type="dxa"/>
              <w:bottom w:w="0" w:type="dxa"/>
              <w:right w:w="60" w:type="dxa"/>
            </w:tcMar>
          </w:tcPr>
          <w:p w14:paraId="2F028A41">
            <w:pPr>
              <w:jc w:val="both"/>
            </w:pPr>
          </w:p>
          <w:p w14:paraId="30E077D9">
            <w:pPr>
              <w:jc w:val="center"/>
            </w:pPr>
            <w:r>
              <w:rPr>
                <w:rFonts w:hint="default"/>
                <w:lang w:val="es-ES"/>
              </w:rPr>
              <w:drawing>
                <wp:inline distT="0" distB="0" distL="114300" distR="114300">
                  <wp:extent cx="1950720" cy="1463040"/>
                  <wp:effectExtent l="0" t="0" r="3810" b="11430"/>
                  <wp:docPr id="8" name="Picture 8" descr="IMG_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1054"/>
                          <pic:cNvPicPr>
                            <a:picLocks noChangeAspect="1"/>
                          </pic:cNvPicPr>
                        </pic:nvPicPr>
                        <pic:blipFill>
                          <a:blip r:embed="rId4"/>
                          <a:stretch>
                            <a:fillRect/>
                          </a:stretch>
                        </pic:blipFill>
                        <pic:spPr>
                          <a:xfrm rot="5400000">
                            <a:off x="0" y="0"/>
                            <a:ext cx="1950720" cy="1463040"/>
                          </a:xfrm>
                          <a:prstGeom prst="rect">
                            <a:avLst/>
                          </a:prstGeom>
                        </pic:spPr>
                      </pic:pic>
                    </a:graphicData>
                  </a:graphic>
                </wp:inline>
              </w:drawing>
            </w:r>
          </w:p>
          <w:p w14:paraId="62F19628">
            <w:pPr>
              <w:jc w:val="both"/>
            </w:pPr>
          </w:p>
          <w:p w14:paraId="3CACD137">
            <w:pPr>
              <w:spacing w:before="80" w:after="0"/>
              <w:jc w:val="center"/>
            </w:pPr>
            <w:r>
              <w:rPr>
                <w:rFonts w:ascii="Arial" w:hAnsi="Arial" w:eastAsia="Arial" w:cs="Arial"/>
                <w:b/>
                <w:bCs/>
                <w:i/>
                <w:iCs/>
                <w:color w:val="3E2F2B"/>
                <w:sz w:val="18"/>
                <w:szCs w:val="18"/>
              </w:rPr>
              <w:t>IMG_1054 · Guiño involuntario — Zona 10 Párpado Superior</w:t>
            </w:r>
          </w:p>
        </w:tc>
        <w:tc>
          <w:tcPr>
            <w:tcW w:w="4680" w:type="dxa"/>
            <w:gridSpan w:val="2"/>
            <w:tcBorders>
              <w:top w:val="nil"/>
              <w:left w:val="nil"/>
              <w:bottom w:val="nil"/>
              <w:right w:val="nil"/>
            </w:tcBorders>
            <w:tcMar>
              <w:top w:w="0" w:type="dxa"/>
              <w:left w:w="60" w:type="dxa"/>
              <w:bottom w:w="0" w:type="dxa"/>
              <w:right w:w="60" w:type="dxa"/>
            </w:tcMar>
          </w:tcPr>
          <w:p w14:paraId="25DAE14A">
            <w:pPr>
              <w:jc w:val="center"/>
              <w:rPr>
                <w:rFonts w:hint="default"/>
                <w:lang w:val="es-ES"/>
              </w:rPr>
            </w:pPr>
          </w:p>
          <w:p w14:paraId="0C2FDB13">
            <w:pPr>
              <w:jc w:val="center"/>
              <w:rPr>
                <w:rFonts w:hint="default"/>
                <w:lang w:val="es-ES"/>
              </w:rPr>
            </w:pPr>
          </w:p>
          <w:p w14:paraId="33015379">
            <w:pPr>
              <w:jc w:val="center"/>
            </w:pPr>
            <w:r>
              <w:rPr>
                <w:rFonts w:hint="default"/>
                <w:lang w:val="es-ES"/>
              </w:rPr>
              <w:drawing>
                <wp:inline distT="0" distB="0" distL="114300" distR="114300">
                  <wp:extent cx="1950720" cy="1463040"/>
                  <wp:effectExtent l="0" t="0" r="3810" b="11430"/>
                  <wp:docPr id="6" name="Picture 6" descr="IMG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1061"/>
                          <pic:cNvPicPr>
                            <a:picLocks noChangeAspect="1"/>
                          </pic:cNvPicPr>
                        </pic:nvPicPr>
                        <pic:blipFill>
                          <a:blip r:embed="rId5"/>
                          <a:stretch>
                            <a:fillRect/>
                          </a:stretch>
                        </pic:blipFill>
                        <pic:spPr>
                          <a:xfrm rot="5400000">
                            <a:off x="0" y="0"/>
                            <a:ext cx="1950720" cy="1463040"/>
                          </a:xfrm>
                          <a:prstGeom prst="rect">
                            <a:avLst/>
                          </a:prstGeom>
                        </pic:spPr>
                      </pic:pic>
                    </a:graphicData>
                  </a:graphic>
                </wp:inline>
              </w:drawing>
            </w:r>
          </w:p>
          <w:p w14:paraId="0D4C615D">
            <w:pPr>
              <w:spacing w:before="80" w:after="0"/>
              <w:jc w:val="center"/>
            </w:pPr>
            <w:r>
              <w:rPr>
                <w:rFonts w:ascii="Arial" w:hAnsi="Arial" w:eastAsia="Arial" w:cs="Arial"/>
                <w:b/>
                <w:bCs/>
                <w:i/>
                <w:iCs/>
                <w:color w:val="3E2F2B"/>
                <w:sz w:val="18"/>
                <w:szCs w:val="18"/>
              </w:rPr>
              <w:t>IMG_1062 · Sonrisa involuntaria — Zona 04 Mejillas</w:t>
            </w:r>
          </w:p>
        </w:tc>
      </w:tr>
    </w:tbl>
    <w:p w14:paraId="475B4463">
      <w:pPr>
        <w:spacing w:before="3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625D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C6A56B"/>
            <w:tcMar>
              <w:top w:w="160" w:type="dxa"/>
              <w:left w:w="200" w:type="dxa"/>
              <w:bottom w:w="160" w:type="dxa"/>
              <w:right w:w="200" w:type="dxa"/>
            </w:tcMar>
            <w:vAlign w:val="center"/>
          </w:tcPr>
          <w:p w14:paraId="4F3B4F23">
            <w:r>
              <w:br w:type="page"/>
            </w:r>
            <w:r>
              <w:rPr>
                <w:rFonts w:ascii="Arial" w:hAnsi="Arial" w:eastAsia="Arial" w:cs="Arial"/>
                <w:b/>
                <w:bCs/>
                <w:color w:val="FFFFFF"/>
                <w:sz w:val="36"/>
                <w:szCs w:val="36"/>
              </w:rPr>
              <w:t>Z04</w:t>
            </w:r>
          </w:p>
        </w:tc>
        <w:tc>
          <w:tcPr>
            <w:tcW w:w="8160" w:type="dxa"/>
            <w:tcBorders>
              <w:top w:val="nil"/>
              <w:left w:val="nil"/>
              <w:bottom w:val="nil"/>
              <w:right w:val="nil"/>
            </w:tcBorders>
            <w:shd w:val="clear" w:color="auto" w:fill="3E2F2B"/>
            <w:tcMar>
              <w:top w:w="120" w:type="dxa"/>
              <w:left w:w="240" w:type="dxa"/>
              <w:bottom w:w="120" w:type="dxa"/>
              <w:right w:w="240" w:type="dxa"/>
            </w:tcMar>
          </w:tcPr>
          <w:p w14:paraId="51398532">
            <w:r>
              <w:rPr>
                <w:rFonts w:ascii="Arial" w:hAnsi="Arial" w:eastAsia="Arial" w:cs="Arial"/>
                <w:b/>
                <w:bCs/>
                <w:color w:val="FFFFFF"/>
                <w:sz w:val="26"/>
                <w:szCs w:val="26"/>
              </w:rPr>
              <w:t>MEJILLAS Y PÓMULOS</w:t>
            </w:r>
          </w:p>
          <w:p w14:paraId="788C44B0">
            <w:pPr>
              <w:spacing w:before="40" w:after="0"/>
            </w:pPr>
            <w:r>
              <w:rPr>
                <w:rFonts w:ascii="Arial" w:hAnsi="Arial" w:eastAsia="Arial" w:cs="Arial"/>
                <w:i/>
                <w:iCs/>
                <w:color w:val="C6A56B"/>
                <w:sz w:val="18"/>
                <w:szCs w:val="18"/>
              </w:rPr>
              <w:t>Cigomático mayor y menor (Zygomaticus major et minor)  ·  Línea RECLAIM · RECOVER</w:t>
            </w:r>
          </w:p>
        </w:tc>
      </w:tr>
    </w:tbl>
    <w:p w14:paraId="128FE44B">
      <w:pPr>
        <w:spacing w:before="120" w:after="80"/>
      </w:pPr>
    </w:p>
    <w:p w14:paraId="254AB93F">
      <w:pPr>
        <w:spacing w:before="200" w:after="80"/>
      </w:pPr>
      <w:r>
        <w:rPr>
          <w:rFonts w:ascii="Arial" w:hAnsi="Arial" w:eastAsia="Arial" w:cs="Arial"/>
          <w:b/>
          <w:bCs/>
          <w:color w:val="C6A56B"/>
          <w:sz w:val="19"/>
          <w:szCs w:val="19"/>
        </w:rPr>
        <w:t>QUÉ SE OBSERVA EN LA FOTO IMG_1062</w:t>
      </w:r>
    </w:p>
    <w:p w14:paraId="6623FBED">
      <w:pPr>
        <w:spacing w:before="80" w:after="80"/>
      </w:pPr>
      <w:r>
        <w:rPr>
          <w:rFonts w:ascii="Arial" w:hAnsi="Arial" w:eastAsia="Arial" w:cs="Arial"/>
          <w:b w:val="0"/>
          <w:bCs w:val="0"/>
          <w:color w:val="3E2F2B"/>
          <w:sz w:val="21"/>
          <w:szCs w:val="21"/>
        </w:rPr>
        <w:t>Esta es la foto más reveladora de la sesión. El cigomático mayor derecho está claramente elevando la comisura derecha hacia arriba y hacia afuera — el arco exacto de una sonrisa. La comisura derecha está notablemente más elevada que la izquierda, lo que evidencia la asimetría natural de la activación neuromuscular en ese momento.</w:t>
      </w:r>
    </w:p>
    <w:p w14:paraId="22D9DCC2">
      <w:pPr>
        <w:spacing w:before="80" w:after="80"/>
      </w:pPr>
    </w:p>
    <w:p w14:paraId="7254C160">
      <w:pPr>
        <w:spacing w:before="200" w:after="80"/>
      </w:pPr>
      <w:r>
        <w:rPr>
          <w:rFonts w:ascii="Arial" w:hAnsi="Arial" w:eastAsia="Arial" w:cs="Arial"/>
          <w:b/>
          <w:bCs/>
          <w:color w:val="C6A56B"/>
          <w:sz w:val="19"/>
          <w:szCs w:val="19"/>
        </w:rPr>
        <w:t>EL MÚSCULO DETRÁS DE LA SONRISA</w:t>
      </w:r>
    </w:p>
    <w:p w14:paraId="5B0BD012">
      <w:pPr>
        <w:spacing w:before="80" w:after="80"/>
      </w:pPr>
      <w:r>
        <w:rPr>
          <w:rFonts w:ascii="Arial" w:hAnsi="Arial" w:eastAsia="Arial" w:cs="Arial"/>
          <w:b w:val="0"/>
          <w:bCs w:val="0"/>
          <w:color w:val="3E2F2B"/>
          <w:sz w:val="21"/>
          <w:szCs w:val="21"/>
        </w:rPr>
        <w:t>El cigomático mayor va desde el hueso malar (el pómulo) hasta la comisura labial. Es el músculo más expresivo del tercio medio del rostro — el que dibuja la sonrisa. Su compañero, el cigomático menor, eleva el labio superior para completar la expresión.</w:t>
      </w:r>
    </w:p>
    <w:p w14:paraId="53581DDB">
      <w:pPr>
        <w:spacing w:before="80" w:after="80"/>
      </w:pPr>
    </w:p>
    <w:p w14:paraId="5380B120">
      <w:pPr>
        <w:spacing w:before="80" w:after="80"/>
      </w:pPr>
      <w:r>
        <w:rPr>
          <w:rFonts w:ascii="Arial" w:hAnsi="Arial" w:eastAsia="Arial" w:cs="Arial"/>
          <w:b w:val="0"/>
          <w:bCs w:val="0"/>
          <w:color w:val="3E2F2B"/>
          <w:sz w:val="21"/>
          <w:szCs w:val="21"/>
        </w:rPr>
        <w:t>Cuando estos músculos pierden tono con los años, los pómulos pierden proyección, las mejillas caen y el surco nasogeniano se marca. Yadala los reactiva sin botox, sin relleno, sin cirugía.</w:t>
      </w:r>
    </w:p>
    <w:p w14:paraId="3DB468BA">
      <w:pPr>
        <w:spacing w:before="120" w:after="80"/>
      </w:pPr>
    </w:p>
    <w:p w14:paraId="5ECDD13E">
      <w:pPr>
        <w:spacing w:before="200" w:after="80"/>
      </w:pPr>
      <w:r>
        <w:rPr>
          <w:rFonts w:ascii="Arial" w:hAnsi="Arial" w:eastAsia="Arial" w:cs="Arial"/>
          <w:b/>
          <w:bCs/>
          <w:color w:val="C6A56B"/>
          <w:sz w:val="19"/>
          <w:szCs w:val="19"/>
        </w:rPr>
        <w:t>LA SECUENCIA BIOLÓGICA COMPLETA QUE PROVOCA LA SONRISA</w:t>
      </w:r>
    </w:p>
    <w:p w14:paraId="3F0FADD4">
      <w:pPr>
        <w:spacing w:before="50" w:after="50"/>
        <w:ind w:left="360" w:hanging="240"/>
      </w:pPr>
      <w:r>
        <w:rPr>
          <w:rFonts w:ascii="Arial" w:hAnsi="Arial" w:eastAsia="Arial" w:cs="Arial"/>
          <w:b/>
          <w:bCs/>
          <w:color w:val="C6A56B"/>
          <w:sz w:val="20"/>
          <w:szCs w:val="20"/>
        </w:rPr>
        <w:t xml:space="preserve">1.  </w:t>
      </w:r>
      <w:r>
        <w:rPr>
          <w:rFonts w:ascii="Arial" w:hAnsi="Arial" w:eastAsia="Arial" w:cs="Arial"/>
          <w:color w:val="3E2F2B"/>
          <w:sz w:val="20"/>
          <w:szCs w:val="20"/>
        </w:rPr>
        <w:t>Los activos penetran en la dermis del tercio medio</w:t>
      </w:r>
    </w:p>
    <w:p w14:paraId="694185E9">
      <w:pPr>
        <w:spacing w:before="50" w:after="50"/>
        <w:ind w:left="360" w:hanging="240"/>
      </w:pPr>
      <w:r>
        <w:rPr>
          <w:rFonts w:ascii="Arial" w:hAnsi="Arial" w:eastAsia="Arial" w:cs="Arial"/>
          <w:b/>
          <w:bCs/>
          <w:color w:val="C6A56B"/>
          <w:sz w:val="20"/>
          <w:szCs w:val="20"/>
        </w:rPr>
        <w:t xml:space="preserve">2.  </w:t>
      </w:r>
      <w:r>
        <w:rPr>
          <w:rFonts w:ascii="Arial" w:hAnsi="Arial" w:eastAsia="Arial" w:cs="Arial"/>
          <w:color w:val="3E2F2B"/>
          <w:sz w:val="20"/>
          <w:szCs w:val="20"/>
        </w:rPr>
        <w:t>Estimulan las terminaciones nerviosas del SNP bajo el SMAS</w:t>
      </w:r>
    </w:p>
    <w:p w14:paraId="0C54DC3F">
      <w:pPr>
        <w:spacing w:before="50" w:after="50"/>
        <w:ind w:left="360" w:hanging="240"/>
      </w:pPr>
      <w:r>
        <w:rPr>
          <w:rFonts w:ascii="Arial" w:hAnsi="Arial" w:eastAsia="Arial" w:cs="Arial"/>
          <w:b/>
          <w:bCs/>
          <w:color w:val="C6A56B"/>
          <w:sz w:val="20"/>
          <w:szCs w:val="20"/>
        </w:rPr>
        <w:t xml:space="preserve">3.  </w:t>
      </w:r>
      <w:r>
        <w:rPr>
          <w:rFonts w:ascii="Arial" w:hAnsi="Arial" w:eastAsia="Arial" w:cs="Arial"/>
          <w:color w:val="3E2F2B"/>
          <w:sz w:val="20"/>
          <w:szCs w:val="20"/>
        </w:rPr>
        <w:t>La señal viaja al cigomático mayor y menor</w:t>
      </w:r>
    </w:p>
    <w:p w14:paraId="6AA519CF">
      <w:pPr>
        <w:spacing w:before="50" w:after="50"/>
        <w:ind w:left="360" w:hanging="240"/>
      </w:pPr>
      <w:r>
        <w:rPr>
          <w:rFonts w:ascii="Arial" w:hAnsi="Arial" w:eastAsia="Arial" w:cs="Arial"/>
          <w:b/>
          <w:bCs/>
          <w:color w:val="C6A56B"/>
          <w:sz w:val="20"/>
          <w:szCs w:val="20"/>
        </w:rPr>
        <w:t xml:space="preserve">4.  </w:t>
      </w:r>
      <w:r>
        <w:rPr>
          <w:rFonts w:ascii="Arial" w:hAnsi="Arial" w:eastAsia="Arial" w:cs="Arial"/>
          <w:color w:val="3E2F2B"/>
          <w:sz w:val="20"/>
          <w:szCs w:val="20"/>
        </w:rPr>
        <w:t>Se producen microcontracciones involuntarias → la comisura sube sola</w:t>
      </w:r>
    </w:p>
    <w:p w14:paraId="6F299B81">
      <w:pPr>
        <w:spacing w:before="50" w:after="50"/>
        <w:ind w:left="360" w:hanging="240"/>
      </w:pPr>
      <w:r>
        <w:rPr>
          <w:rFonts w:ascii="Arial" w:hAnsi="Arial" w:eastAsia="Arial" w:cs="Arial"/>
          <w:b/>
          <w:bCs/>
          <w:color w:val="C6A56B"/>
          <w:sz w:val="20"/>
          <w:szCs w:val="20"/>
        </w:rPr>
        <w:t xml:space="preserve">5.  </w:t>
      </w:r>
      <w:r>
        <w:rPr>
          <w:rFonts w:ascii="Arial" w:hAnsi="Arial" w:eastAsia="Arial" w:cs="Arial"/>
          <w:color w:val="3E2F2B"/>
          <w:sz w:val="20"/>
          <w:szCs w:val="20"/>
        </w:rPr>
        <w:t>La hiperemia simultánea oxigena el tejido malar profundamente</w:t>
      </w:r>
    </w:p>
    <w:p w14:paraId="607EDA12">
      <w:pPr>
        <w:spacing w:before="50" w:after="50"/>
        <w:ind w:left="360" w:hanging="240"/>
      </w:pPr>
      <w:r>
        <w:rPr>
          <w:rFonts w:ascii="Arial" w:hAnsi="Arial" w:eastAsia="Arial" w:cs="Arial"/>
          <w:b/>
          <w:bCs/>
          <w:color w:val="C6A56B"/>
          <w:sz w:val="20"/>
          <w:szCs w:val="20"/>
        </w:rPr>
        <w:t xml:space="preserve">6.  </w:t>
      </w:r>
      <w:r>
        <w:rPr>
          <w:rFonts w:ascii="Arial" w:hAnsi="Arial" w:eastAsia="Arial" w:cs="Arial"/>
          <w:color w:val="3E2F2B"/>
          <w:sz w:val="20"/>
          <w:szCs w:val="20"/>
        </w:rPr>
        <w:t>Los fibroblastos se reactivan → colágeno tipo I y III + GAGs en la dermis malar</w:t>
      </w:r>
    </w:p>
    <w:p w14:paraId="65AE325C">
      <w:pPr>
        <w:spacing w:before="50" w:after="50"/>
        <w:ind w:left="360" w:hanging="240"/>
      </w:pPr>
      <w:r>
        <w:rPr>
          <w:rFonts w:ascii="Arial" w:hAnsi="Arial" w:eastAsia="Arial" w:cs="Arial"/>
          <w:b/>
          <w:bCs/>
          <w:color w:val="C6A56B"/>
          <w:sz w:val="20"/>
          <w:szCs w:val="20"/>
        </w:rPr>
        <w:t xml:space="preserve">7.  </w:t>
      </w:r>
      <w:r>
        <w:rPr>
          <w:rFonts w:ascii="Arial" w:hAnsi="Arial" w:eastAsia="Arial" w:cs="Arial"/>
          <w:color w:val="3E2F2B"/>
          <w:sz w:val="20"/>
          <w:szCs w:val="20"/>
        </w:rPr>
        <w:t>El SMAS recupera tensión → lifting biológico del tercio medio visible</w:t>
      </w:r>
    </w:p>
    <w:p w14:paraId="5EE3C77F">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FD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C4A8" w:sz="0" w:space="0"/>
              <w:left w:val="single" w:color="D4C4A8" w:sz="0" w:space="0"/>
              <w:bottom w:val="single" w:color="D4C4A8" w:sz="0" w:space="0"/>
              <w:right w:val="single" w:color="D4C4A8" w:sz="0" w:space="0"/>
            </w:tcBorders>
            <w:shd w:val="clear" w:color="auto" w:fill="F5EFE6"/>
            <w:tcMar>
              <w:top w:w="140" w:type="dxa"/>
              <w:left w:w="240" w:type="dxa"/>
              <w:bottom w:w="140" w:type="dxa"/>
              <w:right w:w="240" w:type="dxa"/>
            </w:tcMar>
          </w:tcPr>
          <w:p w14:paraId="1C584A96">
            <w:r>
              <w:rPr>
                <w:rFonts w:ascii="Arial" w:hAnsi="Arial" w:eastAsia="Arial" w:cs="Arial"/>
                <w:b/>
                <w:bCs/>
                <w:i/>
                <w:iCs/>
                <w:color w:val="3E2F2B"/>
                <w:sz w:val="22"/>
                <w:szCs w:val="22"/>
              </w:rPr>
              <w:t>"La clienta no puede fingirlo. No es que le digas 'sonríe'. Es que su cigomático mayor se mueve solo. En cosmética tópica, esto es extraordinariamente raro — y es el diferenciador más honesto de Yadala."</w:t>
            </w:r>
          </w:p>
        </w:tc>
      </w:tr>
    </w:tbl>
    <w:tbl>
      <w:tblPr>
        <w:tblStyle w:val="9"/>
        <w:tblpPr w:leftFromText="180" w:rightFromText="180" w:vertAnchor="text" w:horzAnchor="page" w:tblpX="1132" w:tblpY="462"/>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D44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Mar>
              <w:top w:w="0" w:type="dxa"/>
              <w:left w:w="60" w:type="dxa"/>
              <w:bottom w:w="0" w:type="dxa"/>
              <w:right w:w="60" w:type="dxa"/>
            </w:tcMar>
          </w:tcPr>
          <w:p w14:paraId="09768DFF">
            <w:pPr>
              <w:jc w:val="center"/>
            </w:pPr>
          </w:p>
          <w:p w14:paraId="4963B8CC">
            <w:pPr>
              <w:spacing w:before="80" w:after="0"/>
              <w:jc w:val="center"/>
              <w:rPr>
                <w:rFonts w:ascii="Arial" w:hAnsi="Arial" w:eastAsia="Arial" w:cs="Arial"/>
                <w:b/>
                <w:bCs/>
                <w:i/>
                <w:iCs/>
                <w:color w:val="3E2F2B"/>
                <w:sz w:val="18"/>
                <w:szCs w:val="18"/>
              </w:rPr>
            </w:pPr>
          </w:p>
          <w:p w14:paraId="4787AEAD">
            <w:pPr>
              <w:spacing w:before="80" w:after="0"/>
              <w:jc w:val="center"/>
              <w:rPr>
                <w:rFonts w:hint="default"/>
                <w:lang w:val="es-ES"/>
              </w:rPr>
            </w:pPr>
            <w:r>
              <w:rPr>
                <w:rFonts w:hint="default"/>
                <w:lang w:val="es-ES"/>
              </w:rPr>
              <w:drawing>
                <wp:inline distT="0" distB="0" distL="114300" distR="114300">
                  <wp:extent cx="1950720" cy="1463040"/>
                  <wp:effectExtent l="0" t="0" r="3810" b="11430"/>
                  <wp:docPr id="9" name="Picture 9" descr="IMG_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1054"/>
                          <pic:cNvPicPr>
                            <a:picLocks noChangeAspect="1"/>
                          </pic:cNvPicPr>
                        </pic:nvPicPr>
                        <pic:blipFill>
                          <a:blip r:embed="rId4"/>
                          <a:stretch>
                            <a:fillRect/>
                          </a:stretch>
                        </pic:blipFill>
                        <pic:spPr>
                          <a:xfrm rot="5400000">
                            <a:off x="0" y="0"/>
                            <a:ext cx="1950720" cy="1463040"/>
                          </a:xfrm>
                          <a:prstGeom prst="rect">
                            <a:avLst/>
                          </a:prstGeom>
                        </pic:spPr>
                      </pic:pic>
                    </a:graphicData>
                  </a:graphic>
                </wp:inline>
              </w:drawing>
            </w:r>
          </w:p>
          <w:p w14:paraId="5013189B">
            <w:pPr>
              <w:spacing w:before="80" w:after="0"/>
              <w:jc w:val="center"/>
              <w:rPr>
                <w:rFonts w:hint="default"/>
                <w:lang w:val="es-ES"/>
              </w:rPr>
            </w:pPr>
          </w:p>
          <w:p w14:paraId="5B2020D1">
            <w:pPr>
              <w:spacing w:before="80" w:after="0"/>
              <w:jc w:val="center"/>
            </w:pPr>
            <w:r>
              <w:rPr>
                <w:rFonts w:ascii="Arial" w:hAnsi="Arial" w:eastAsia="Arial" w:cs="Arial"/>
                <w:b/>
                <w:bCs/>
                <w:i/>
                <w:iCs/>
                <w:color w:val="3E2F2B"/>
                <w:sz w:val="18"/>
                <w:szCs w:val="18"/>
              </w:rPr>
              <w:t>Contracción orbicular y mentalis — Zonas 08 y 09</w:t>
            </w:r>
          </w:p>
        </w:tc>
        <w:tc>
          <w:tcPr>
            <w:tcW w:w="4680" w:type="dxa"/>
            <w:tcBorders>
              <w:top w:val="nil"/>
              <w:left w:val="nil"/>
              <w:bottom w:val="nil"/>
              <w:right w:val="nil"/>
            </w:tcBorders>
            <w:tcMar>
              <w:top w:w="0" w:type="dxa"/>
              <w:left w:w="60" w:type="dxa"/>
              <w:bottom w:w="0" w:type="dxa"/>
              <w:right w:w="60" w:type="dxa"/>
            </w:tcMar>
          </w:tcPr>
          <w:p w14:paraId="4D59FF94">
            <w:pPr>
              <w:spacing w:before="80" w:after="0"/>
              <w:jc w:val="both"/>
              <w:rPr>
                <w:rFonts w:hint="default" w:ascii="Arial" w:hAnsi="Arial" w:eastAsia="Arial" w:cs="Arial"/>
                <w:b/>
                <w:bCs/>
                <w:i/>
                <w:iCs/>
                <w:color w:val="3E2F2B"/>
                <w:sz w:val="18"/>
                <w:szCs w:val="18"/>
                <w:lang w:val="es-ES"/>
              </w:rPr>
            </w:pPr>
          </w:p>
          <w:p w14:paraId="31A11F12">
            <w:pPr>
              <w:spacing w:before="80" w:after="0"/>
              <w:jc w:val="center"/>
              <w:rPr>
                <w:rFonts w:hint="default"/>
                <w:lang w:val="es-ES"/>
              </w:rPr>
            </w:pPr>
          </w:p>
          <w:p w14:paraId="2D068CFE">
            <w:pPr>
              <w:spacing w:before="80" w:after="0"/>
              <w:jc w:val="center"/>
              <w:rPr>
                <w:rFonts w:ascii="Arial" w:hAnsi="Arial" w:eastAsia="Arial" w:cs="Arial"/>
                <w:b/>
                <w:bCs/>
                <w:i/>
                <w:iCs/>
                <w:color w:val="3E2F2B"/>
                <w:sz w:val="18"/>
                <w:szCs w:val="18"/>
              </w:rPr>
            </w:pPr>
            <w:r>
              <w:rPr>
                <w:rFonts w:hint="default"/>
                <w:lang w:val="es-ES"/>
              </w:rPr>
              <w:drawing>
                <wp:inline distT="0" distB="0" distL="114300" distR="114300">
                  <wp:extent cx="1950720" cy="1463040"/>
                  <wp:effectExtent l="0" t="0" r="3810" b="11430"/>
                  <wp:docPr id="7" name="Picture 7" descr="IMG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1058"/>
                          <pic:cNvPicPr>
                            <a:picLocks noChangeAspect="1"/>
                          </pic:cNvPicPr>
                        </pic:nvPicPr>
                        <pic:blipFill>
                          <a:blip r:embed="rId6"/>
                          <a:stretch>
                            <a:fillRect/>
                          </a:stretch>
                        </pic:blipFill>
                        <pic:spPr>
                          <a:xfrm rot="5400000">
                            <a:off x="0" y="0"/>
                            <a:ext cx="1950720" cy="1463040"/>
                          </a:xfrm>
                          <a:prstGeom prst="rect">
                            <a:avLst/>
                          </a:prstGeom>
                        </pic:spPr>
                      </pic:pic>
                    </a:graphicData>
                  </a:graphic>
                </wp:inline>
              </w:drawing>
            </w:r>
          </w:p>
          <w:p w14:paraId="54A602F3">
            <w:pPr>
              <w:spacing w:before="80" w:after="0"/>
              <w:jc w:val="center"/>
              <w:rPr>
                <w:rFonts w:ascii="Arial" w:hAnsi="Arial" w:eastAsia="Arial" w:cs="Arial"/>
                <w:b/>
                <w:bCs/>
                <w:i/>
                <w:iCs/>
                <w:color w:val="3E2F2B"/>
                <w:sz w:val="18"/>
                <w:szCs w:val="18"/>
              </w:rPr>
            </w:pPr>
          </w:p>
          <w:p w14:paraId="0225C742">
            <w:pPr>
              <w:spacing w:before="80" w:after="0"/>
              <w:jc w:val="center"/>
            </w:pPr>
            <w:r>
              <w:rPr>
                <w:rFonts w:ascii="Arial" w:hAnsi="Arial" w:eastAsia="Arial" w:cs="Arial"/>
                <w:b/>
                <w:bCs/>
                <w:i/>
                <w:iCs/>
                <w:color w:val="3E2F2B"/>
                <w:sz w:val="18"/>
                <w:szCs w:val="18"/>
              </w:rPr>
              <w:t>Apertura labial involuntaria — Zonas 01 y 08</w:t>
            </w:r>
          </w:p>
        </w:tc>
      </w:tr>
    </w:tbl>
    <w:p w14:paraId="12FD45FA">
      <w:pPr>
        <w:spacing w:before="20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041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C6A56B"/>
            <w:tcMar>
              <w:top w:w="160" w:type="dxa"/>
              <w:left w:w="200" w:type="dxa"/>
              <w:bottom w:w="160" w:type="dxa"/>
              <w:right w:w="200" w:type="dxa"/>
            </w:tcMar>
            <w:vAlign w:val="center"/>
          </w:tcPr>
          <w:p w14:paraId="053C8FA6">
            <w:pPr>
              <w:jc w:val="center"/>
            </w:pPr>
            <w:r>
              <w:rPr>
                <w:rFonts w:ascii="Arial" w:hAnsi="Arial" w:eastAsia="Arial" w:cs="Arial"/>
                <w:b/>
                <w:bCs/>
                <w:color w:val="FFFFFF"/>
                <w:sz w:val="36"/>
                <w:szCs w:val="36"/>
              </w:rPr>
              <w:t>Z08</w:t>
            </w:r>
          </w:p>
        </w:tc>
        <w:tc>
          <w:tcPr>
            <w:tcW w:w="8160" w:type="dxa"/>
            <w:tcBorders>
              <w:top w:val="nil"/>
              <w:left w:val="nil"/>
              <w:bottom w:val="nil"/>
              <w:right w:val="nil"/>
            </w:tcBorders>
            <w:shd w:val="clear" w:color="auto" w:fill="3E2F2B"/>
            <w:tcMar>
              <w:top w:w="120" w:type="dxa"/>
              <w:left w:w="240" w:type="dxa"/>
              <w:bottom w:w="120" w:type="dxa"/>
              <w:right w:w="240" w:type="dxa"/>
            </w:tcMar>
          </w:tcPr>
          <w:p w14:paraId="5C0D096F">
            <w:r>
              <w:rPr>
                <w:rFonts w:ascii="Arial" w:hAnsi="Arial" w:eastAsia="Arial" w:cs="Arial"/>
                <w:b/>
                <w:bCs/>
                <w:color w:val="FFFFFF"/>
                <w:sz w:val="26"/>
                <w:szCs w:val="26"/>
              </w:rPr>
              <w:t>LABIOS Y CONTORNO PERIBUCAL</w:t>
            </w:r>
          </w:p>
          <w:p w14:paraId="75E2B194">
            <w:pPr>
              <w:spacing w:before="40" w:after="0"/>
            </w:pPr>
            <w:r>
              <w:rPr>
                <w:rFonts w:ascii="Arial" w:hAnsi="Arial" w:eastAsia="Arial" w:cs="Arial"/>
                <w:i/>
                <w:iCs/>
                <w:color w:val="C6A56B"/>
                <w:sz w:val="18"/>
                <w:szCs w:val="18"/>
              </w:rPr>
              <w:t>Orbicular de los labios (Orbicularis oris) + Mentalis  ·  Línea RECLAIM · RECOVER</w:t>
            </w:r>
          </w:p>
        </w:tc>
      </w:tr>
    </w:tbl>
    <w:p w14:paraId="61BE7CB6">
      <w:pPr>
        <w:spacing w:before="120" w:after="80"/>
        <w:rPr>
          <w:rFonts w:hint="default"/>
          <w:lang w:val="es-ES"/>
        </w:rPr>
      </w:pPr>
      <w:r>
        <w:rPr>
          <w:rFonts w:hint="default"/>
          <w:lang w:val="es-ES"/>
        </w:rPr>
        <w:t xml:space="preserve">                                                                           </w:t>
      </w:r>
    </w:p>
    <w:p w14:paraId="3117B00B">
      <w:pPr>
        <w:spacing w:before="200" w:after="80"/>
        <w:rPr>
          <w:rFonts w:ascii="Arial" w:hAnsi="Arial" w:eastAsia="Arial" w:cs="Arial"/>
          <w:b/>
          <w:bCs/>
          <w:color w:val="C6A56B"/>
          <w:sz w:val="19"/>
          <w:szCs w:val="19"/>
        </w:rPr>
      </w:pPr>
      <w:r>
        <w:rPr>
          <w:rFonts w:hint="default"/>
          <w:lang w:val="es-ES"/>
        </w:rPr>
        <w:drawing>
          <wp:inline distT="0" distB="0" distL="114300" distR="114300">
            <wp:extent cx="1950720" cy="1463040"/>
            <wp:effectExtent l="0" t="0" r="3810" b="11430"/>
            <wp:docPr id="10" name="Picture 10" descr="IMG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1058"/>
                    <pic:cNvPicPr>
                      <a:picLocks noChangeAspect="1"/>
                    </pic:cNvPicPr>
                  </pic:nvPicPr>
                  <pic:blipFill>
                    <a:blip r:embed="rId6"/>
                    <a:stretch>
                      <a:fillRect/>
                    </a:stretch>
                  </pic:blipFill>
                  <pic:spPr>
                    <a:xfrm rot="5400000">
                      <a:off x="0" y="0"/>
                      <a:ext cx="1950720" cy="1463040"/>
                    </a:xfrm>
                    <a:prstGeom prst="rect">
                      <a:avLst/>
                    </a:prstGeom>
                  </pic:spPr>
                </pic:pic>
              </a:graphicData>
            </a:graphic>
          </wp:inline>
        </w:drawing>
      </w:r>
      <w:r>
        <w:rPr>
          <w:rFonts w:hint="default"/>
          <w:lang w:val="es-ES"/>
        </w:rPr>
        <w:t xml:space="preserve">                                                                             </w:t>
      </w:r>
      <w:r>
        <w:rPr>
          <w:rFonts w:hint="default"/>
          <w:lang w:val="es-ES"/>
        </w:rPr>
        <w:drawing>
          <wp:inline distT="0" distB="0" distL="114300" distR="114300">
            <wp:extent cx="1950720" cy="1463040"/>
            <wp:effectExtent l="0" t="0" r="3810" b="11430"/>
            <wp:docPr id="11" name="Picture 11" descr="IMG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1061"/>
                    <pic:cNvPicPr>
                      <a:picLocks noChangeAspect="1"/>
                    </pic:cNvPicPr>
                  </pic:nvPicPr>
                  <pic:blipFill>
                    <a:blip r:embed="rId5"/>
                    <a:stretch>
                      <a:fillRect/>
                    </a:stretch>
                  </pic:blipFill>
                  <pic:spPr>
                    <a:xfrm rot="5400000">
                      <a:off x="0" y="0"/>
                      <a:ext cx="1950720" cy="1463040"/>
                    </a:xfrm>
                    <a:prstGeom prst="rect">
                      <a:avLst/>
                    </a:prstGeom>
                  </pic:spPr>
                </pic:pic>
              </a:graphicData>
            </a:graphic>
          </wp:inline>
        </w:drawing>
      </w:r>
    </w:p>
    <w:p w14:paraId="0CBCBFA4">
      <w:pPr>
        <w:spacing w:before="200" w:after="80"/>
        <w:rPr>
          <w:rFonts w:ascii="Arial" w:hAnsi="Arial" w:eastAsia="Arial" w:cs="Arial"/>
          <w:b/>
          <w:bCs/>
          <w:color w:val="C6A56B"/>
          <w:sz w:val="19"/>
          <w:szCs w:val="19"/>
        </w:rPr>
      </w:pPr>
      <w:bookmarkStart w:id="0" w:name="_GoBack"/>
      <w:bookmarkEnd w:id="0"/>
    </w:p>
    <w:p w14:paraId="17B393F3">
      <w:pPr>
        <w:spacing w:before="200" w:after="80"/>
      </w:pPr>
      <w:r>
        <w:rPr>
          <w:rFonts w:ascii="Arial" w:hAnsi="Arial" w:eastAsia="Arial" w:cs="Arial"/>
          <w:b/>
          <w:bCs/>
          <w:color w:val="C6A56B"/>
          <w:sz w:val="19"/>
          <w:szCs w:val="19"/>
        </w:rPr>
        <w:t>QUÉ SE OBSERVA EN LAS FOTOS IMG_1058 E IMG_1061</w:t>
      </w:r>
    </w:p>
    <w:p w14:paraId="14AB1E3C">
      <w:pPr>
        <w:spacing w:before="80" w:after="80"/>
      </w:pPr>
      <w:r>
        <w:rPr>
          <w:rFonts w:ascii="Arial" w:hAnsi="Arial" w:eastAsia="Arial" w:cs="Arial"/>
          <w:b w:val="0"/>
          <w:bCs w:val="0"/>
          <w:color w:val="3E2F2B"/>
          <w:sz w:val="21"/>
          <w:szCs w:val="21"/>
        </w:rPr>
        <w:t>En ambas fotos se aprecia la boca entreabierta de forma involuntaria, con el labio inferior activo y el mentón ligeramente elevado. Dos fuerzas musculares trabajan simultáneamente y en direcciones opuestas: el orbicular de los labios se contrae hacia dentro, y el mentalis (músculo del mentón) empuja el labio inferior hacia arriba y afuera.</w:t>
      </w:r>
    </w:p>
    <w:p w14:paraId="5F99BB50">
      <w:pPr>
        <w:spacing w:before="80" w:after="80"/>
      </w:pPr>
    </w:p>
    <w:p w14:paraId="716A7604">
      <w:pPr>
        <w:spacing w:before="80" w:after="80"/>
      </w:pPr>
      <w:r>
        <w:rPr>
          <w:rFonts w:ascii="Arial" w:hAnsi="Arial" w:eastAsia="Arial" w:cs="Arial"/>
          <w:b w:val="0"/>
          <w:bCs w:val="0"/>
          <w:color w:val="3E2F2B"/>
          <w:sz w:val="21"/>
          <w:szCs w:val="21"/>
        </w:rPr>
        <w:t>El resultado visible es la apertura involuntaria de la boca — la mandíbula desciende ligeramente no por relajación sino porque el orbicular está tirando en dirección contraria al mentalis. Esta dinámica muscular es exactamente la que Yadala busca reactivar.</w:t>
      </w:r>
    </w:p>
    <w:p w14:paraId="10BB0F27">
      <w:pPr>
        <w:spacing w:before="120" w:after="80"/>
      </w:pPr>
    </w:p>
    <w:p w14:paraId="2CEC8FF5">
      <w:pPr>
        <w:spacing w:before="200" w:after="80"/>
      </w:pPr>
      <w:r>
        <w:rPr>
          <w:rFonts w:ascii="Arial" w:hAnsi="Arial" w:eastAsia="Arial" w:cs="Arial"/>
          <w:b/>
          <w:bCs/>
          <w:color w:val="C6A56B"/>
          <w:sz w:val="19"/>
          <w:szCs w:val="19"/>
        </w:rPr>
        <w:t>ANATOMÍA DE LA ZONA</w:t>
      </w:r>
    </w:p>
    <w:p w14:paraId="379B5729">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Orbicular de los labios: el único músculo facial sin inserción ósea directa — trabaja en suspensión, rodeando completamente la boca como un esfínter</w:t>
      </w:r>
    </w:p>
    <w:p w14:paraId="762CF36A">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Mentalis: eleva y frunce el mentón, afecta al labio inferior y al surco mentoniano</w:t>
      </w:r>
    </w:p>
    <w:p w14:paraId="33121880">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Bermellón labial: el borde rojizo del labio — pierde definición con la pérdida de tono del orbicular</w:t>
      </w:r>
    </w:p>
    <w:p w14:paraId="5BC30365">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Dermis peribucal: extremadamente fina y sin glándulas sebáceas → especialmente vulnerable a la deshidratación y a las líneas de 'código de barras'</w:t>
      </w:r>
    </w:p>
    <w:p w14:paraId="6737FB5F">
      <w:pPr>
        <w:spacing w:before="120" w:after="80"/>
      </w:pPr>
    </w:p>
    <w:p w14:paraId="6D3882EA">
      <w:pPr>
        <w:spacing w:before="200" w:after="80"/>
      </w:pPr>
      <w:r>
        <w:rPr>
          <w:rFonts w:ascii="Arial" w:hAnsi="Arial" w:eastAsia="Arial" w:cs="Arial"/>
          <w:b/>
          <w:bCs/>
          <w:color w:val="C6A56B"/>
          <w:sz w:val="19"/>
          <w:szCs w:val="19"/>
        </w:rPr>
        <w:t>QUÉ HACE YADALA EN ESTA ZONA</w:t>
      </w:r>
    </w:p>
    <w:p w14:paraId="50E6421F">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Activa microcontracciones en el orbicular → recupera proyección y tono labial natural sin relleno</w:t>
      </w:r>
    </w:p>
    <w:p w14:paraId="10DA4DB9">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Estimula fibroblastos en la dermis ultrafina peribucal → las líneas verticales del 'código de barras' pierden profundidad</w:t>
      </w:r>
    </w:p>
    <w:p w14:paraId="3C680A4E">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Reequilibra la tensión entre orbicular y mentalis → labio inferior más definido y menos caído</w:t>
      </w:r>
    </w:p>
    <w:p w14:paraId="1845CC01">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Mejora la microcirculación peribucal → labios con más color y vitalidad</w:t>
      </w:r>
    </w:p>
    <w:p w14:paraId="281F0108">
      <w:pPr>
        <w:spacing w:before="200" w:after="120"/>
      </w:pPr>
    </w:p>
    <w:p w14:paraId="018CDDE9">
      <w:pPr>
        <w:spacing w:before="200" w:after="120"/>
      </w:pPr>
    </w:p>
    <w:p w14:paraId="44FA8AD4">
      <w:pPr>
        <w:spacing w:before="200" w:after="120"/>
      </w:pPr>
    </w:p>
    <w:p w14:paraId="16919687">
      <w:pPr>
        <w:spacing w:before="200" w:after="120"/>
      </w:pPr>
    </w:p>
    <w:p w14:paraId="51C80C7E">
      <w:pPr>
        <w:spacing w:before="20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3DCC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C6A56B"/>
            <w:tcMar>
              <w:top w:w="160" w:type="dxa"/>
              <w:left w:w="200" w:type="dxa"/>
              <w:bottom w:w="160" w:type="dxa"/>
              <w:right w:w="200" w:type="dxa"/>
            </w:tcMar>
            <w:vAlign w:val="center"/>
          </w:tcPr>
          <w:p w14:paraId="049DBAD2">
            <w:pPr>
              <w:jc w:val="center"/>
            </w:pPr>
            <w:r>
              <w:rPr>
                <w:rFonts w:ascii="Arial" w:hAnsi="Arial" w:eastAsia="Arial" w:cs="Arial"/>
                <w:b/>
                <w:bCs/>
                <w:color w:val="FFFFFF"/>
                <w:sz w:val="36"/>
                <w:szCs w:val="36"/>
              </w:rPr>
              <w:t>Z09</w:t>
            </w:r>
          </w:p>
        </w:tc>
        <w:tc>
          <w:tcPr>
            <w:tcW w:w="8160" w:type="dxa"/>
            <w:tcBorders>
              <w:top w:val="nil"/>
              <w:left w:val="nil"/>
              <w:bottom w:val="nil"/>
              <w:right w:val="nil"/>
            </w:tcBorders>
            <w:shd w:val="clear" w:color="auto" w:fill="3E2F2B"/>
            <w:tcMar>
              <w:top w:w="120" w:type="dxa"/>
              <w:left w:w="240" w:type="dxa"/>
              <w:bottom w:w="120" w:type="dxa"/>
              <w:right w:w="240" w:type="dxa"/>
            </w:tcMar>
          </w:tcPr>
          <w:p w14:paraId="6C913948">
            <w:r>
              <w:rPr>
                <w:rFonts w:ascii="Arial" w:hAnsi="Arial" w:eastAsia="Arial" w:cs="Arial"/>
                <w:b/>
                <w:bCs/>
                <w:color w:val="FFFFFF"/>
                <w:sz w:val="26"/>
                <w:szCs w:val="26"/>
              </w:rPr>
              <w:t>MANDÍBULA Y MASETERO</w:t>
            </w:r>
          </w:p>
          <w:p w14:paraId="24A5065C">
            <w:pPr>
              <w:spacing w:before="40" w:after="0"/>
            </w:pPr>
            <w:r>
              <w:rPr>
                <w:rFonts w:ascii="Arial" w:hAnsi="Arial" w:eastAsia="Arial" w:cs="Arial"/>
                <w:i/>
                <w:iCs/>
                <w:color w:val="C6A56B"/>
                <w:sz w:val="18"/>
                <w:szCs w:val="18"/>
              </w:rPr>
              <w:t>Masetero (Masseter) + Platisma  ·  Línea RECOVER · RECLAIM</w:t>
            </w:r>
          </w:p>
        </w:tc>
      </w:tr>
    </w:tbl>
    <w:p w14:paraId="05075630">
      <w:pPr>
        <w:spacing w:before="120" w:after="80"/>
      </w:pPr>
    </w:p>
    <w:p w14:paraId="29C8F77E">
      <w:pPr>
        <w:spacing w:before="120" w:after="80"/>
      </w:pPr>
    </w:p>
    <w:p w14:paraId="30A17547">
      <w:pPr>
        <w:spacing w:before="120" w:after="80"/>
        <w:rPr>
          <w:rFonts w:hint="default"/>
          <w:lang w:val="es-ES"/>
        </w:rPr>
      </w:pPr>
      <w:r>
        <w:rPr>
          <w:rFonts w:hint="default"/>
          <w:lang w:val="es-ES"/>
        </w:rPr>
        <w:drawing>
          <wp:inline distT="0" distB="0" distL="114300" distR="114300">
            <wp:extent cx="1950720" cy="1463040"/>
            <wp:effectExtent l="0" t="0" r="3810" b="11430"/>
            <wp:docPr id="12" name="Picture 12" descr="IMG_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1058"/>
                    <pic:cNvPicPr>
                      <a:picLocks noChangeAspect="1"/>
                    </pic:cNvPicPr>
                  </pic:nvPicPr>
                  <pic:blipFill>
                    <a:blip r:embed="rId6"/>
                    <a:stretch>
                      <a:fillRect/>
                    </a:stretch>
                  </pic:blipFill>
                  <pic:spPr>
                    <a:xfrm rot="5400000">
                      <a:off x="0" y="0"/>
                      <a:ext cx="1950720" cy="1463040"/>
                    </a:xfrm>
                    <a:prstGeom prst="rect">
                      <a:avLst/>
                    </a:prstGeom>
                  </pic:spPr>
                </pic:pic>
              </a:graphicData>
            </a:graphic>
          </wp:inline>
        </w:drawing>
      </w:r>
      <w:r>
        <w:rPr>
          <w:rFonts w:hint="default"/>
          <w:lang w:val="es-ES"/>
        </w:rPr>
        <w:t xml:space="preserve">                                                                          </w:t>
      </w:r>
      <w:r>
        <w:rPr>
          <w:rFonts w:hint="default"/>
          <w:lang w:val="es-ES"/>
        </w:rPr>
        <w:drawing>
          <wp:inline distT="0" distB="0" distL="114300" distR="114300">
            <wp:extent cx="1950720" cy="1463040"/>
            <wp:effectExtent l="0" t="0" r="3810" b="11430"/>
            <wp:docPr id="13" name="Picture 13" descr="IMG_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1061"/>
                    <pic:cNvPicPr>
                      <a:picLocks noChangeAspect="1"/>
                    </pic:cNvPicPr>
                  </pic:nvPicPr>
                  <pic:blipFill>
                    <a:blip r:embed="rId5"/>
                    <a:stretch>
                      <a:fillRect/>
                    </a:stretch>
                  </pic:blipFill>
                  <pic:spPr>
                    <a:xfrm rot="5400000">
                      <a:off x="0" y="0"/>
                      <a:ext cx="1950720" cy="1463040"/>
                    </a:xfrm>
                    <a:prstGeom prst="rect">
                      <a:avLst/>
                    </a:prstGeom>
                  </pic:spPr>
                </pic:pic>
              </a:graphicData>
            </a:graphic>
          </wp:inline>
        </w:drawing>
      </w:r>
    </w:p>
    <w:p w14:paraId="47F7693F">
      <w:pPr>
        <w:spacing w:before="200" w:after="80"/>
      </w:pPr>
      <w:r>
        <w:rPr>
          <w:rFonts w:ascii="Arial" w:hAnsi="Arial" w:eastAsia="Arial" w:cs="Arial"/>
          <w:b/>
          <w:bCs/>
          <w:color w:val="C6A56B"/>
          <w:sz w:val="19"/>
          <w:szCs w:val="19"/>
        </w:rPr>
        <w:t>QUÉ SE OBSERVA EN LAS FOTOS</w:t>
      </w:r>
    </w:p>
    <w:p w14:paraId="3C8597F5">
      <w:pPr>
        <w:spacing w:before="80" w:after="80"/>
      </w:pPr>
      <w:r>
        <w:rPr>
          <w:rFonts w:ascii="Arial" w:hAnsi="Arial" w:eastAsia="Arial" w:cs="Arial"/>
          <w:b w:val="0"/>
          <w:bCs w:val="0"/>
          <w:color w:val="3E2F2B"/>
          <w:sz w:val="21"/>
          <w:szCs w:val="21"/>
        </w:rPr>
        <w:t>En las fotos IMG_1058 e IMG_1061 se aprecia la tensión en el contorno mandibular. El masetero — el músculo masticador más potente del cuerpo — está respondiendo a la estimulación. Las bandas laterales del cuello (platisma) también son visibles, indicando que la bioestimulación ha alcanzado la fascia cervical.</w:t>
      </w:r>
    </w:p>
    <w:p w14:paraId="0DF9B447">
      <w:pPr>
        <w:spacing w:before="120" w:after="80"/>
      </w:pPr>
    </w:p>
    <w:p w14:paraId="562D1810">
      <w:pPr>
        <w:spacing w:before="200" w:after="80"/>
      </w:pPr>
      <w:r>
        <w:rPr>
          <w:rFonts w:ascii="Arial" w:hAnsi="Arial" w:eastAsia="Arial" w:cs="Arial"/>
          <w:b/>
          <w:bCs/>
          <w:color w:val="C6A56B"/>
          <w:sz w:val="19"/>
          <w:szCs w:val="19"/>
        </w:rPr>
        <w:t>ANATOMÍA DE LA ZONA</w:t>
      </w:r>
    </w:p>
    <w:p w14:paraId="1FE113AE">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Masetero: conecta el arco cigomático con la mandíbula — cuando está hiperactivo por estrés o bruxismo, ensancha visualmente la mandíbula</w:t>
      </w:r>
    </w:p>
    <w:p w14:paraId="00D2C448">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Platisma: músculo en lámina del cuello, desde el pecho hasta la mandíbula — su pérdida de tono genera papada y bandas cervicales</w:t>
      </w:r>
    </w:p>
    <w:p w14:paraId="25DE9220">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SMAS inferior: fascia que conecta el platisma con los músculos faciales — cuando se relaja, el tercio inferior del rostro cae</w:t>
      </w:r>
    </w:p>
    <w:p w14:paraId="07A7105F">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Fascia maseterina: conecta el masetero con la piel de la mejilla inferior — su tensión crónica afecta directamente a la piel de esa zona</w:t>
      </w:r>
    </w:p>
    <w:p w14:paraId="4CD669BE">
      <w:pPr>
        <w:spacing w:before="120" w:after="80"/>
      </w:pPr>
    </w:p>
    <w:p w14:paraId="26A6E82B">
      <w:pPr>
        <w:spacing w:before="200" w:after="80"/>
      </w:pPr>
      <w:r>
        <w:rPr>
          <w:rFonts w:ascii="Arial" w:hAnsi="Arial" w:eastAsia="Arial" w:cs="Arial"/>
          <w:b/>
          <w:bCs/>
          <w:color w:val="C6A56B"/>
          <w:sz w:val="19"/>
          <w:szCs w:val="19"/>
        </w:rPr>
        <w:t>QUÉ HACE YADALA EN ESTA ZONA</w:t>
      </w:r>
    </w:p>
    <w:p w14:paraId="1505146A">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Libera la tensión crónica del masetero vía neuroestimulación fascial → mandíbula visualmente más estilizada</w:t>
      </w:r>
    </w:p>
    <w:p w14:paraId="49A154D2">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Tonifica el platisma → contorno mandibular más definido, papada reducida</w:t>
      </w:r>
    </w:p>
    <w:p w14:paraId="0A4570E3">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Reactiva el SMAS inferior → lifting biológico del tercio inferior</w:t>
      </w:r>
    </w:p>
    <w:p w14:paraId="2ADD9118">
      <w:pPr>
        <w:spacing w:before="50" w:after="50"/>
        <w:ind w:left="320" w:hanging="200"/>
        <w:rPr>
          <w:rFonts w:ascii="Arial" w:hAnsi="Arial" w:eastAsia="Arial" w:cs="Arial"/>
          <w:color w:val="3E2F2B"/>
          <w:sz w:val="20"/>
          <w:szCs w:val="20"/>
        </w:rPr>
      </w:pPr>
      <w:r>
        <w:rPr>
          <w:rFonts w:ascii="Arial" w:hAnsi="Arial" w:eastAsia="Arial" w:cs="Arial"/>
          <w:b/>
          <w:bCs/>
          <w:color w:val="C6A56B"/>
          <w:sz w:val="20"/>
          <w:szCs w:val="20"/>
        </w:rPr>
        <w:t xml:space="preserve">→  </w:t>
      </w:r>
      <w:r>
        <w:rPr>
          <w:rFonts w:ascii="Arial" w:hAnsi="Arial" w:eastAsia="Arial" w:cs="Arial"/>
          <w:color w:val="3E2F2B"/>
          <w:sz w:val="20"/>
          <w:szCs w:val="20"/>
        </w:rPr>
        <w:t>Activa el drenaje linfático submandibular → menos hinchazón, contorno más nítido</w:t>
      </w:r>
    </w:p>
    <w:p w14:paraId="63DC0346">
      <w:pPr>
        <w:spacing w:before="50" w:after="50"/>
        <w:ind w:left="320" w:hanging="200"/>
        <w:rPr>
          <w:rFonts w:ascii="Arial" w:hAnsi="Arial" w:eastAsia="Arial" w:cs="Arial"/>
          <w:color w:val="3E2F2B"/>
          <w:sz w:val="20"/>
          <w:szCs w:val="20"/>
        </w:rPr>
      </w:pPr>
    </w:p>
    <w:p w14:paraId="10304722">
      <w:pPr>
        <w:spacing w:before="50" w:after="50"/>
        <w:ind w:left="320" w:hanging="200"/>
        <w:rPr>
          <w:rFonts w:ascii="Arial" w:hAnsi="Arial" w:eastAsia="Arial" w:cs="Arial"/>
          <w:color w:val="3E2F2B"/>
          <w:sz w:val="20"/>
          <w:szCs w:val="20"/>
        </w:rPr>
      </w:pPr>
    </w:p>
    <w:p w14:paraId="6035454F">
      <w:pPr>
        <w:spacing w:before="50" w:after="50"/>
        <w:ind w:left="320" w:hanging="200"/>
        <w:rPr>
          <w:rFonts w:ascii="Arial" w:hAnsi="Arial" w:eastAsia="Arial" w:cs="Arial"/>
          <w:color w:val="3E2F2B"/>
          <w:sz w:val="20"/>
          <w:szCs w:val="20"/>
        </w:rPr>
      </w:pPr>
    </w:p>
    <w:p w14:paraId="576818A3">
      <w:pPr>
        <w:spacing w:before="50" w:after="50"/>
        <w:ind w:left="320" w:hanging="200"/>
        <w:rPr>
          <w:rFonts w:ascii="Arial" w:hAnsi="Arial" w:eastAsia="Arial" w:cs="Arial"/>
          <w:color w:val="3E2F2B"/>
          <w:sz w:val="20"/>
          <w:szCs w:val="20"/>
        </w:rPr>
      </w:pPr>
    </w:p>
    <w:p w14:paraId="1F4652CE">
      <w:pPr>
        <w:spacing w:before="50" w:after="50"/>
        <w:ind w:left="320" w:hanging="200"/>
        <w:rPr>
          <w:rFonts w:ascii="Arial" w:hAnsi="Arial" w:eastAsia="Arial" w:cs="Arial"/>
          <w:color w:val="3E2F2B"/>
          <w:sz w:val="20"/>
          <w:szCs w:val="20"/>
        </w:rPr>
      </w:pPr>
    </w:p>
    <w:p w14:paraId="6ABDE7F8">
      <w:pPr>
        <w:spacing w:before="50" w:after="50"/>
        <w:ind w:left="320" w:hanging="200"/>
        <w:rPr>
          <w:rFonts w:ascii="Arial" w:hAnsi="Arial" w:eastAsia="Arial" w:cs="Arial"/>
          <w:color w:val="3E2F2B"/>
          <w:sz w:val="20"/>
          <w:szCs w:val="20"/>
        </w:rPr>
      </w:pPr>
    </w:p>
    <w:p w14:paraId="3BF74824">
      <w:pPr>
        <w:spacing w:before="50" w:after="50"/>
        <w:ind w:left="320" w:hanging="200"/>
        <w:rPr>
          <w:rFonts w:ascii="Arial" w:hAnsi="Arial" w:eastAsia="Arial" w:cs="Arial"/>
          <w:color w:val="3E2F2B"/>
          <w:sz w:val="20"/>
          <w:szCs w:val="20"/>
        </w:rPr>
      </w:pPr>
    </w:p>
    <w:p w14:paraId="0BD0EF51">
      <w:pPr>
        <w:spacing w:before="50" w:after="50"/>
        <w:ind w:left="320" w:hanging="200"/>
        <w:rPr>
          <w:rFonts w:ascii="Arial" w:hAnsi="Arial" w:eastAsia="Arial" w:cs="Arial"/>
          <w:color w:val="3E2F2B"/>
          <w:sz w:val="20"/>
          <w:szCs w:val="20"/>
        </w:rPr>
      </w:pPr>
    </w:p>
    <w:p w14:paraId="54072D4D">
      <w:pPr>
        <w:spacing w:before="50" w:after="50"/>
        <w:ind w:left="320" w:hanging="200"/>
        <w:rPr>
          <w:rFonts w:ascii="Arial" w:hAnsi="Arial" w:eastAsia="Arial" w:cs="Arial"/>
          <w:color w:val="3E2F2B"/>
          <w:sz w:val="20"/>
          <w:szCs w:val="20"/>
        </w:rPr>
      </w:pPr>
    </w:p>
    <w:p w14:paraId="7417E4D6">
      <w:pPr>
        <w:spacing w:before="50" w:after="50"/>
        <w:ind w:left="320" w:hanging="200"/>
        <w:rPr>
          <w:rFonts w:ascii="Arial" w:hAnsi="Arial" w:eastAsia="Arial" w:cs="Arial"/>
          <w:color w:val="3E2F2B"/>
          <w:sz w:val="20"/>
          <w:szCs w:val="20"/>
        </w:rPr>
      </w:pPr>
    </w:p>
    <w:p w14:paraId="357AA83D">
      <w:pPr>
        <w:spacing w:before="50" w:after="50"/>
        <w:ind w:left="320" w:hanging="200"/>
        <w:rPr>
          <w:rFonts w:ascii="Arial" w:hAnsi="Arial" w:eastAsia="Arial" w:cs="Arial"/>
          <w:color w:val="3E2F2B"/>
          <w:sz w:val="20"/>
          <w:szCs w:val="20"/>
        </w:rPr>
      </w:pPr>
    </w:p>
    <w:tbl>
      <w:tblPr>
        <w:tblStyle w:val="9"/>
        <w:tblpPr w:leftFromText="180" w:rightFromText="180" w:vertAnchor="text" w:horzAnchor="page" w:tblpX="1347" w:tblpY="149"/>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6C48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nil"/>
              <w:left w:val="nil"/>
              <w:bottom w:val="nil"/>
              <w:right w:val="nil"/>
            </w:tcBorders>
            <w:shd w:val="clear" w:color="auto" w:fill="C6A56B"/>
            <w:tcMar>
              <w:top w:w="160" w:type="dxa"/>
              <w:left w:w="200" w:type="dxa"/>
              <w:bottom w:w="160" w:type="dxa"/>
              <w:right w:w="200" w:type="dxa"/>
            </w:tcMar>
            <w:vAlign w:val="center"/>
          </w:tcPr>
          <w:p w14:paraId="0066DA59">
            <w:pPr>
              <w:jc w:val="center"/>
            </w:pPr>
            <w:r>
              <w:rPr>
                <w:rFonts w:ascii="Arial" w:hAnsi="Arial" w:eastAsia="Arial" w:cs="Arial"/>
                <w:b/>
                <w:bCs/>
                <w:color w:val="FFFFFF"/>
                <w:sz w:val="36"/>
                <w:szCs w:val="36"/>
              </w:rPr>
              <w:t>Z07</w:t>
            </w:r>
          </w:p>
        </w:tc>
        <w:tc>
          <w:tcPr>
            <w:tcW w:w="8160" w:type="dxa"/>
            <w:tcBorders>
              <w:top w:val="nil"/>
              <w:left w:val="nil"/>
              <w:bottom w:val="nil"/>
              <w:right w:val="nil"/>
            </w:tcBorders>
            <w:shd w:val="clear" w:color="auto" w:fill="3E2F2B"/>
            <w:tcMar>
              <w:top w:w="120" w:type="dxa"/>
              <w:left w:w="240" w:type="dxa"/>
              <w:bottom w:w="120" w:type="dxa"/>
              <w:right w:w="240" w:type="dxa"/>
            </w:tcMar>
          </w:tcPr>
          <w:p w14:paraId="5D745B73">
            <w:r>
              <w:rPr>
                <w:rFonts w:ascii="Arial" w:hAnsi="Arial" w:eastAsia="Arial" w:cs="Arial"/>
                <w:b/>
                <w:bCs/>
                <w:color w:val="FFFFFF"/>
                <w:sz w:val="26"/>
                <w:szCs w:val="26"/>
              </w:rPr>
              <w:t>CUELLO Y ÓVALO FACIAL</w:t>
            </w:r>
          </w:p>
          <w:p w14:paraId="210F509A">
            <w:pPr>
              <w:spacing w:before="40" w:after="0"/>
            </w:pPr>
            <w:r>
              <w:rPr>
                <w:rFonts w:ascii="Arial" w:hAnsi="Arial" w:eastAsia="Arial" w:cs="Arial"/>
                <w:i/>
                <w:iCs/>
                <w:color w:val="C6A56B"/>
                <w:sz w:val="18"/>
                <w:szCs w:val="18"/>
              </w:rPr>
              <w:t>Platisma + SMAS + Esternocleidomastoideo  ·  Línea RECLAIM · RECOVER</w:t>
            </w:r>
          </w:p>
        </w:tc>
      </w:tr>
    </w:tbl>
    <w:p w14:paraId="47CACE1B">
      <w:pPr>
        <w:spacing w:before="50" w:after="50"/>
        <w:ind w:left="320" w:hanging="200"/>
        <w:rPr>
          <w:rFonts w:ascii="Arial" w:hAnsi="Arial" w:eastAsia="Arial" w:cs="Arial"/>
          <w:color w:val="3E2F2B"/>
          <w:sz w:val="20"/>
          <w:szCs w:val="20"/>
        </w:rPr>
      </w:pPr>
    </w:p>
    <w:p w14:paraId="04EC0FE7">
      <w:pPr>
        <w:spacing w:before="50" w:after="50"/>
        <w:rPr>
          <w:rFonts w:ascii="Arial" w:hAnsi="Arial" w:eastAsia="Arial" w:cs="Arial"/>
          <w:color w:val="3E2F2B"/>
          <w:sz w:val="20"/>
          <w:szCs w:val="20"/>
        </w:rPr>
      </w:pPr>
    </w:p>
    <w:p w14:paraId="549C1B4D">
      <w:pPr>
        <w:spacing w:before="50" w:after="50"/>
        <w:rPr>
          <w:rFonts w:hint="default" w:ascii="Arial" w:hAnsi="Arial" w:eastAsia="Arial" w:cs="Arial"/>
          <w:color w:val="3E2F2B"/>
          <w:sz w:val="20"/>
          <w:szCs w:val="20"/>
          <w:lang w:val="es-ES"/>
        </w:rPr>
      </w:pPr>
      <w:r>
        <w:rPr>
          <w:rFonts w:hint="default" w:cs="Arial"/>
          <w:color w:val="3E2F2B"/>
          <w:sz w:val="20"/>
          <w:szCs w:val="20"/>
          <w:lang w:val="es-ES"/>
        </w:rPr>
        <w:t xml:space="preserve">                                                               </w:t>
      </w:r>
      <w:r>
        <w:rPr>
          <w:rFonts w:hint="default" w:ascii="Arial" w:hAnsi="Arial" w:eastAsia="Arial" w:cs="Arial"/>
          <w:color w:val="3E2F2B"/>
          <w:sz w:val="20"/>
          <w:szCs w:val="20"/>
          <w:lang w:val="es-ES"/>
        </w:rPr>
        <w:drawing>
          <wp:inline distT="0" distB="0" distL="114300" distR="114300">
            <wp:extent cx="1950720" cy="1463040"/>
            <wp:effectExtent l="0" t="0" r="3810" b="11430"/>
            <wp:docPr id="14" name="Picture 14" descr="IMG_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1062"/>
                    <pic:cNvPicPr>
                      <a:picLocks noChangeAspect="1"/>
                    </pic:cNvPicPr>
                  </pic:nvPicPr>
                  <pic:blipFill>
                    <a:blip r:embed="rId7"/>
                    <a:stretch>
                      <a:fillRect/>
                    </a:stretch>
                  </pic:blipFill>
                  <pic:spPr>
                    <a:xfrm rot="5400000">
                      <a:off x="0" y="0"/>
                      <a:ext cx="1950720" cy="1463040"/>
                    </a:xfrm>
                    <a:prstGeom prst="rect">
                      <a:avLst/>
                    </a:prstGeom>
                  </pic:spPr>
                </pic:pic>
              </a:graphicData>
            </a:graphic>
          </wp:inline>
        </w:drawing>
      </w:r>
    </w:p>
    <w:p w14:paraId="6FDCC06A">
      <w:pPr>
        <w:spacing w:before="50" w:after="50"/>
      </w:pPr>
      <w:r>
        <w:rPr>
          <w:rFonts w:ascii="Arial" w:hAnsi="Arial" w:eastAsia="Arial" w:cs="Arial"/>
          <w:b/>
          <w:bCs/>
          <w:color w:val="C6A56B"/>
          <w:sz w:val="19"/>
          <w:szCs w:val="19"/>
        </w:rPr>
        <w:t>QUÉ SE OBSERVA EN LAS FOTOS</w:t>
      </w:r>
    </w:p>
    <w:p w14:paraId="2A450A29">
      <w:pPr>
        <w:spacing w:before="80" w:after="80"/>
      </w:pPr>
      <w:r>
        <w:rPr>
          <w:rFonts w:ascii="Arial" w:hAnsi="Arial" w:eastAsia="Arial" w:cs="Arial"/>
          <w:b w:val="0"/>
          <w:bCs w:val="0"/>
          <w:color w:val="3E2F2B"/>
          <w:sz w:val="21"/>
          <w:szCs w:val="21"/>
        </w:rPr>
        <w:t>En las fotos frontales y desde abajo (especialmente IMG_10</w:t>
      </w:r>
      <w:r>
        <w:rPr>
          <w:rFonts w:hint="default" w:cs="Arial"/>
          <w:b w:val="0"/>
          <w:bCs w:val="0"/>
          <w:color w:val="3E2F2B"/>
          <w:sz w:val="21"/>
          <w:szCs w:val="21"/>
          <w:lang w:val="es-ES"/>
        </w:rPr>
        <w:t>62</w:t>
      </w:r>
      <w:r>
        <w:rPr>
          <w:rFonts w:ascii="Arial" w:hAnsi="Arial" w:eastAsia="Arial" w:cs="Arial"/>
          <w:b w:val="0"/>
          <w:bCs w:val="0"/>
          <w:color w:val="3E2F2B"/>
          <w:sz w:val="21"/>
          <w:szCs w:val="21"/>
        </w:rPr>
        <w:t>) son claramente visibles las bandas del platisma en activación, el relieve del esternocleidomastoideo en tensión activa y la definición del contorno mandibular. Esto confirma que la señal neuromuscular de Yadala ha viajado más allá de la cara y ha alcanzado la fascia cervical completa.</w:t>
      </w:r>
    </w:p>
    <w:p w14:paraId="457CF096">
      <w:pPr>
        <w:spacing w:before="120" w:after="80"/>
      </w:pPr>
    </w:p>
    <w:p w14:paraId="412DB899">
      <w:pPr>
        <w:spacing w:before="200" w:after="80"/>
      </w:pPr>
      <w:r>
        <w:rPr>
          <w:rFonts w:ascii="Arial" w:hAnsi="Arial" w:eastAsia="Arial" w:cs="Arial"/>
          <w:b/>
          <w:bCs/>
          <w:color w:val="C6A56B"/>
          <w:sz w:val="19"/>
          <w:szCs w:val="19"/>
        </w:rPr>
        <w:t>POR QUÉ EL CUELLO ES CLAVE</w:t>
      </w:r>
    </w:p>
    <w:p w14:paraId="2C13D1AC">
      <w:pPr>
        <w:spacing w:before="80" w:after="80"/>
      </w:pPr>
      <w:r>
        <w:rPr>
          <w:rFonts w:ascii="Arial" w:hAnsi="Arial" w:eastAsia="Arial" w:cs="Arial"/>
          <w:b w:val="0"/>
          <w:bCs w:val="0"/>
          <w:color w:val="3E2F2B"/>
          <w:sz w:val="21"/>
          <w:szCs w:val="21"/>
        </w:rPr>
        <w:t>El platisma es el músculo más grande y más olvidado del rostro. Va desde el pecho hasta la mandíbula en forma de lámina plana. Cuando pierde tono, el óvalo cae, aparece la papada y el cuello se llena de bandas y arrugas horizontales. Es la zona que más rápido delata la edad y la que menos cuidamos.</w:t>
      </w:r>
    </w:p>
    <w:p w14:paraId="009C79F8">
      <w:pPr>
        <w:spacing w:before="80" w:after="80"/>
      </w:pPr>
    </w:p>
    <w:p w14:paraId="5D3D89A2">
      <w:pPr>
        <w:spacing w:before="80" w:after="80"/>
      </w:pPr>
      <w:r>
        <w:rPr>
          <w:rFonts w:ascii="Arial" w:hAnsi="Arial" w:eastAsia="Arial" w:cs="Arial"/>
          <w:b w:val="0"/>
          <w:bCs w:val="0"/>
          <w:color w:val="3E2F2B"/>
          <w:sz w:val="21"/>
          <w:szCs w:val="21"/>
        </w:rPr>
        <w:t>El SMAS conecta el platisma directamente con todos los músculos faciales superiores. Cuando Yadala activa la fascia, la señal viaja de arriba a abajo — y de abajo a arriba — en toda la red fascial del rostro y el cuello.</w:t>
      </w:r>
    </w:p>
    <w:p w14:paraId="2226B059">
      <w:pPr>
        <w:spacing w:before="120" w:after="80"/>
      </w:pPr>
    </w:p>
    <w:p w14:paraId="51AFBC1A">
      <w:pPr>
        <w:spacing w:before="200" w:after="80"/>
      </w:pPr>
      <w:r>
        <w:rPr>
          <w:rFonts w:ascii="Arial" w:hAnsi="Arial" w:eastAsia="Arial" w:cs="Arial"/>
          <w:b/>
          <w:bCs/>
          <w:color w:val="C6A56B"/>
          <w:sz w:val="19"/>
          <w:szCs w:val="19"/>
        </w:rPr>
        <w:t>QUÉ HACE YADALA EN ESTA ZONA</w:t>
      </w:r>
    </w:p>
    <w:p w14:paraId="4EB5AF40">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Tonifica el platisma → óvalo más definido, papada y bandas cervicales reducidas</w:t>
      </w:r>
    </w:p>
    <w:p w14:paraId="4138C473">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Reactiva el SMAS cervical → lifting biológico del tercio inferior y del cuello</w:t>
      </w:r>
    </w:p>
    <w:p w14:paraId="22B621C1">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Activa el drenaje linfático cervical → microcontracciones del platisma como bomba linfática natural</w:t>
      </w:r>
    </w:p>
    <w:p w14:paraId="6AF1ED47">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Estimula fibroblastos en la dermis cervical → piel del cuello más densa y con mejor tono</w:t>
      </w:r>
    </w:p>
    <w:p w14:paraId="1B0A8A6C">
      <w:pPr>
        <w:spacing w:before="50" w:after="50"/>
        <w:ind w:left="320" w:hanging="200"/>
      </w:pPr>
      <w:r>
        <w:rPr>
          <w:rFonts w:ascii="Arial" w:hAnsi="Arial" w:eastAsia="Arial" w:cs="Arial"/>
          <w:b/>
          <w:bCs/>
          <w:color w:val="C6A56B"/>
          <w:sz w:val="20"/>
          <w:szCs w:val="20"/>
        </w:rPr>
        <w:t xml:space="preserve">→  </w:t>
      </w:r>
      <w:r>
        <w:rPr>
          <w:rFonts w:ascii="Arial" w:hAnsi="Arial" w:eastAsia="Arial" w:cs="Arial"/>
          <w:color w:val="3E2F2B"/>
          <w:sz w:val="20"/>
          <w:szCs w:val="20"/>
        </w:rPr>
        <w:t>Mejora la microcirculación cervical → piel del cuello más viva y uniforme</w:t>
      </w:r>
    </w:p>
    <w:p w14:paraId="7ADE9A3E">
      <w:pPr>
        <w:spacing w:before="20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4B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C4A8" w:sz="0" w:space="0"/>
              <w:left w:val="single" w:color="D4C4A8" w:sz="0" w:space="0"/>
              <w:bottom w:val="single" w:color="D4C4A8" w:sz="0" w:space="0"/>
              <w:right w:val="single" w:color="D4C4A8" w:sz="0" w:space="0"/>
            </w:tcBorders>
            <w:shd w:val="clear" w:color="auto" w:fill="F5EFE6"/>
            <w:tcMar>
              <w:top w:w="140" w:type="dxa"/>
              <w:left w:w="240" w:type="dxa"/>
              <w:bottom w:w="140" w:type="dxa"/>
              <w:right w:w="240" w:type="dxa"/>
            </w:tcMar>
          </w:tcPr>
          <w:p w14:paraId="574FF480">
            <w:r>
              <w:rPr>
                <w:rFonts w:ascii="Arial" w:hAnsi="Arial" w:eastAsia="Arial" w:cs="Arial"/>
                <w:b/>
                <w:bCs/>
                <w:i/>
                <w:iCs/>
                <w:color w:val="3E2F2B"/>
                <w:sz w:val="22"/>
                <w:szCs w:val="22"/>
              </w:rPr>
              <w:t>"El texto neck — la postura con el cuello hacia abajo mirando el móvil — está acelerando la papada y las arrugas cervicales desde los 30 años. Yadala es la única cosmética tópica que actúa en el platisma de forma real."</w:t>
            </w:r>
          </w:p>
        </w:tc>
      </w:tr>
    </w:tbl>
    <w:p w14:paraId="526B25B9">
      <w:pPr>
        <w:spacing w:before="300" w:after="0"/>
        <w:rPr>
          <w:rFonts w:hint="default"/>
          <w:lang w:val="es-ES"/>
        </w:rPr>
      </w:pPr>
    </w:p>
    <w:p w14:paraId="26F557DB">
      <w:pPr>
        <w:spacing w:before="300" w:after="0"/>
        <w:rPr>
          <w:rFonts w:hint="default"/>
          <w:lang w:val="es-ES"/>
        </w:rPr>
      </w:pPr>
      <w:r>
        <w:rPr>
          <w:rFonts w:hint="default"/>
          <w:lang w:val="es-ES"/>
        </w:rPr>
        <w:t xml:space="preserve">          </w:t>
      </w:r>
    </w:p>
    <w:p w14:paraId="44054FB7">
      <w:pPr>
        <w:spacing w:before="300" w:after="0"/>
        <w:rPr>
          <w:rFonts w:hint="default"/>
          <w:lang w:val="es-ES"/>
        </w:rPr>
      </w:pPr>
    </w:p>
    <w:p w14:paraId="0DD791B0">
      <w:r>
        <w:br w:type="page"/>
      </w:r>
    </w:p>
    <w:tbl>
      <w:tblPr>
        <w:tblStyle w:val="9"/>
        <w:tblpPr w:leftFromText="180" w:rightFromText="180" w:vertAnchor="text" w:horzAnchor="page" w:tblpX="1582" w:tblpY="-9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37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3E2F2B"/>
            <w:tcMar>
              <w:top w:w="200" w:type="dxa"/>
              <w:left w:w="300" w:type="dxa"/>
              <w:bottom w:w="200" w:type="dxa"/>
              <w:right w:w="300" w:type="dxa"/>
            </w:tcMar>
          </w:tcPr>
          <w:p w14:paraId="4ED14341">
            <w:pPr>
              <w:jc w:val="center"/>
            </w:pPr>
            <w:r>
              <w:rPr>
                <w:rFonts w:ascii="Arial" w:hAnsi="Arial" w:eastAsia="Arial" w:cs="Arial"/>
                <w:b/>
                <w:bCs/>
                <w:color w:val="C6A56B"/>
                <w:sz w:val="32"/>
                <w:szCs w:val="32"/>
              </w:rPr>
              <w:t>LO QUE ESTAS FOTOS DEMUESTRAN</w:t>
            </w:r>
          </w:p>
          <w:p w14:paraId="0C26BDEE">
            <w:pPr>
              <w:spacing w:before="60" w:after="0"/>
            </w:pPr>
            <w:r>
              <w:rPr>
                <w:rFonts w:ascii="Arial" w:hAnsi="Arial" w:eastAsia="Arial" w:cs="Arial"/>
                <w:i/>
                <w:iCs/>
                <w:color w:val="F5EFE6"/>
                <w:sz w:val="20"/>
                <w:szCs w:val="20"/>
              </w:rPr>
              <w:t>Una sola sesión · Cuatro fotografías · Evidencia clínica visible</w:t>
            </w:r>
          </w:p>
        </w:tc>
      </w:tr>
    </w:tbl>
    <w:p w14:paraId="5FBC14FA">
      <w:pPr>
        <w:spacing w:before="80" w:after="80"/>
        <w:rPr>
          <w:rFonts w:ascii="Arial" w:hAnsi="Arial" w:eastAsia="Arial" w:cs="Arial"/>
          <w:b w:val="0"/>
          <w:bCs w:val="0"/>
          <w:color w:val="3E2F2B"/>
          <w:sz w:val="21"/>
          <w:szCs w:val="21"/>
        </w:rPr>
      </w:pPr>
    </w:p>
    <w:p w14:paraId="33BCD81E">
      <w:pPr>
        <w:spacing w:before="80" w:after="80"/>
      </w:pPr>
      <w:r>
        <w:rPr>
          <w:rFonts w:ascii="Arial" w:hAnsi="Arial" w:eastAsia="Arial" w:cs="Arial"/>
          <w:b w:val="0"/>
          <w:bCs w:val="0"/>
          <w:color w:val="3E2F2B"/>
          <w:sz w:val="21"/>
          <w:szCs w:val="21"/>
        </w:rPr>
        <w:t>Las cuatro fotografías de esta sesión evidencian algo que ningún texto de marketing puede reemplazar: respuestas biológicas reales, espontáneas, involuntarias, que ocurren mientras Yadala actúa.</w:t>
      </w:r>
    </w:p>
    <w:p w14:paraId="3BE29370">
      <w:pPr>
        <w:spacing w:before="200" w:after="80"/>
      </w:pPr>
      <w:r>
        <w:rPr>
          <w:rFonts w:ascii="Arial" w:hAnsi="Arial" w:eastAsia="Arial" w:cs="Arial"/>
          <w:b/>
          <w:bCs/>
          <w:color w:val="C6A56B"/>
          <w:sz w:val="19"/>
          <w:szCs w:val="19"/>
        </w:rPr>
        <w:t>ZONAS ACTIVADAS EN ESTA SESIÓN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5"/>
        <w:gridCol w:w="2464"/>
        <w:gridCol w:w="3561"/>
        <w:gridCol w:w="2570"/>
      </w:tblGrid>
      <w:tr w14:paraId="47BC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3E2F2B"/>
            <w:tcMar>
              <w:top w:w="80" w:type="dxa"/>
              <w:left w:w="100" w:type="dxa"/>
              <w:bottom w:w="80" w:type="dxa"/>
              <w:right w:w="100" w:type="dxa"/>
            </w:tcMar>
          </w:tcPr>
          <w:p w14:paraId="46C9FDEF">
            <w:pPr>
              <w:jc w:val="center"/>
            </w:pPr>
            <w:r>
              <w:rPr>
                <w:rFonts w:ascii="Arial" w:hAnsi="Arial" w:eastAsia="Arial" w:cs="Arial"/>
                <w:b/>
                <w:bCs/>
                <w:color w:val="C6A56B"/>
                <w:sz w:val="17"/>
                <w:szCs w:val="17"/>
              </w:rPr>
              <w:t>FOTO</w:t>
            </w:r>
          </w:p>
        </w:tc>
        <w:tc>
          <w:tcPr>
            <w:tcW w:w="2800" w:type="dxa"/>
            <w:tcBorders>
              <w:top w:val="nil"/>
              <w:left w:val="nil"/>
              <w:bottom w:val="nil"/>
              <w:right w:val="nil"/>
            </w:tcBorders>
            <w:shd w:val="clear" w:color="auto" w:fill="3E2F2B"/>
            <w:tcMar>
              <w:top w:w="80" w:type="dxa"/>
              <w:left w:w="120" w:type="dxa"/>
              <w:bottom w:w="80" w:type="dxa"/>
              <w:right w:w="120" w:type="dxa"/>
            </w:tcMar>
          </w:tcPr>
          <w:p w14:paraId="12190A0F">
            <w:r>
              <w:rPr>
                <w:rFonts w:ascii="Arial" w:hAnsi="Arial" w:eastAsia="Arial" w:cs="Arial"/>
                <w:b/>
                <w:bCs/>
                <w:color w:val="C6A56B"/>
                <w:sz w:val="17"/>
                <w:szCs w:val="17"/>
              </w:rPr>
              <w:t>ZONA ACTIVADA</w:t>
            </w:r>
          </w:p>
        </w:tc>
        <w:tc>
          <w:tcPr>
            <w:tcW w:w="3000" w:type="dxa"/>
            <w:tcBorders>
              <w:top w:val="nil"/>
              <w:left w:val="nil"/>
              <w:bottom w:val="nil"/>
              <w:right w:val="nil"/>
            </w:tcBorders>
            <w:shd w:val="clear" w:color="auto" w:fill="3E2F2B"/>
            <w:tcMar>
              <w:top w:w="80" w:type="dxa"/>
              <w:left w:w="120" w:type="dxa"/>
              <w:bottom w:w="80" w:type="dxa"/>
              <w:right w:w="120" w:type="dxa"/>
            </w:tcMar>
          </w:tcPr>
          <w:p w14:paraId="278FEC60">
            <w:r>
              <w:rPr>
                <w:rFonts w:ascii="Arial" w:hAnsi="Arial" w:eastAsia="Arial" w:cs="Arial"/>
                <w:b/>
                <w:bCs/>
                <w:color w:val="C6A56B"/>
                <w:sz w:val="17"/>
                <w:szCs w:val="17"/>
              </w:rPr>
              <w:t>MÚSCULO / ESTRUCTURA</w:t>
            </w:r>
          </w:p>
        </w:tc>
        <w:tc>
          <w:tcPr>
            <w:tcW w:w="2760" w:type="dxa"/>
            <w:tcBorders>
              <w:top w:val="nil"/>
              <w:left w:val="nil"/>
              <w:bottom w:val="nil"/>
              <w:right w:val="nil"/>
            </w:tcBorders>
            <w:shd w:val="clear" w:color="auto" w:fill="3E2F2B"/>
            <w:tcMar>
              <w:top w:w="80" w:type="dxa"/>
              <w:left w:w="120" w:type="dxa"/>
              <w:bottom w:w="80" w:type="dxa"/>
              <w:right w:w="120" w:type="dxa"/>
            </w:tcMar>
          </w:tcPr>
          <w:p w14:paraId="69D04053">
            <w:r>
              <w:rPr>
                <w:rFonts w:ascii="Arial" w:hAnsi="Arial" w:eastAsia="Arial" w:cs="Arial"/>
                <w:b/>
                <w:bCs/>
                <w:color w:val="C6A56B"/>
                <w:sz w:val="17"/>
                <w:szCs w:val="17"/>
              </w:rPr>
              <w:t>EVIDENCIA VISIBLE</w:t>
            </w:r>
          </w:p>
        </w:tc>
      </w:tr>
      <w:tr w14:paraId="6577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00" w:type="dxa"/>
              <w:bottom w:w="80" w:type="dxa"/>
              <w:right w:w="100" w:type="dxa"/>
            </w:tcMar>
          </w:tcPr>
          <w:p w14:paraId="16931A04">
            <w:pPr>
              <w:jc w:val="center"/>
            </w:pPr>
            <w:r>
              <w:rPr>
                <w:rFonts w:ascii="Arial" w:hAnsi="Arial" w:eastAsia="Arial" w:cs="Arial"/>
                <w:b/>
                <w:bCs/>
                <w:color w:val="3E2F2B"/>
                <w:sz w:val="18"/>
                <w:szCs w:val="18"/>
              </w:rPr>
              <w:t>1054</w:t>
            </w:r>
          </w:p>
        </w:tc>
        <w:tc>
          <w:tcPr>
            <w:tcW w:w="280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7B8F5CC8">
            <w:r>
              <w:rPr>
                <w:rFonts w:ascii="Arial" w:hAnsi="Arial" w:eastAsia="Arial" w:cs="Arial"/>
                <w:color w:val="3E2F2B"/>
                <w:sz w:val="18"/>
                <w:szCs w:val="18"/>
              </w:rPr>
              <w:t>Z10 — Párpado superior</w:t>
            </w:r>
          </w:p>
        </w:tc>
        <w:tc>
          <w:tcPr>
            <w:tcW w:w="300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69FAA3BB">
            <w:r>
              <w:rPr>
                <w:rFonts w:ascii="Arial" w:hAnsi="Arial" w:eastAsia="Arial" w:cs="Arial"/>
                <w:color w:val="3E2F2B"/>
                <w:sz w:val="18"/>
                <w:szCs w:val="18"/>
              </w:rPr>
              <w:t>Orbicular del ojo (rama temporal SNP)</w:t>
            </w:r>
          </w:p>
        </w:tc>
        <w:tc>
          <w:tcPr>
            <w:tcW w:w="276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2FFDF084">
            <w:r>
              <w:rPr>
                <w:rFonts w:ascii="Arial" w:hAnsi="Arial" w:eastAsia="Arial" w:cs="Arial"/>
                <w:color w:val="3E2F2B"/>
                <w:sz w:val="18"/>
                <w:szCs w:val="18"/>
              </w:rPr>
              <w:t>Guiño involuntario ojo izquierdo</w:t>
            </w:r>
          </w:p>
        </w:tc>
      </w:tr>
      <w:tr w14:paraId="5A62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00" w:type="dxa"/>
              <w:bottom w:w="80" w:type="dxa"/>
              <w:right w:w="100" w:type="dxa"/>
            </w:tcMar>
          </w:tcPr>
          <w:p w14:paraId="2FEAE54E">
            <w:pPr>
              <w:jc w:val="center"/>
            </w:pPr>
            <w:r>
              <w:rPr>
                <w:rFonts w:ascii="Arial" w:hAnsi="Arial" w:eastAsia="Arial" w:cs="Arial"/>
                <w:b/>
                <w:bCs/>
                <w:color w:val="3E2F2B"/>
                <w:sz w:val="18"/>
                <w:szCs w:val="18"/>
              </w:rPr>
              <w:t>1058</w:t>
            </w:r>
          </w:p>
        </w:tc>
        <w:tc>
          <w:tcPr>
            <w:tcW w:w="280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6AE8654C">
            <w:r>
              <w:rPr>
                <w:rFonts w:ascii="Arial" w:hAnsi="Arial" w:eastAsia="Arial" w:cs="Arial"/>
                <w:color w:val="3E2F2B"/>
                <w:sz w:val="18"/>
                <w:szCs w:val="18"/>
              </w:rPr>
              <w:t>Z08 — Labios · Z09 — Mandíbula · Z07 — Cuello</w:t>
            </w:r>
          </w:p>
        </w:tc>
        <w:tc>
          <w:tcPr>
            <w:tcW w:w="300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4F62591E">
            <w:r>
              <w:rPr>
                <w:rFonts w:ascii="Arial" w:hAnsi="Arial" w:eastAsia="Arial" w:cs="Arial"/>
                <w:color w:val="3E2F2B"/>
                <w:sz w:val="18"/>
                <w:szCs w:val="18"/>
              </w:rPr>
              <w:t>Orbicular · Mentalis · Masetero · Platisma</w:t>
            </w:r>
          </w:p>
        </w:tc>
        <w:tc>
          <w:tcPr>
            <w:tcW w:w="276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002AD7DD">
            <w:r>
              <w:rPr>
                <w:rFonts w:ascii="Arial" w:hAnsi="Arial" w:eastAsia="Arial" w:cs="Arial"/>
                <w:color w:val="3E2F2B"/>
                <w:sz w:val="18"/>
                <w:szCs w:val="18"/>
              </w:rPr>
              <w:t>Boca abierta · labio activo · bandas cuello</w:t>
            </w:r>
          </w:p>
        </w:tc>
      </w:tr>
      <w:tr w14:paraId="3E6E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00" w:type="dxa"/>
              <w:bottom w:w="80" w:type="dxa"/>
              <w:right w:w="100" w:type="dxa"/>
            </w:tcMar>
          </w:tcPr>
          <w:p w14:paraId="64AAD45C">
            <w:pPr>
              <w:jc w:val="center"/>
            </w:pPr>
            <w:r>
              <w:rPr>
                <w:rFonts w:ascii="Arial" w:hAnsi="Arial" w:eastAsia="Arial" w:cs="Arial"/>
                <w:b/>
                <w:bCs/>
                <w:color w:val="3E2F2B"/>
                <w:sz w:val="18"/>
                <w:szCs w:val="18"/>
              </w:rPr>
              <w:t>1061</w:t>
            </w:r>
          </w:p>
        </w:tc>
        <w:tc>
          <w:tcPr>
            <w:tcW w:w="280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3EEB4669">
            <w:r>
              <w:rPr>
                <w:rFonts w:ascii="Arial" w:hAnsi="Arial" w:eastAsia="Arial" w:cs="Arial"/>
                <w:color w:val="3E2F2B"/>
                <w:sz w:val="18"/>
                <w:szCs w:val="18"/>
              </w:rPr>
              <w:t>Z01 — Comisuras · Z08 — Labios</w:t>
            </w:r>
          </w:p>
        </w:tc>
        <w:tc>
          <w:tcPr>
            <w:tcW w:w="300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22BFCEC9">
            <w:r>
              <w:rPr>
                <w:rFonts w:ascii="Arial" w:hAnsi="Arial" w:eastAsia="Arial" w:cs="Arial"/>
                <w:color w:val="3E2F2B"/>
                <w:sz w:val="18"/>
                <w:szCs w:val="18"/>
              </w:rPr>
              <w:t>Depresor comisura · Orbicular labios</w:t>
            </w:r>
          </w:p>
        </w:tc>
        <w:tc>
          <w:tcPr>
            <w:tcW w:w="2760" w:type="dxa"/>
            <w:tcBorders>
              <w:top w:val="single" w:color="D4C4A8" w:sz="0" w:space="0"/>
              <w:left w:val="single" w:color="D4C4A8" w:sz="0" w:space="0"/>
              <w:bottom w:val="single" w:color="D4C4A8" w:sz="0" w:space="0"/>
              <w:right w:val="single" w:color="D4C4A8" w:sz="0" w:space="0"/>
            </w:tcBorders>
            <w:shd w:val="clear" w:color="auto" w:fill="F5EFE6"/>
            <w:tcMar>
              <w:top w:w="80" w:type="dxa"/>
              <w:left w:w="120" w:type="dxa"/>
              <w:bottom w:w="80" w:type="dxa"/>
              <w:right w:w="120" w:type="dxa"/>
            </w:tcMar>
          </w:tcPr>
          <w:p w14:paraId="37A2DD84">
            <w:r>
              <w:rPr>
                <w:rFonts w:ascii="Arial" w:hAnsi="Arial" w:eastAsia="Arial" w:cs="Arial"/>
                <w:color w:val="3E2F2B"/>
                <w:sz w:val="18"/>
                <w:szCs w:val="18"/>
              </w:rPr>
              <w:t>Apertura labial involuntaria</w:t>
            </w:r>
          </w:p>
        </w:tc>
      </w:tr>
      <w:tr w14:paraId="57D0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00" w:type="dxa"/>
              <w:bottom w:w="80" w:type="dxa"/>
              <w:right w:w="100" w:type="dxa"/>
            </w:tcMar>
          </w:tcPr>
          <w:p w14:paraId="7EB43131">
            <w:pPr>
              <w:jc w:val="center"/>
            </w:pPr>
            <w:r>
              <w:rPr>
                <w:rFonts w:ascii="Arial" w:hAnsi="Arial" w:eastAsia="Arial" w:cs="Arial"/>
                <w:b/>
                <w:bCs/>
                <w:color w:val="3E2F2B"/>
                <w:sz w:val="18"/>
                <w:szCs w:val="18"/>
              </w:rPr>
              <w:t>1062</w:t>
            </w:r>
          </w:p>
        </w:tc>
        <w:tc>
          <w:tcPr>
            <w:tcW w:w="280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52A1E6D4">
            <w:r>
              <w:rPr>
                <w:rFonts w:ascii="Arial" w:hAnsi="Arial" w:eastAsia="Arial" w:cs="Arial"/>
                <w:color w:val="3E2F2B"/>
                <w:sz w:val="18"/>
                <w:szCs w:val="18"/>
              </w:rPr>
              <w:t>Z04 — Mejillas · Z01 — Comisuras · Z07 — Cuello</w:t>
            </w:r>
          </w:p>
        </w:tc>
        <w:tc>
          <w:tcPr>
            <w:tcW w:w="300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037D3030">
            <w:r>
              <w:rPr>
                <w:rFonts w:ascii="Arial" w:hAnsi="Arial" w:eastAsia="Arial" w:cs="Arial"/>
                <w:color w:val="3E2F2B"/>
                <w:sz w:val="18"/>
                <w:szCs w:val="18"/>
              </w:rPr>
              <w:t>Cigomático mayor · SMAS · Platisma</w:t>
            </w:r>
          </w:p>
        </w:tc>
        <w:tc>
          <w:tcPr>
            <w:tcW w:w="2760" w:type="dxa"/>
            <w:tcBorders>
              <w:top w:val="single" w:color="D4C4A8" w:sz="0" w:space="0"/>
              <w:left w:val="single" w:color="D4C4A8" w:sz="0" w:space="0"/>
              <w:bottom w:val="single" w:color="D4C4A8" w:sz="0" w:space="0"/>
              <w:right w:val="single" w:color="D4C4A8" w:sz="0" w:space="0"/>
            </w:tcBorders>
            <w:shd w:val="clear" w:color="auto" w:fill="FAF6F0"/>
            <w:tcMar>
              <w:top w:w="80" w:type="dxa"/>
              <w:left w:w="120" w:type="dxa"/>
              <w:bottom w:w="80" w:type="dxa"/>
              <w:right w:w="120" w:type="dxa"/>
            </w:tcMar>
          </w:tcPr>
          <w:p w14:paraId="1C8B760A">
            <w:r>
              <w:rPr>
                <w:rFonts w:ascii="Arial" w:hAnsi="Arial" w:eastAsia="Arial" w:cs="Arial"/>
                <w:color w:val="3E2F2B"/>
                <w:sz w:val="18"/>
                <w:szCs w:val="18"/>
              </w:rPr>
              <w:t>Sonrisa involuntaria · asimetría de activación</w:t>
            </w:r>
          </w:p>
        </w:tc>
      </w:tr>
    </w:tbl>
    <w:p w14:paraId="7F80F6F2">
      <w:pPr>
        <w:spacing w:before="200" w:after="120"/>
      </w:pPr>
    </w:p>
    <w:p w14:paraId="49B03B9C">
      <w:pPr>
        <w:spacing w:before="80" w:after="80"/>
      </w:pPr>
      <w:r>
        <w:rPr>
          <w:rFonts w:ascii="Arial" w:hAnsi="Arial" w:eastAsia="Arial" w:cs="Arial"/>
          <w:b w:val="0"/>
          <w:bCs w:val="0"/>
          <w:color w:val="3E2F2B"/>
          <w:sz w:val="21"/>
          <w:szCs w:val="21"/>
        </w:rPr>
        <w:t>La asimetría de activación que se ve en todas las fotos — un lado más activo que el otro — es un signo clínico de autenticidad. Si la respuesta fuera simétrica y perfecta, sería artificial. La respuesta neuromuscular real siempre es asimétrica, progresiva y espontánea.</w:t>
      </w:r>
    </w:p>
    <w:p w14:paraId="7B4FF09B">
      <w:pPr>
        <w:spacing w:before="12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2D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C4A8" w:sz="0" w:space="0"/>
              <w:left w:val="single" w:color="D4C4A8" w:sz="0" w:space="0"/>
              <w:bottom w:val="single" w:color="D4C4A8" w:sz="0" w:space="0"/>
              <w:right w:val="single" w:color="D4C4A8" w:sz="0" w:space="0"/>
            </w:tcBorders>
            <w:shd w:val="clear" w:color="auto" w:fill="F5EFE6"/>
            <w:tcMar>
              <w:top w:w="140" w:type="dxa"/>
              <w:left w:w="240" w:type="dxa"/>
              <w:bottom w:w="140" w:type="dxa"/>
              <w:right w:w="240" w:type="dxa"/>
            </w:tcMar>
          </w:tcPr>
          <w:p w14:paraId="3CF05B68">
            <w:r>
              <w:rPr>
                <w:rFonts w:ascii="Arial" w:hAnsi="Arial" w:eastAsia="Arial" w:cs="Arial"/>
                <w:b/>
                <w:bCs/>
                <w:i/>
                <w:iCs/>
                <w:color w:val="3E2F2B"/>
                <w:sz w:val="22"/>
                <w:szCs w:val="22"/>
              </w:rPr>
              <w:t>"Una sola sesión. Sin agujas. Sin corriente eléctrica. Sin tecnología de ningún tipo. Solo los ingredientes de Yadala actuando en la interfaz nervio-fascia-músculo. Eso es la bioestimulación real."</w:t>
            </w:r>
          </w:p>
        </w:tc>
      </w:tr>
    </w:tbl>
    <w:p w14:paraId="6C56B5EF">
      <w:pPr>
        <w:spacing w:before="300" w:after="0"/>
      </w:pPr>
    </w:p>
    <w:p w14:paraId="3A59FDAC">
      <w:pPr>
        <w:pBdr>
          <w:bottom w:val="single" w:color="C6A56B" w:sz="6" w:space="1"/>
        </w:pBdr>
        <w:spacing w:before="240" w:after="240"/>
      </w:pPr>
    </w:p>
    <w:p w14:paraId="794F643C">
      <w:pPr>
        <w:spacing w:before="200" w:after="80"/>
        <w:jc w:val="center"/>
      </w:pPr>
      <w:r>
        <w:rPr>
          <w:rFonts w:ascii="Arial" w:hAnsi="Arial" w:eastAsia="Arial" w:cs="Arial"/>
          <w:b/>
          <w:bCs/>
          <w:color w:val="3E2F2B"/>
          <w:sz w:val="18"/>
          <w:szCs w:val="18"/>
        </w:rPr>
        <w:t>YADALA · Dossier Clínico de Evidencia</w:t>
      </w:r>
    </w:p>
    <w:p w14:paraId="0762FE21">
      <w:pPr>
        <w:jc w:val="center"/>
      </w:pPr>
      <w:r>
        <w:rPr>
          <w:rFonts w:ascii="Arial" w:hAnsi="Arial" w:eastAsia="Arial" w:cs="Arial"/>
          <w:i/>
          <w:iCs/>
          <w:color w:val="7A6A5A"/>
          <w:sz w:val="16"/>
          <w:szCs w:val="16"/>
        </w:rPr>
        <w:t>Uso interno · Centros de Estética · Formación Profesional · Mayo 2026</w:t>
      </w:r>
    </w:p>
    <w:sectPr>
      <w:pgSz w:w="11906" w:h="16838"/>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B55492"/>
    <w:rsid w:val="3C3B2657"/>
    <w:rsid w:val="502554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240" w:after="120"/>
      <w:outlineLvl w:val="0"/>
    </w:pPr>
    <w:rPr>
      <w:rFonts w:ascii="Arial" w:hAnsi="Arial" w:eastAsia="Arial" w:cs="Arial"/>
      <w:b/>
      <w:bCs/>
      <w:color w:val="3E2F2B"/>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185</Words>
  <Characters>1007</Characters>
  <TotalTime>1</TotalTime>
  <ScaleCrop>false</ScaleCrop>
  <LinksUpToDate>false</LinksUpToDate>
  <CharactersWithSpaces>1177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2026-05-30T12:33:00Z</dcterms:created>
  <dc:creator>Un-named</dc:creator>
  <cp:lastModifiedBy>pedrojorda.me.admon</cp:lastModifiedBy>
  <dcterms:modified xsi:type="dcterms:W3CDTF">2026-05-30T13:32:50Z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eyJoZGlkIjoiZDFlNzhiMGZiZGM0MmZkM2EwZjIwZmQ1MzI5MWJkYWIiLCJ1c2VySWQiOiIzNzI4MTUyODY1MzU1In0=</vt:lpwstr>
  </property>
  <property fmtid="{D5CDD505-2E9C-101B-9397-08002B2CF9AE}" pid="3" name="KSOProductBuildVer">
    <vt:lpwstr>1033-12.1.0.26372</vt:lpwstr>
  </property>
  <property fmtid="{D5CDD505-2E9C-101B-9397-08002B2CF9AE}" pid="4" name="ICV">
    <vt:lpwstr>D84102A5BC0E4C3CAD20288ACF23BD17_12</vt:lpwstr>
  </property>
</Properties>
</file>