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78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E2F2B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1C118063">
            <w:pPr>
              <w:spacing w:before="200"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C6A56B"/>
                <w:sz w:val="52"/>
                <w:szCs w:val="52"/>
              </w:rPr>
              <w:t>YADALA</w:t>
            </w:r>
          </w:p>
          <w:p w14:paraId="669AB77D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BIBLIOTECA DE CONOCIMIENTO</w:t>
            </w:r>
          </w:p>
          <w:p w14:paraId="54B0E3EF">
            <w:pPr>
              <w:spacing w:before="0" w:after="200"/>
              <w:jc w:val="center"/>
            </w:pPr>
            <w:r>
              <w:rPr>
                <w:rFonts w:ascii="Arial" w:hAnsi="Arial" w:eastAsia="Arial" w:cs="Arial"/>
                <w:i/>
                <w:iCs/>
                <w:color w:val="F5EFE6"/>
                <w:sz w:val="20"/>
                <w:szCs w:val="20"/>
              </w:rPr>
              <w:t>Preguntas y Respuestas Profesionales para Centros de Estética</w:t>
            </w:r>
          </w:p>
        </w:tc>
      </w:tr>
    </w:tbl>
    <w:p w14:paraId="4F75F051">
      <w:pPr>
        <w:spacing w:before="200" w:after="0"/>
      </w:pPr>
    </w:p>
    <w:p w14:paraId="0B25CAB7">
      <w:pPr>
        <w:spacing w:before="100" w:after="400"/>
        <w:jc w:val="center"/>
      </w:pPr>
      <w:r>
        <w:rPr>
          <w:rFonts w:ascii="Arial" w:hAnsi="Arial" w:eastAsia="Arial" w:cs="Arial"/>
          <w:i/>
          <w:iCs/>
          <w:color w:val="7A6A5A"/>
          <w:sz w:val="19"/>
          <w:szCs w:val="19"/>
        </w:rPr>
        <w:t>Bioestimulación Facial · Prevención · Recuperación · Reconexión</w:t>
      </w:r>
    </w:p>
    <w:p w14:paraId="3A02AED2">
      <w:pPr>
        <w:spacing w:before="200" w:after="120"/>
      </w:pPr>
      <w:r>
        <w:rPr>
          <w:rFonts w:ascii="Arial" w:hAnsi="Arial" w:eastAsia="Arial" w:cs="Arial"/>
          <w:b/>
          <w:bCs/>
          <w:color w:val="3E2F2B"/>
          <w:sz w:val="24"/>
          <w:szCs w:val="24"/>
        </w:rPr>
        <w:t>Sobre esta biblioteca</w:t>
      </w:r>
    </w:p>
    <w:p w14:paraId="2AAA68EE">
      <w:pPr>
        <w:spacing w:before="80" w:after="80"/>
      </w:pPr>
      <w:r>
        <w:rPr>
          <w:rFonts w:ascii="Arial" w:hAnsi="Arial" w:eastAsia="Arial" w:cs="Arial"/>
          <w:color w:val="3E2F2B"/>
          <w:sz w:val="21"/>
          <w:szCs w:val="21"/>
        </w:rPr>
        <w:t>Este documento recoge preguntas reales que hacen las clientas y profesionales sobre Yadala, con respuestas precisas, científicamente fundamentadas y listas para usar en cabina, en formación o en comunicación de marca.</w:t>
      </w:r>
    </w:p>
    <w:p w14:paraId="79B4E058">
      <w:pPr>
        <w:spacing w:before="80" w:after="80"/>
      </w:pPr>
      <w:r>
        <w:rPr>
          <w:rFonts w:ascii="Arial" w:hAnsi="Arial" w:eastAsia="Arial" w:cs="Arial"/>
          <w:color w:val="3E2F2B"/>
          <w:sz w:val="21"/>
          <w:szCs w:val="21"/>
        </w:rPr>
        <w:t>Cada respuesta sigue el rigor del sistema Yadala: sin inventar productos, sin exagerar efectos, con el lenguaje correcto de marca.</w:t>
      </w:r>
    </w:p>
    <w:p w14:paraId="11143865">
      <w:pPr>
        <w:pBdr>
          <w:bottom w:val="single" w:color="C6A56B" w:sz="4" w:space="1"/>
        </w:pBdr>
        <w:spacing w:before="200" w:after="200"/>
      </w:pPr>
    </w:p>
    <w:p w14:paraId="7CC77948">
      <w:pPr>
        <w:spacing w:before="300" w:after="80"/>
      </w:pPr>
      <w:r>
        <w:rPr>
          <w:rFonts w:ascii="Arial" w:hAnsi="Arial" w:eastAsia="Arial" w:cs="Arial"/>
          <w:b/>
          <w:bCs/>
          <w:color w:val="3E2F2B"/>
          <w:sz w:val="26"/>
          <w:szCs w:val="26"/>
        </w:rPr>
        <w:t>ZONA 04 — MEJILLAS Y PÓMULOS</w:t>
      </w:r>
    </w:p>
    <w:p w14:paraId="4375A451">
      <w:pPr>
        <w:spacing w:before="60" w:after="60"/>
      </w:pPr>
      <w:r>
        <w:rPr>
          <w:rFonts w:ascii="Arial" w:hAnsi="Arial" w:eastAsia="Arial" w:cs="Arial"/>
          <w:i/>
          <w:iCs/>
          <w:color w:val="7A6A5A"/>
          <w:sz w:val="18"/>
          <w:szCs w:val="18"/>
        </w:rPr>
        <w:t>Músculo principal: Cigomático mayor y menor  ·  Línea Yadala: RECLAIM · RECOVER</w:t>
      </w:r>
    </w:p>
    <w:p w14:paraId="3CCDC639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C5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E2F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B0D59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C6A56B"/>
                <w:sz w:val="18"/>
                <w:szCs w:val="18"/>
              </w:rPr>
              <w:t xml:space="preserve">P1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¿Cómo se activa el músculo detrás de la mejilla? ¿Por qué Yadala hace que la clienta sonría sola?</w:t>
            </w:r>
          </w:p>
        </w:tc>
      </w:tr>
      <w:tr w14:paraId="79B6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221A8E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3E2F2B"/>
                <w:sz w:val="21"/>
                <w:szCs w:val="21"/>
              </w:rPr>
              <w:t>El músculo detrás de la sonrisa</w:t>
            </w:r>
          </w:p>
        </w:tc>
      </w:tr>
      <w:tr w14:paraId="06C6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F3D49F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Se llama cigomático mayor (Zygomaticus major), y tiene un compañero que lo apoya: el cigomático menor (Zygomaticus minor).</w:t>
            </w:r>
          </w:p>
        </w:tc>
      </w:tr>
      <w:tr w14:paraId="699C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C86B6C">
            <w:pPr>
              <w:spacing w:before="60" w:after="60"/>
            </w:pPr>
          </w:p>
        </w:tc>
      </w:tr>
      <w:tr w14:paraId="084F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F4E22C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El cigomático mayor va desde el hueso malar (el pómulo) hasta la comisura labial. Cuando se contrae, tira de la comisura hacia arriba y hacia afuera — exactamente el arco que dibuja una sonrisa. Es el músculo más expresivo del tercio medio del rostro.</w:t>
            </w:r>
          </w:p>
        </w:tc>
      </w:tr>
      <w:tr w14:paraId="2D8A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286498">
            <w:pPr>
              <w:spacing w:before="60" w:after="60"/>
            </w:pPr>
          </w:p>
        </w:tc>
      </w:tr>
      <w:tr w14:paraId="72DF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77E0DB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El cigomático menor eleva el labio superior para apoyar esa expresión.</w:t>
            </w:r>
          </w:p>
        </w:tc>
      </w:tr>
      <w:tr w14:paraId="2B40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E543B0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3E2F2B"/>
                <w:sz w:val="21"/>
                <w:szCs w:val="21"/>
              </w:rPr>
              <w:t>Por qué se contraen</w:t>
            </w:r>
          </w:p>
        </w:tc>
      </w:tr>
      <w:tr w14:paraId="7A8A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278763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Aquí está la clave de lo que hace Yadala:</w:t>
            </w:r>
          </w:p>
        </w:tc>
      </w:tr>
      <w:tr w14:paraId="0202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153DC8">
            <w:pPr>
              <w:spacing w:before="60" w:after="60"/>
            </w:pPr>
          </w:p>
        </w:tc>
      </w:tr>
      <w:tr w14:paraId="572F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51F48B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Los músculos faciales no funcionan solos. Están envueltos en una fascia llamada SMAS (Sistema Musculoaponeurótico Superficial), que actúa como una red de tensión que conecta todos los músculos entre sí y con la piel. Y bajo esa fascia hay una densa red de terminaciones nerviosas del sistema nervioso periférico.</w:t>
            </w:r>
          </w:p>
        </w:tc>
      </w:tr>
      <w:tr w14:paraId="1D92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2F0CB7">
            <w:pPr>
              <w:spacing w:before="60" w:after="60"/>
            </w:pPr>
          </w:p>
        </w:tc>
      </w:tr>
      <w:tr w14:paraId="0AB4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FC23D4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Cuando los ingredientes bioestimuladores de Yadala penetran en la dermis, estimulan esas terminaciones nerviosas dérmicas. La señal viaja por el sistema nervioso periférico y provoca microcontracciones involuntarias en los músculos cigomáticos. No es un efecto químico de relajación ni de parálisis — es una activación neuromuscular real. Por eso la clienta literalmente sonríe sin querer.</w:t>
            </w:r>
          </w:p>
        </w:tc>
      </w:tr>
      <w:tr w14:paraId="05EE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097F48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3E2F2B"/>
                <w:sz w:val="21"/>
                <w:szCs w:val="21"/>
              </w:rPr>
              <w:t>Por qué esto no lo hace la cosmética convencional</w:t>
            </w:r>
          </w:p>
        </w:tc>
      </w:tr>
      <w:tr w14:paraId="5EFC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7D462B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La diferencia está en que Yadala llega a la interfaz nervio-fascia-músculo. La cosmética tópica estándar trabaja en la superficie de la epidermis. Yadala, como bioestimulador, llega a la dermis profunda donde residen los fibroblastos y donde pasan los nervios que comunican con la musculatura.</w:t>
            </w:r>
          </w:p>
        </w:tc>
      </w:tr>
      <w:tr w14:paraId="2375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522BA2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3E2F2B"/>
                <w:sz w:val="21"/>
                <w:szCs w:val="21"/>
              </w:rPr>
              <w:t>La secuencia biológica completa</w:t>
            </w:r>
          </w:p>
        </w:tc>
      </w:tr>
      <w:tr w14:paraId="426F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66031E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1.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Los activos penetran en la dermis</w:t>
            </w:r>
          </w:p>
        </w:tc>
      </w:tr>
      <w:tr w14:paraId="1D963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7B6F4D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2.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Estimulan terminaciones nerviosas dérmicas del SNP</w:t>
            </w:r>
          </w:p>
        </w:tc>
      </w:tr>
      <w:tr w14:paraId="79A2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511E76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3.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Eso dispara microcontracciones en el cigomático mayor y menor</w:t>
            </w:r>
          </w:p>
        </w:tc>
      </w:tr>
      <w:tr w14:paraId="2092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A26CB8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4.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La hiperemia controlada (el enrojecimiento) indica que hay oxigenación real y activación tisular</w:t>
            </w:r>
          </w:p>
        </w:tc>
      </w:tr>
      <w:tr w14:paraId="55F0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31B4E4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5.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Al mismo tiempo, los fibroblastos se reactivan → producen colágeno tipo I y III, GAGs, ácido hialurónico endógeno</w:t>
            </w:r>
          </w:p>
        </w:tc>
      </w:tr>
      <w:tr w14:paraId="037B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865A3B">
            <w:pPr>
              <w:spacing w:before="50" w:after="50"/>
              <w:ind w:left="360" w:hanging="24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6.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El SMAS recupera tensión fascial → el tercio medio del rostro se eleva biológicamente</w:t>
            </w:r>
          </w:p>
        </w:tc>
      </w:tr>
      <w:tr w14:paraId="362D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CF7A52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3E2F2B"/>
                <w:sz w:val="21"/>
                <w:szCs w:val="21"/>
              </w:rPr>
              <w:t>El resultado visible</w:t>
            </w:r>
          </w:p>
        </w:tc>
      </w:tr>
      <w:tr w14:paraId="7117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B52A57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La sonrisa que aparece no es un efecto estético superficial. Es la prueba clínica de que el nervio ha respondido, el músculo ha recibido la señal y la fascia se ha activado. Es exactamente lo mismo que ocurre con la radiofrecuencia, el LED o las microagujas — solo que sin ninguna de esas tecnologías.</w:t>
            </w:r>
          </w:p>
        </w:tc>
      </w:tr>
      <w:tr w14:paraId="7F1B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C9DB9C">
            <w:pPr>
              <w:spacing w:before="60" w:after="60"/>
            </w:pPr>
          </w:p>
        </w:tc>
      </w:tr>
      <w:tr w14:paraId="49F1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162E29">
            <w:pPr>
              <w:spacing w:before="100" w:after="100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3E2F2B"/>
                <w:sz w:val="21"/>
                <w:szCs w:val="21"/>
              </w:rPr>
              <w:t>"Por eso la clienta no puede fingirlo. No es que le digas 'sonríe'. Es que su cigomático mayor se mueve solo. Eso, en cosmética tópica, es extraordinariamente raro — y es el diferenciador más honesto que tiene Yadala."</w:t>
            </w:r>
          </w:p>
        </w:tc>
      </w:tr>
      <w:tr w14:paraId="5912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88BA53">
            <w:pPr>
              <w:spacing w:before="60" w:after="60"/>
            </w:pPr>
          </w:p>
        </w:tc>
      </w:tr>
    </w:tbl>
    <w:p w14:paraId="5567BA9D">
      <w:pPr>
        <w:spacing w:before="2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53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E2F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4DE4D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C6A56B"/>
                <w:sz w:val="18"/>
                <w:szCs w:val="18"/>
              </w:rPr>
              <w:t xml:space="preserve">P2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¿Por qué con los años los pómulos parecen hundirse y la cara cambia de forma?</w:t>
            </w:r>
          </w:p>
        </w:tc>
      </w:tr>
      <w:tr w14:paraId="0811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7C368C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La pérdida de proyección malar no es un solo proceso — son cuatro que ocurren a la vez:</w:t>
            </w:r>
          </w:p>
        </w:tc>
      </w:tr>
      <w:tr w14:paraId="71E0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3D4E4B">
            <w:pPr>
              <w:spacing w:before="60" w:after="60"/>
            </w:pPr>
          </w:p>
        </w:tc>
      </w:tr>
      <w:tr w14:paraId="1400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9222AD">
            <w:pPr>
              <w:spacing w:before="50" w:after="50"/>
              <w:ind w:left="320" w:hanging="20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→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La grasa malar profunda pierde volumen y migra hacia abajo (ptosis grasa).</w:t>
            </w:r>
          </w:p>
        </w:tc>
      </w:tr>
      <w:tr w14:paraId="0109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C59925">
            <w:pPr>
              <w:spacing w:before="50" w:after="50"/>
              <w:ind w:left="320" w:hanging="20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→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El SMAS se relaja → toda la estructura del tercio medio cae.</w:t>
            </w:r>
          </w:p>
        </w:tc>
      </w:tr>
      <w:tr w14:paraId="6916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420CB2">
            <w:pPr>
              <w:spacing w:before="50" w:after="50"/>
              <w:ind w:left="320" w:hanging="20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→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Los músculos cigomáticos pierden tono → menos elevación y proyección.</w:t>
            </w:r>
          </w:p>
        </w:tc>
      </w:tr>
      <w:tr w14:paraId="64E6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0A64C5">
            <w:pPr>
              <w:spacing w:before="50" w:after="50"/>
              <w:ind w:left="320" w:hanging="200"/>
            </w:pPr>
            <w:r>
              <w:rPr>
                <w:rFonts w:ascii="Arial" w:hAnsi="Arial" w:eastAsia="Arial" w:cs="Arial"/>
                <w:b/>
                <w:bCs/>
                <w:color w:val="C6A56B"/>
                <w:sz w:val="20"/>
                <w:szCs w:val="20"/>
              </w:rPr>
              <w:t xml:space="preserve">→  </w:t>
            </w:r>
            <w:r>
              <w:rPr>
                <w:rFonts w:ascii="Arial" w:hAnsi="Arial" w:eastAsia="Arial" w:cs="Arial"/>
                <w:color w:val="3E2F2B"/>
                <w:sz w:val="20"/>
                <w:szCs w:val="20"/>
              </w:rPr>
              <w:t>La dermis pierde colágeno tipo I y III → la piel se vuelve más fina y no sostiene.</w:t>
            </w:r>
          </w:p>
        </w:tc>
      </w:tr>
      <w:tr w14:paraId="2505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4460E3">
            <w:pPr>
              <w:spacing w:before="60" w:after="60"/>
            </w:pPr>
          </w:p>
        </w:tc>
      </w:tr>
      <w:tr w14:paraId="179D4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1A65D9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El resultado visible: los pómulos parecen hundidos, las mejillas caen, el surco nasogeniano se marca más y el rostro pasa de tener forma de triángulo invertido (joven) a forma rectangular o pesada.</w:t>
            </w:r>
          </w:p>
        </w:tc>
      </w:tr>
      <w:tr w14:paraId="3C84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BEC7C4">
            <w:pPr>
              <w:spacing w:before="60" w:after="60"/>
            </w:pPr>
          </w:p>
        </w:tc>
      </w:tr>
      <w:tr w14:paraId="15DF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D850A5">
            <w:pPr>
              <w:spacing w:before="100" w:after="100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3E2F2B"/>
                <w:sz w:val="21"/>
                <w:szCs w:val="21"/>
              </w:rPr>
              <w:t>"La clienta no sabe exactamente qué ha cambiado. Solo sabe que ya no se reconoce del todo. Ahí está el punto de entrada más potente para RECLAIM."</w:t>
            </w:r>
          </w:p>
        </w:tc>
      </w:tr>
      <w:tr w14:paraId="6BA0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EAA579">
            <w:pPr>
              <w:spacing w:before="60" w:after="60"/>
            </w:pPr>
          </w:p>
        </w:tc>
      </w:tr>
      <w:tr w14:paraId="67AD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D2BD6A">
            <w:pPr>
              <w:spacing w:before="70" w:after="70"/>
            </w:pPr>
            <w:r>
              <w:rPr>
                <w:rFonts w:ascii="Arial" w:hAnsi="Arial" w:eastAsia="Arial" w:cs="Arial"/>
                <w:b w:val="0"/>
                <w:bCs w:val="0"/>
                <w:color w:val="3E2F2B"/>
                <w:sz w:val="21"/>
                <w:szCs w:val="21"/>
              </w:rPr>
              <w:t>Yadala trabaja en las cuatro capas: activa el tono muscular cigomático, estimula la síntesis de colágeno y GAGs en la dermis malar, mejora la microcirculación local y activa la tensión fascial del SMAS.</w:t>
            </w:r>
          </w:p>
        </w:tc>
      </w:tr>
      <w:tr w14:paraId="50868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EFE6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0DE802">
            <w:pPr>
              <w:spacing w:before="60" w:after="60"/>
            </w:pPr>
          </w:p>
        </w:tc>
      </w:tr>
    </w:tbl>
    <w:p w14:paraId="61DDC155">
      <w:pPr>
        <w:spacing w:before="400" w:after="0"/>
      </w:pPr>
    </w:p>
    <w:p w14:paraId="60E598D7">
      <w:pPr>
        <w:pBdr>
          <w:bottom w:val="single" w:color="C6A56B" w:sz="4" w:space="1"/>
        </w:pBdr>
        <w:spacing w:before="200" w:after="200"/>
      </w:pPr>
    </w:p>
    <w:p w14:paraId="5134B8E8">
      <w:pPr>
        <w:spacing w:before="300" w:after="80"/>
        <w:jc w:val="center"/>
      </w:pPr>
      <w:r>
        <w:rPr>
          <w:rFonts w:ascii="Arial" w:hAnsi="Arial" w:eastAsia="Arial" w:cs="Arial"/>
          <w:b/>
          <w:bCs/>
          <w:color w:val="3E2F2B"/>
          <w:sz w:val="18"/>
          <w:szCs w:val="18"/>
        </w:rPr>
        <w:t>YADALA · Biblioteca de Conocimiento Profesional</w:t>
      </w:r>
    </w:p>
    <w:p w14:paraId="74F364BC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7A6A5A"/>
          <w:sz w:val="16"/>
          <w:szCs w:val="16"/>
        </w:rPr>
        <w:t>Uso interno · Centros de Estética · Formación de Equipo</w:t>
      </w:r>
    </w:p>
    <w:p w14:paraId="062B7E0E">
      <w:pPr>
        <w:jc w:val="center"/>
      </w:pPr>
      <w:bookmarkStart w:id="0" w:name="_GoBack"/>
      <w:bookmarkEnd w:id="0"/>
      <w:r>
        <w:rPr>
          <w:rFonts w:ascii="Arial" w:hAnsi="Arial" w:eastAsia="Arial" w:cs="Arial"/>
          <w:color w:val="9A8A7A"/>
          <w:sz w:val="16"/>
          <w:szCs w:val="16"/>
        </w:rPr>
        <w:t>Mayo 2026 · v1.1</w:t>
      </w:r>
    </w:p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6B72A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3E2F2B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733</Words>
  <Characters>3764</Characters>
  <TotalTime>0</TotalTime>
  <ScaleCrop>false</ScaleCrop>
  <LinksUpToDate>false</LinksUpToDate>
  <CharactersWithSpaces>4469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2026-05-30T12:04:00Z</dcterms:created>
  <dc:creator>Un-named</dc:creator>
  <cp:lastModifiedBy>pedrojorda.me.admon</cp:lastModifiedBy>
  <dcterms:modified xsi:type="dcterms:W3CDTF">2026-05-30T12:08:28Z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eyJoZGlkIjoiZDFlNzhiMGZiZGM0MmZkM2EwZjIwZmQ1MzI5MWJkYWIiLCJ1c2VySWQiOiIzNzI4MTUyODY1MzU1In0=</vt:lpwstr>
  </property>
  <property fmtid="{D5CDD505-2E9C-101B-9397-08002B2CF9AE}" pid="3" name="KSOProductBuildVer">
    <vt:lpwstr>1033-12.1.0.26372</vt:lpwstr>
  </property>
  <property fmtid="{D5CDD505-2E9C-101B-9397-08002B2CF9AE}" pid="4" name="ICV">
    <vt:lpwstr>F49D36DD53514A4DBF87DFB9B472949E_12</vt:lpwstr>
  </property>
</Properties>
</file>