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CF8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3E2F2B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657AD9A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>YADALA</w:t>
            </w:r>
          </w:p>
          <w:p w14:paraId="54F7ADCC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i/>
                <w:iCs/>
                <w:color w:val="F5EFE6"/>
                <w:sz w:val="16"/>
                <w:szCs w:val="16"/>
              </w:rPr>
              <w:t>Skin Science / Biointeligencia Cutánea</w:t>
            </w:r>
          </w:p>
          <w:p w14:paraId="7D4FE9F2">
            <w:pPr>
              <w:spacing w:before="80" w:after="0"/>
              <w:jc w:val="center"/>
            </w:pPr>
            <w:r>
              <w:rPr>
                <w:rFonts w:ascii="Arial" w:hAnsi="Arial" w:eastAsia="Arial" w:cs="Arial"/>
                <w:caps/>
                <w:color w:val="C6A56B"/>
                <w:spacing w:val="100"/>
                <w:sz w:val="15"/>
                <w:szCs w:val="15"/>
              </w:rPr>
              <w:t>FICHA DE ANÁLISIS · PARÁMETRO RGB PORE</w:t>
            </w:r>
          </w:p>
        </w:tc>
      </w:tr>
    </w:tbl>
    <w:p w14:paraId="63B52EB9">
      <w:pPr>
        <w:spacing w:before="200" w:after="0"/>
      </w:pPr>
    </w:p>
    <w:p w14:paraId="5C36BAF9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Lo que el análisis ha detectado</w:t>
      </w:r>
    </w:p>
    <w:p w14:paraId="76053C92">
      <w:pPr>
        <w:spacing w:before="100" w:after="0"/>
      </w:pPr>
    </w:p>
    <w:p w14:paraId="1C9B255E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Tu piel muestra signos de alteración en la calidad y el comportamiento de algunos poros.</w:t>
      </w:r>
    </w:p>
    <w:p w14:paraId="18F9A2AB">
      <w:pPr>
        <w:spacing w:before="60" w:after="0"/>
      </w:pPr>
    </w:p>
    <w:p w14:paraId="2D6C8D1C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 xml:space="preserve">Este resultado suele estar asociado a </w:t>
      </w:r>
      <w:r>
        <w:rPr>
          <w:rFonts w:ascii="Arial" w:hAnsi="Arial" w:eastAsia="Arial" w:cs="Arial"/>
          <w:b/>
          <w:bCs/>
          <w:color w:val="333333"/>
          <w:sz w:val="20"/>
          <w:szCs w:val="20"/>
        </w:rPr>
        <w:t>exceso de sebo</w:t>
      </w:r>
      <w:r>
        <w:rPr>
          <w:rFonts w:ascii="Arial" w:hAnsi="Arial" w:eastAsia="Arial" w:cs="Arial"/>
          <w:color w:val="333333"/>
          <w:sz w:val="20"/>
          <w:szCs w:val="20"/>
        </w:rPr>
        <w:t>,</w:t>
      </w:r>
      <w:r>
        <w:rPr>
          <w:rFonts w:ascii="Arial" w:hAnsi="Arial" w:eastAsia="Arial" w:cs="Arial"/>
          <w:b/>
          <w:bCs/>
          <w:color w:val="333333"/>
          <w:sz w:val="20"/>
          <w:szCs w:val="20"/>
        </w:rPr>
        <w:t xml:space="preserve"> acumulación de residuos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 y </w:t>
      </w:r>
      <w:r>
        <w:rPr>
          <w:rFonts w:ascii="Arial" w:hAnsi="Arial" w:eastAsia="Arial" w:cs="Arial"/>
          <w:b/>
          <w:bCs/>
          <w:color w:val="333333"/>
          <w:sz w:val="20"/>
          <w:szCs w:val="20"/>
        </w:rPr>
        <w:t xml:space="preserve">una pérdida progresiva de firmeza </w:t>
      </w: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en el tejido que rodea al poro</w:t>
      </w:r>
      <w:r>
        <w:rPr>
          <w:rFonts w:ascii="Arial" w:hAnsi="Arial" w:eastAsia="Arial" w:cs="Arial"/>
          <w:color w:val="333333"/>
          <w:sz w:val="20"/>
          <w:szCs w:val="20"/>
        </w:rPr>
        <w:t>.</w:t>
      </w:r>
    </w:p>
    <w:p w14:paraId="61AA1417">
      <w:pPr>
        <w:spacing w:before="60" w:after="0"/>
      </w:pPr>
    </w:p>
    <w:p w14:paraId="1ED623C4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Si notas puntos negros recurrentes, brillo excesivo o una textura menos uniforme, este parámetro puede estar explicando parte de esa situación.</w:t>
      </w:r>
    </w:p>
    <w:p w14:paraId="4B23BEDD">
      <w:pPr>
        <w:spacing w:before="160" w:after="0"/>
      </w:pPr>
    </w:p>
    <w:p w14:paraId="13062313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Nivel de urgencia según tu resultado</w:t>
      </w:r>
    </w:p>
    <w:p w14:paraId="246E682A">
      <w:pPr>
        <w:spacing w:before="10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3"/>
        <w:gridCol w:w="6265"/>
      </w:tblGrid>
      <w:tr w14:paraId="431A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73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6EAC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🔴  RGB PORE: &lt; 40%</w:t>
            </w:r>
          </w:p>
          <w:p w14:paraId="35CD1A84"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Intervención recomendada</w:t>
            </w:r>
          </w:p>
        </w:tc>
        <w:tc>
          <w:tcPr>
            <w:tcW w:w="6265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FFDB37">
            <w:r>
              <w:rPr>
                <w:rFonts w:ascii="Arial" w:hAnsi="Arial" w:eastAsia="Arial" w:cs="Arial"/>
                <w:i/>
                <w:iCs/>
                <w:color w:val="444444"/>
                <w:sz w:val="19"/>
                <w:szCs w:val="19"/>
              </w:rPr>
              <w:t>La alteración ya es visible y puede progresar si no se corrige el entorno biológico del poro.</w:t>
            </w:r>
          </w:p>
        </w:tc>
      </w:tr>
      <w:tr w14:paraId="2927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73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26AF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>🟠  RGB PORE: 40 – 69%</w:t>
            </w:r>
          </w:p>
          <w:p w14:paraId="40800EDD">
            <w:r>
              <w:rPr>
                <w:rFonts w:ascii="Arial" w:hAnsi="Arial" w:eastAsia="Arial" w:cs="Arial"/>
                <w:b/>
                <w:bCs/>
                <w:color w:val="E67E22"/>
                <w:sz w:val="19"/>
                <w:szCs w:val="19"/>
              </w:rPr>
              <w:t>Optimización recomendada</w:t>
            </w:r>
          </w:p>
        </w:tc>
        <w:tc>
          <w:tcPr>
            <w:tcW w:w="6265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A7DFE">
            <w:r>
              <w:rPr>
                <w:rFonts w:ascii="Arial" w:hAnsi="Arial" w:eastAsia="Arial" w:cs="Arial"/>
                <w:i/>
                <w:iCs/>
                <w:color w:val="444444"/>
                <w:sz w:val="19"/>
                <w:szCs w:val="19"/>
              </w:rPr>
              <w:t>Existen signos que pueden evolucionar hacia una mayor visibilidad de poros. Momento ideal para actuar.</w:t>
            </w:r>
          </w:p>
        </w:tc>
      </w:tr>
      <w:tr w14:paraId="4390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73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B458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>🟢  RGB PORE: 70% o más</w:t>
            </w:r>
          </w:p>
          <w:p w14:paraId="5EC29EF7">
            <w:r>
              <w:rPr>
                <w:rFonts w:ascii="Arial" w:hAnsi="Arial" w:eastAsia="Arial" w:cs="Arial"/>
                <w:b/>
                <w:bCs/>
                <w:color w:val="27AE60"/>
                <w:sz w:val="19"/>
                <w:szCs w:val="19"/>
              </w:rPr>
              <w:t>Prevención</w:t>
            </w:r>
          </w:p>
        </w:tc>
        <w:tc>
          <w:tcPr>
            <w:tcW w:w="6265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0FF71">
            <w:r>
              <w:rPr>
                <w:rFonts w:ascii="Arial" w:hAnsi="Arial" w:eastAsia="Arial" w:cs="Arial"/>
                <w:i/>
                <w:iCs/>
                <w:color w:val="444444"/>
                <w:sz w:val="19"/>
                <w:szCs w:val="19"/>
              </w:rPr>
              <w:t>El estado actual es favorable. El objetivo es conservar la calidad estructural alcanzada.</w:t>
            </w:r>
          </w:p>
        </w:tc>
      </w:tr>
    </w:tbl>
    <w:p w14:paraId="1C04236F">
      <w:pPr>
        <w:spacing w:before="200" w:after="0"/>
      </w:pPr>
    </w:p>
    <w:p w14:paraId="5C194140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Textos configurados en el Zemits VeraFace — por rango</w:t>
      </w:r>
    </w:p>
    <w:p w14:paraId="705E7F75">
      <w:pPr>
        <w:spacing w:before="100" w:after="0"/>
      </w:pPr>
    </w:p>
    <w:p w14:paraId="43714B97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Los siguientes textos están configurados en el sistema Zemits para cada rango del parámetro RGB Pore. Aparecen automáticamente en el informe individual de la clienta.</w:t>
      </w:r>
    </w:p>
    <w:p w14:paraId="3164863B">
      <w:pPr>
        <w:spacing w:before="10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0"/>
        <w:gridCol w:w="2120"/>
        <w:gridCol w:w="5398"/>
      </w:tblGrid>
      <w:tr w14:paraId="6EB0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3E2F2B" w:sz="0" w:space="0"/>
              <w:left w:val="single" w:color="3E2F2B" w:sz="0" w:space="0"/>
              <w:bottom w:val="single" w:color="3E2F2B" w:sz="0" w:space="0"/>
              <w:right w:val="single" w:color="3E2F2B" w:sz="0" w:space="0"/>
            </w:tcBorders>
            <w:shd w:val="clear" w:color="auto" w:fill="3E2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2D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6A56B"/>
                <w:sz w:val="18"/>
                <w:szCs w:val="18"/>
              </w:rPr>
              <w:t>Rango</w:t>
            </w:r>
          </w:p>
        </w:tc>
        <w:tc>
          <w:tcPr>
            <w:tcW w:w="2120" w:type="dxa"/>
            <w:tcBorders>
              <w:top w:val="single" w:color="3E2F2B" w:sz="0" w:space="0"/>
              <w:left w:val="single" w:color="3E2F2B" w:sz="0" w:space="0"/>
              <w:bottom w:val="single" w:color="3E2F2B" w:sz="0" w:space="0"/>
              <w:right w:val="single" w:color="3E2F2B" w:sz="0" w:space="0"/>
            </w:tcBorders>
            <w:shd w:val="clear" w:color="auto" w:fill="3E2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7D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6A56B"/>
                <w:sz w:val="18"/>
                <w:szCs w:val="18"/>
              </w:rPr>
              <w:t>Estado Zemits</w:t>
            </w:r>
          </w:p>
        </w:tc>
        <w:tc>
          <w:tcPr>
            <w:tcW w:w="5398" w:type="dxa"/>
            <w:tcBorders>
              <w:top w:val="single" w:color="3E2F2B" w:sz="0" w:space="0"/>
              <w:left w:val="single" w:color="3E2F2B" w:sz="0" w:space="0"/>
              <w:bottom w:val="single" w:color="3E2F2B" w:sz="0" w:space="0"/>
              <w:right w:val="single" w:color="3E2F2B" w:sz="0" w:space="0"/>
            </w:tcBorders>
            <w:shd w:val="clear" w:color="auto" w:fill="3E2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F3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6A56B"/>
                <w:sz w:val="18"/>
                <w:szCs w:val="18"/>
              </w:rPr>
              <w:t>Texto sugerido para configurar en el Zemits</w:t>
            </w:r>
          </w:p>
        </w:tc>
      </w:tr>
      <w:tr w14:paraId="3CBA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46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0% – 10%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78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🔴 Severo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1C41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Alteración severa del entorno folicular. Intervención inmediata recomendada. Protocolo: PORE ARCHITECTURE PROTOCOL™</w:t>
            </w:r>
          </w:p>
        </w:tc>
      </w:tr>
      <w:tr w14:paraId="6B4B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D4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10% – 20%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77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🔴 Severo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019D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Alteración importante del poro. El entorno biológico necesita corrección activa. Protocolo: PORE ARCHITECTURE PROTOCOL™</w:t>
            </w:r>
          </w:p>
        </w:tc>
      </w:tr>
      <w:tr w14:paraId="7E60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97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20% – 30%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42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🔴 Alto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6800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Poros visiblemente comprometidos. Sebo oxidado e inflamación silenciosa detectados. Protocolo: PORE ARCHITECTURE PROTOCOL™</w:t>
            </w:r>
          </w:p>
        </w:tc>
      </w:tr>
      <w:tr w14:paraId="2A0A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B0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30% – 40%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59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🔴 Alto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9B10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Entorno folicular alterado. Actuar ahora previene una evolución más visible. Protocolo: PORE ARCHITECTURE PROTOCOL™</w:t>
            </w:r>
          </w:p>
        </w:tc>
      </w:tr>
      <w:tr w14:paraId="24A9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77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40% – 50%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9D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🟠 Medio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1E46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Signos de desequilibrio sebáceo. Optimización recomendada antes de que progrese. Protocolo: PORE ARCHITECTURE PROTOCOL™</w:t>
            </w:r>
          </w:p>
        </w:tc>
      </w:tr>
      <w:tr w14:paraId="6FECF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9C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50% – 60%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00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🟠 Medio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5F2A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Condición similar a tu grupo de edad. Margen de mejora visible con protocolo adecuado. Protocolo: PORE ARCHITECTURE PROTOCOL™</w:t>
            </w:r>
          </w:p>
        </w:tc>
      </w:tr>
      <w:tr w14:paraId="0916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36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60% – 70%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64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🟢 Aceptable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14AF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Estado aceptable. Prevención activa para mantener la calidad estructural del poro.</w:t>
            </w:r>
          </w:p>
        </w:tc>
      </w:tr>
      <w:tr w14:paraId="6110F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F5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70% – 80%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B6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🟢 Bueno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FE71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Buen estado. El objetivo es conservar y mejorar la arquitectura folicular.</w:t>
            </w:r>
          </w:p>
        </w:tc>
      </w:tr>
      <w:tr w14:paraId="6EF1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09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9"/>
                <w:szCs w:val="19"/>
              </w:rPr>
              <w:t>80% – 90%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88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🟢 Excelente</w:t>
            </w:r>
          </w:p>
        </w:tc>
        <w:tc>
          <w:tcPr>
            <w:tcW w:w="5398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9C2E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Estado favorable. Protocolo de prevención para mantener resultados a largo plazo.</w:t>
            </w:r>
          </w:p>
        </w:tc>
      </w:tr>
    </w:tbl>
    <w:p w14:paraId="503A7D2C">
      <w:pPr>
        <w:spacing w:before="200" w:after="0"/>
      </w:pPr>
    </w:p>
    <w:p w14:paraId="525D9847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Por qué es importante</w:t>
      </w:r>
    </w:p>
    <w:p w14:paraId="39296A1E">
      <w:pPr>
        <w:spacing w:before="100" w:after="0"/>
      </w:pPr>
    </w:p>
    <w:p w14:paraId="54509CCE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Los poros visibles no aparecen de un día para otro. Son el resultado de pequeños cambios biológicos que se producen durante meses o incluso años.</w:t>
      </w:r>
    </w:p>
    <w:p w14:paraId="26C67E10">
      <w:pPr>
        <w:spacing w:before="60" w:after="0"/>
      </w:pPr>
    </w:p>
    <w:p w14:paraId="3B430DC5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Cuando el entorno del poro pierde equilibrio, este se vuelve más visible y la superficie de la piel comienza a verse menos uniforme.</w:t>
      </w:r>
    </w:p>
    <w:p w14:paraId="36C4C47D">
      <w:pPr>
        <w:spacing w:before="160" w:after="0"/>
      </w:pPr>
    </w:p>
    <w:p w14:paraId="756A8D0A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Lo que puede ocurrir con el tiempo</w:t>
      </w:r>
    </w:p>
    <w:p w14:paraId="71B0D983">
      <w:pPr>
        <w:spacing w:before="100" w:after="0"/>
      </w:pPr>
    </w:p>
    <w:p w14:paraId="00806FC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Mayor visibilidad de poros.</w:t>
      </w:r>
    </w:p>
    <w:p w14:paraId="7DC0242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Puntos negros más frecuentes.</w:t>
      </w:r>
    </w:p>
    <w:p w14:paraId="65EEF85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Textura irregular.</w:t>
      </w:r>
    </w:p>
    <w:p w14:paraId="3E42554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Menor luminosidad.</w:t>
      </w:r>
    </w:p>
    <w:p w14:paraId="56A61C1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Maquillaje menos uniforme.</w:t>
      </w:r>
    </w:p>
    <w:p w14:paraId="494A17FC">
      <w:pPr>
        <w:spacing w:before="80" w:after="0"/>
      </w:pPr>
    </w:p>
    <w:p w14:paraId="576697E9">
      <w:pPr>
        <w:spacing w:before="60" w:after="6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>Lo que hoy observamos como un detalle estético puede convertirse en una alteración más evidente si no se corrige el entorno biológico que la está favoreciendo.</w:t>
      </w:r>
    </w:p>
    <w:p w14:paraId="2BCC9E19">
      <w:pPr>
        <w:spacing w:before="160" w:after="0"/>
      </w:pPr>
    </w:p>
    <w:p w14:paraId="0E8B5EB7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Tu protocolo recomendado</w:t>
      </w:r>
    </w:p>
    <w:p w14:paraId="2CFC0791">
      <w:pPr>
        <w:spacing w:before="10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189C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6A56B" w:sz="0" w:space="0"/>
              <w:left w:val="single" w:color="C6A56B" w:sz="8" w:space="0"/>
              <w:bottom w:val="single" w:color="C6A56B" w:sz="0" w:space="0"/>
              <w:right w:val="single" w:color="C6A56B" w:sz="0" w:space="0"/>
            </w:tcBorders>
            <w:shd w:val="clear" w:color="auto" w:fill="FAF6F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F1A03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pacing w:val="60"/>
                <w:sz w:val="24"/>
                <w:szCs w:val="24"/>
              </w:rPr>
              <w:t>PORE ARCHITECTURE PROTOCOL™</w:t>
            </w:r>
          </w:p>
          <w:p w14:paraId="252294C9">
            <w:pPr>
              <w:spacing w:before="0" w:after="100"/>
              <w:jc w:val="center"/>
            </w:pPr>
            <w:r>
              <w:rPr>
                <w:rFonts w:ascii="Arial" w:hAnsi="Arial" w:eastAsia="Arial" w:cs="Arial"/>
                <w:i/>
                <w:iCs/>
                <w:color w:val="C6A56B"/>
                <w:sz w:val="20"/>
                <w:szCs w:val="20"/>
              </w:rPr>
              <w:t>Skin Structure Refinement Mask</w:t>
            </w:r>
          </w:p>
          <w:p w14:paraId="4D46D3D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caps/>
                <w:color w:val="666666"/>
                <w:spacing w:val="80"/>
                <w:sz w:val="18"/>
                <w:szCs w:val="18"/>
              </w:rPr>
              <w:t>PREVENT LINE  ·  RECOVER LINE</w:t>
            </w:r>
          </w:p>
        </w:tc>
      </w:tr>
    </w:tbl>
    <w:p w14:paraId="72858627">
      <w:pPr>
        <w:spacing w:before="120" w:after="0"/>
      </w:pPr>
    </w:p>
    <w:p w14:paraId="7B02DA3A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Un protocolo diseñado para ayudar a restablecer el equilibrio del poro actuando sobre tres factores clave:</w:t>
      </w:r>
    </w:p>
    <w:p w14:paraId="474E58F6">
      <w:pPr>
        <w:spacing w:before="80" w:after="0"/>
      </w:pPr>
    </w:p>
    <w:p w14:paraId="4CAAE597">
      <w:pPr>
        <w:spacing w:before="60" w:after="60"/>
      </w:pPr>
      <w:r>
        <w:rPr>
          <w:rFonts w:ascii="Arial" w:hAnsi="Arial" w:eastAsia="Arial" w:cs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hAnsi="Arial" w:eastAsia="Arial" w:cs="Arial"/>
          <w:color w:val="333333"/>
          <w:sz w:val="20"/>
          <w:szCs w:val="20"/>
        </w:rPr>
        <w:t>Regulación del exceso de sebo.</w:t>
      </w:r>
    </w:p>
    <w:p w14:paraId="51E72463">
      <w:pPr>
        <w:spacing w:before="60" w:after="60"/>
      </w:pPr>
      <w:r>
        <w:rPr>
          <w:rFonts w:ascii="Arial" w:hAnsi="Arial" w:eastAsia="Arial" w:cs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hAnsi="Arial" w:eastAsia="Arial" w:cs="Arial"/>
          <w:color w:val="333333"/>
          <w:sz w:val="20"/>
          <w:szCs w:val="20"/>
        </w:rPr>
        <w:t>Optimización del entorno cutáneo.</w:t>
      </w:r>
    </w:p>
    <w:p w14:paraId="6694F53E">
      <w:pPr>
        <w:spacing w:before="60" w:after="60"/>
      </w:pPr>
      <w:r>
        <w:rPr>
          <w:rFonts w:ascii="Arial" w:hAnsi="Arial" w:eastAsia="Arial" w:cs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hAnsi="Arial" w:eastAsia="Arial" w:cs="Arial"/>
          <w:color w:val="333333"/>
          <w:sz w:val="20"/>
          <w:szCs w:val="20"/>
        </w:rPr>
        <w:t>Mejora de la calidad estructural del tejido.</w:t>
      </w:r>
    </w:p>
    <w:p w14:paraId="618AF9EA">
      <w:pPr>
        <w:spacing w:before="12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5F1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6A56B" w:sz="0" w:space="0"/>
              <w:left w:val="single" w:color="3E2F2B" w:sz="12" w:space="0"/>
              <w:bottom w:val="single" w:color="C6A56B" w:sz="0" w:space="0"/>
              <w:right w:val="single" w:color="C6A56B" w:sz="0" w:space="0"/>
            </w:tcBorders>
            <w:shd w:val="clear" w:color="auto" w:fill="FA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B72C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3E2F2B"/>
                <w:sz w:val="21"/>
                <w:szCs w:val="21"/>
              </w:rPr>
              <w:t>"No tratamos el poro. Tratamos las condiciones que hacen que el poro se vuelva visible."</w:t>
            </w:r>
          </w:p>
        </w:tc>
      </w:tr>
    </w:tbl>
    <w:p w14:paraId="3CC92026">
      <w:pPr>
        <w:spacing w:before="160" w:after="0"/>
      </w:pPr>
    </w:p>
    <w:p w14:paraId="3D7F285B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¿Cómo mediremos el progreso?</w:t>
      </w:r>
    </w:p>
    <w:p w14:paraId="25D4DA9A">
      <w:pPr>
        <w:spacing w:before="100" w:after="0"/>
      </w:pPr>
    </w:p>
    <w:p w14:paraId="79655FBD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Realizaremos una nueva medición VeraFace en tres momentos clave:</w:t>
      </w:r>
    </w:p>
    <w:p w14:paraId="5FC48EC0">
      <w:pPr>
        <w:spacing w:before="80" w:after="0"/>
      </w:pPr>
      <w:bookmarkStart w:id="0" w:name="_GoBack"/>
      <w:bookmarkEnd w:id="0"/>
    </w:p>
    <w:p w14:paraId="4C7D2CD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>30 días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 — Primera verificación: cambios iniciales visibles en el parámetro.</w:t>
      </w:r>
    </w:p>
    <w:p w14:paraId="2DEAB1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>60 días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 — Verificación intermedia: evolución del protocolo y ajuste si es necesario.</w:t>
      </w:r>
    </w:p>
    <w:p w14:paraId="6AB4C73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>90 días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 — Verificación final: comparativa completa antes/después con datos reales.</w:t>
      </w:r>
    </w:p>
    <w:p w14:paraId="53470933">
      <w:pPr>
        <w:spacing w:before="100" w:after="0"/>
      </w:pPr>
    </w:p>
    <w:p w14:paraId="1E95AD67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En cada medición compararemos:</w:t>
      </w:r>
    </w:p>
    <w:p w14:paraId="29CB2F70">
      <w:pPr>
        <w:spacing w:before="80" w:after="0"/>
      </w:pPr>
    </w:p>
    <w:p w14:paraId="257C1D5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Evolución del parámetro RGB Pore.</w:t>
      </w:r>
    </w:p>
    <w:p w14:paraId="1D2EDB8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Calidad de la textura cutánea.</w:t>
      </w:r>
    </w:p>
    <w:p w14:paraId="0F7A18C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Reducción de las áreas comprometidas.</w:t>
      </w:r>
    </w:p>
    <w:p w14:paraId="502D1FC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Mejora global de la uniformidad de la piel.</w:t>
      </w:r>
    </w:p>
    <w:p w14:paraId="6C3D84B4">
      <w:pPr>
        <w:spacing w:before="80" w:after="0"/>
      </w:pPr>
    </w:p>
    <w:p w14:paraId="0B7D6D3B">
      <w:pPr>
        <w:spacing w:before="80" w:after="0"/>
      </w:pPr>
      <w:r>
        <w:rPr>
          <w:rFonts w:ascii="Arial" w:hAnsi="Arial" w:eastAsia="Arial" w:cs="Arial"/>
          <w:b/>
          <w:bCs/>
          <w:color w:val="3E2F2B"/>
          <w:sz w:val="20"/>
          <w:szCs w:val="20"/>
        </w:rPr>
        <w:t>No trabajamos con impresiones. Trabajamos con evidencia visible y datos comparables.</w:t>
      </w:r>
    </w:p>
    <w:p w14:paraId="5CE53128">
      <w:pPr>
        <w:spacing w:before="20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665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6A56B" w:sz="0" w:space="0"/>
              <w:left w:val="single" w:color="C6A56B" w:sz="0" w:space="0"/>
              <w:bottom w:val="single" w:color="C6A56B" w:sz="0" w:space="0"/>
              <w:right w:val="single" w:color="C6A56B" w:sz="0" w:space="0"/>
            </w:tcBorders>
            <w:shd w:val="clear" w:color="auto" w:fill="3E2F2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EBBBE4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hAnsi="Arial" w:eastAsia="Arial" w:cs="Arial"/>
                <w:color w:val="F5EFE6"/>
                <w:sz w:val="19"/>
                <w:szCs w:val="19"/>
              </w:rPr>
              <w:t>Arquitectura del poro.</w:t>
            </w:r>
          </w:p>
          <w:p w14:paraId="1B48AD1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hAnsi="Arial" w:eastAsia="Arial" w:cs="Arial"/>
                <w:color w:val="F5EFE6"/>
                <w:sz w:val="19"/>
                <w:szCs w:val="19"/>
              </w:rPr>
              <w:t>Alterado / Optimizable / Conservado.</w:t>
            </w:r>
          </w:p>
          <w:p w14:paraId="1DB27FF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hAnsi="Arial" w:eastAsia="Arial" w:cs="Arial"/>
                <w:i/>
                <w:iCs/>
                <w:color w:val="F5EFE6"/>
                <w:sz w:val="19"/>
                <w:szCs w:val="19"/>
              </w:rPr>
              <w:t>Restaurar la función antes de que aparezca una consecuencia mayor.</w:t>
            </w:r>
          </w:p>
        </w:tc>
      </w:tr>
    </w:tbl>
    <w:p w14:paraId="60DCC9EC">
      <w:pPr>
        <w:spacing w:before="120" w:after="0"/>
      </w:pPr>
    </w:p>
    <w:p w14:paraId="14A00712">
      <w:pPr>
        <w:jc w:val="center"/>
      </w:pPr>
      <w:r>
        <w:rPr>
          <w:rFonts w:ascii="Arial" w:hAnsi="Arial" w:eastAsia="Arial" w:cs="Arial"/>
          <w:color w:val="BBBBBB"/>
          <w:sz w:val="16"/>
          <w:szCs w:val="16"/>
        </w:rPr>
        <w:t>YADALA · Skin Science · Biointeligencia Cutánea · Zemits VeraFace System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80"/>
      </w:pPr>
      <w:rPr>
        <w:rFonts w:ascii="Arial" w:hAnsi="Arial" w:eastAsia="Arial" w:cs="Arial"/>
        <w:b/>
        <w:bCs/>
        <w:color w:val="C6A56B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BF146CF"/>
    <w:rsid w:val="75581C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475</Words>
  <Characters>2613</Characters>
  <TotalTime>0</TotalTime>
  <ScaleCrop>false</ScaleCrop>
  <LinksUpToDate>false</LinksUpToDate>
  <CharactersWithSpaces>3030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2026-06-08T19:33:00Z</dcterms:created>
  <dc:creator>Un-named</dc:creator>
  <cp:lastModifiedBy>pedrojorda.me.admon</cp:lastModifiedBy>
  <dcterms:modified xsi:type="dcterms:W3CDTF">2026-06-08T19:36:24Z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eyJoZGlkIjoiZDFlNzhiMGZiZGM0MmZkM2EwZjIwZmQ1MzI5MWJkYWIiLCJ1c2VySWQiOiIzNzI4MTUyODY1MzU1In0=</vt:lpwstr>
  </property>
  <property fmtid="{D5CDD505-2E9C-101B-9397-08002B2CF9AE}" pid="3" name="KSOProductBuildVer">
    <vt:lpwstr>3082-12.1.0.26880</vt:lpwstr>
  </property>
  <property fmtid="{D5CDD505-2E9C-101B-9397-08002B2CF9AE}" pid="4" name="ICV">
    <vt:lpwstr>3E9A8B0EA70C4080A97AE8DBFEEA5178_12</vt:lpwstr>
  </property>
</Properties>
</file>