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AF2774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3E2F2B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40CC2C13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C6A56B"/>
                <w:spacing w:val="200"/>
                <w:sz w:val="18"/>
                <w:szCs w:val="18"/>
              </w:rPr>
              <w:t>YADALA</w:t>
            </w:r>
          </w:p>
          <w:p w14:paraId="3566E4CE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i/>
                <w:iCs/>
                <w:color w:val="F5EFE6"/>
                <w:sz w:val="16"/>
                <w:szCs w:val="16"/>
              </w:rPr>
              <w:t>Skin Science / Biointeligencia Cutánea</w:t>
            </w:r>
          </w:p>
          <w:p w14:paraId="35983F35">
            <w:pPr>
              <w:spacing w:before="80" w:after="0"/>
              <w:jc w:val="center"/>
            </w:pPr>
            <w:r>
              <w:rPr>
                <w:rFonts w:ascii="Arial" w:hAnsi="Arial" w:eastAsia="Arial" w:cs="Arial"/>
                <w:caps/>
                <w:color w:val="C6A56B"/>
                <w:spacing w:val="100"/>
                <w:sz w:val="15"/>
                <w:szCs w:val="15"/>
              </w:rPr>
              <w:t>FICHA DE ANÁLISIS · PARÁMETRO RGB SPOT</w:t>
            </w:r>
          </w:p>
        </w:tc>
      </w:tr>
    </w:tbl>
    <w:p w14:paraId="4A0E67CF">
      <w:pPr>
        <w:spacing w:before="200" w:after="0"/>
      </w:pPr>
    </w:p>
    <w:p w14:paraId="5D5F0030">
      <w:pPr>
        <w:pBdr>
          <w:bottom w:val="single" w:color="C6A56B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3E2F2B"/>
          <w:spacing w:val="80"/>
          <w:sz w:val="20"/>
          <w:szCs w:val="20"/>
        </w:rPr>
        <w:t>Lo que el análisis ha detectado</w:t>
      </w:r>
    </w:p>
    <w:p w14:paraId="0A15C382">
      <w:pPr>
        <w:spacing w:before="100" w:after="0"/>
      </w:pPr>
    </w:p>
    <w:p w14:paraId="745678B8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Tu piel muestra manchas actuales visibles con un color y contraste distintos al tono natural de la piel.</w:t>
      </w:r>
    </w:p>
    <w:p w14:paraId="1DCAC6BB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 xml:space="preserve">Estas manchas pueden tener forma redonda o irregular y suelen estar relacionadas con </w:t>
      </w:r>
      <w:r>
        <w:rPr>
          <w:rFonts w:ascii="Arial" w:hAnsi="Arial" w:eastAsia="Arial" w:cs="Arial"/>
          <w:b/>
          <w:bCs/>
          <w:color w:val="333333"/>
          <w:sz w:val="20"/>
          <w:szCs w:val="20"/>
        </w:rPr>
        <w:t>acumulación de pigmento post-inflamatorio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, </w:t>
      </w:r>
      <w:r>
        <w:rPr>
          <w:rFonts w:ascii="Arial" w:hAnsi="Arial" w:eastAsia="Arial" w:cs="Arial"/>
          <w:b/>
          <w:bCs/>
          <w:color w:val="333333"/>
          <w:sz w:val="20"/>
          <w:szCs w:val="20"/>
        </w:rPr>
        <w:t>exposición solar acumulada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 o </w:t>
      </w:r>
      <w:r>
        <w:rPr>
          <w:rFonts w:ascii="Arial" w:hAnsi="Arial" w:eastAsia="Arial" w:cs="Arial"/>
          <w:b/>
          <w:bCs/>
          <w:color w:val="333333"/>
          <w:sz w:val="20"/>
          <w:szCs w:val="20"/>
        </w:rPr>
        <w:t>desequilibrios hormonales</w:t>
      </w:r>
      <w:r>
        <w:rPr>
          <w:rFonts w:ascii="Arial" w:hAnsi="Arial" w:eastAsia="Arial" w:cs="Arial"/>
          <w:color w:val="333333"/>
          <w:sz w:val="20"/>
          <w:szCs w:val="20"/>
        </w:rPr>
        <w:t>.</w:t>
      </w:r>
    </w:p>
    <w:p w14:paraId="30E79FD6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Si notas zonas más oscuras o irregulares en el tono, este parámetro puede estar explicando esa situación.</w:t>
      </w:r>
    </w:p>
    <w:p w14:paraId="4A4BA230">
      <w:pPr>
        <w:spacing w:before="160" w:after="0"/>
      </w:pPr>
    </w:p>
    <w:p w14:paraId="5EC60E6C">
      <w:pPr>
        <w:pBdr>
          <w:bottom w:val="single" w:color="C6A56B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3E2F2B"/>
          <w:spacing w:val="80"/>
          <w:sz w:val="20"/>
          <w:szCs w:val="20"/>
        </w:rPr>
        <w:t>Nivel de u</w:t>
      </w:r>
      <w:bookmarkStart w:id="0" w:name="_GoBack"/>
      <w:bookmarkEnd w:id="0"/>
      <w:r>
        <w:rPr>
          <w:rFonts w:ascii="Arial" w:hAnsi="Arial" w:eastAsia="Arial" w:cs="Arial"/>
          <w:b/>
          <w:bCs/>
          <w:caps/>
          <w:color w:val="3E2F2B"/>
          <w:spacing w:val="80"/>
          <w:sz w:val="20"/>
          <w:szCs w:val="20"/>
        </w:rPr>
        <w:t>rgencia según tu resultado</w:t>
      </w:r>
    </w:p>
    <w:p w14:paraId="3ED1CFB8">
      <w:pPr>
        <w:spacing w:before="100" w:after="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73"/>
        <w:gridCol w:w="6265"/>
      </w:tblGrid>
      <w:tr w14:paraId="6DFC1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73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F3EB23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C0392B"/>
                <w:sz w:val="22"/>
                <w:szCs w:val="22"/>
              </w:rPr>
              <w:t>🔴  &lt; 40%</w:t>
            </w:r>
          </w:p>
          <w:p w14:paraId="632F9D63">
            <w:r>
              <w:rPr>
                <w:rFonts w:ascii="Arial" w:hAnsi="Arial" w:eastAsia="Arial" w:cs="Arial"/>
                <w:b/>
                <w:bCs/>
                <w:color w:val="C0392B"/>
                <w:sz w:val="19"/>
                <w:szCs w:val="19"/>
              </w:rPr>
              <w:t>Intervención recomendada</w:t>
            </w:r>
          </w:p>
        </w:tc>
        <w:tc>
          <w:tcPr>
            <w:tcW w:w="6265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E90B0E">
            <w:r>
              <w:rPr>
                <w:rFonts w:ascii="Arial" w:hAnsi="Arial" w:eastAsia="Arial" w:cs="Arial"/>
                <w:i/>
                <w:iCs/>
                <w:color w:val="444444"/>
                <w:sz w:val="19"/>
                <w:szCs w:val="19"/>
              </w:rPr>
              <w:t>Manchas visibles activas con señal pigmentaria alterada. Intervención recomendada para frenar la progresión.</w:t>
            </w:r>
          </w:p>
        </w:tc>
      </w:tr>
      <w:tr w14:paraId="6E7D0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73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5314A9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E67E22"/>
                <w:sz w:val="22"/>
                <w:szCs w:val="22"/>
              </w:rPr>
              <w:t>🟠  40 – 69%</w:t>
            </w:r>
          </w:p>
          <w:p w14:paraId="786F4166">
            <w:r>
              <w:rPr>
                <w:rFonts w:ascii="Arial" w:hAnsi="Arial" w:eastAsia="Arial" w:cs="Arial"/>
                <w:b/>
                <w:bCs/>
                <w:color w:val="E67E22"/>
                <w:sz w:val="19"/>
                <w:szCs w:val="19"/>
              </w:rPr>
              <w:t>Optimización recomendada</w:t>
            </w:r>
          </w:p>
        </w:tc>
        <w:tc>
          <w:tcPr>
            <w:tcW w:w="6265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0FB5B9">
            <w:r>
              <w:rPr>
                <w:rFonts w:ascii="Arial" w:hAnsi="Arial" w:eastAsia="Arial" w:cs="Arial"/>
                <w:i/>
                <w:iCs/>
                <w:color w:val="444444"/>
                <w:sz w:val="19"/>
                <w:szCs w:val="19"/>
              </w:rPr>
              <w:t>Signos de desequilibrio pigmentario. Optimización recomendada antes de que las manchas se intensifiquen.</w:t>
            </w:r>
          </w:p>
        </w:tc>
      </w:tr>
      <w:tr w14:paraId="41200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73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BC881B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7AE60"/>
                <w:sz w:val="22"/>
                <w:szCs w:val="22"/>
              </w:rPr>
              <w:t>🟢  70% o más</w:t>
            </w:r>
          </w:p>
          <w:p w14:paraId="542B74B5">
            <w:r>
              <w:rPr>
                <w:rFonts w:ascii="Arial" w:hAnsi="Arial" w:eastAsia="Arial" w:cs="Arial"/>
                <w:b/>
                <w:bCs/>
                <w:color w:val="27AE60"/>
                <w:sz w:val="19"/>
                <w:szCs w:val="19"/>
              </w:rPr>
              <w:t>Prevención</w:t>
            </w:r>
          </w:p>
        </w:tc>
        <w:tc>
          <w:tcPr>
            <w:tcW w:w="6265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E2863B">
            <w:r>
              <w:rPr>
                <w:rFonts w:ascii="Arial" w:hAnsi="Arial" w:eastAsia="Arial" w:cs="Arial"/>
                <w:i/>
                <w:iCs/>
                <w:color w:val="444444"/>
                <w:sz w:val="19"/>
                <w:szCs w:val="19"/>
              </w:rPr>
              <w:t>Estado favorable. Prevención para mantener la uniformidad del tono conseguida.</w:t>
            </w:r>
          </w:p>
        </w:tc>
      </w:tr>
    </w:tbl>
    <w:p w14:paraId="58D7A7A8">
      <w:pPr>
        <w:spacing w:before="200" w:after="0"/>
      </w:pPr>
    </w:p>
    <w:p w14:paraId="7F2FF082">
      <w:pPr>
        <w:pBdr>
          <w:bottom w:val="single" w:color="C6A56B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3E2F2B"/>
          <w:spacing w:val="80"/>
          <w:sz w:val="20"/>
          <w:szCs w:val="20"/>
        </w:rPr>
        <w:t>Textos configurados en el Zemits VeraFace — RGB SPOT</w:t>
      </w:r>
    </w:p>
    <w:p w14:paraId="052F27AC">
      <w:pPr>
        <w:spacing w:before="100" w:after="0"/>
      </w:pPr>
    </w:p>
    <w:p w14:paraId="15C402D3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Los siguientes textos están configurados en el sistema Zemits para cada rango de este parámetro. Aparecen automáticamente en el informe individual de la clienta.</w:t>
      </w:r>
    </w:p>
    <w:p w14:paraId="49623567">
      <w:pPr>
        <w:spacing w:before="100" w:after="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4"/>
        <w:gridCol w:w="2120"/>
        <w:gridCol w:w="5784"/>
      </w:tblGrid>
      <w:tr w14:paraId="3E34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34" w:type="dxa"/>
            <w:tcBorders>
              <w:top w:val="single" w:color="3E2F2B" w:sz="0" w:space="0"/>
              <w:left w:val="single" w:color="3E2F2B" w:sz="0" w:space="0"/>
              <w:bottom w:val="single" w:color="3E2F2B" w:sz="0" w:space="0"/>
              <w:right w:val="single" w:color="3E2F2B" w:sz="0" w:space="0"/>
            </w:tcBorders>
            <w:shd w:val="clear" w:color="auto" w:fill="3E2F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93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C6A56B"/>
                <w:sz w:val="18"/>
                <w:szCs w:val="18"/>
              </w:rPr>
              <w:t>Rango</w:t>
            </w:r>
          </w:p>
        </w:tc>
        <w:tc>
          <w:tcPr>
            <w:tcW w:w="2120" w:type="dxa"/>
            <w:tcBorders>
              <w:top w:val="single" w:color="3E2F2B" w:sz="0" w:space="0"/>
              <w:left w:val="single" w:color="3E2F2B" w:sz="0" w:space="0"/>
              <w:bottom w:val="single" w:color="3E2F2B" w:sz="0" w:space="0"/>
              <w:right w:val="single" w:color="3E2F2B" w:sz="0" w:space="0"/>
            </w:tcBorders>
            <w:shd w:val="clear" w:color="auto" w:fill="3E2F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F1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C6A56B"/>
                <w:sz w:val="18"/>
                <w:szCs w:val="18"/>
              </w:rPr>
              <w:t>Estado</w:t>
            </w:r>
          </w:p>
        </w:tc>
        <w:tc>
          <w:tcPr>
            <w:tcW w:w="5784" w:type="dxa"/>
            <w:tcBorders>
              <w:top w:val="single" w:color="3E2F2B" w:sz="0" w:space="0"/>
              <w:left w:val="single" w:color="3E2F2B" w:sz="0" w:space="0"/>
              <w:bottom w:val="single" w:color="3E2F2B" w:sz="0" w:space="0"/>
              <w:right w:val="single" w:color="3E2F2B" w:sz="0" w:space="0"/>
            </w:tcBorders>
            <w:shd w:val="clear" w:color="auto" w:fill="3E2F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F2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C6A56B"/>
                <w:sz w:val="18"/>
                <w:szCs w:val="18"/>
              </w:rPr>
              <w:t>Texto para configurar en Zemits</w:t>
            </w:r>
          </w:p>
        </w:tc>
      </w:tr>
      <w:tr w14:paraId="620B2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F0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8"/>
                <w:szCs w:val="18"/>
              </w:rPr>
              <w:t>0%–10%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2DA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🔴 Severo</w:t>
            </w:r>
          </w:p>
        </w:tc>
        <w:tc>
          <w:tcPr>
            <w:tcW w:w="578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444C">
            <w:r>
              <w:rPr>
                <w:rFonts w:ascii="Arial" w:hAnsi="Arial" w:eastAsia="Arial" w:cs="Arial"/>
                <w:color w:val="444444"/>
                <w:sz w:val="17"/>
                <w:szCs w:val="17"/>
              </w:rPr>
              <w:t>Manchas activas con alta densidad pigmentaria. Intervención inmediata. Protocolo: CLEAR FIELD PROTOCOL™</w:t>
            </w:r>
          </w:p>
        </w:tc>
      </w:tr>
      <w:tr w14:paraId="6DF6A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CE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8"/>
                <w:szCs w:val="18"/>
              </w:rPr>
              <w:t>10%–20%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BD2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🔴 Severo</w:t>
            </w:r>
          </w:p>
        </w:tc>
        <w:tc>
          <w:tcPr>
            <w:tcW w:w="578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D642">
            <w:r>
              <w:rPr>
                <w:rFonts w:ascii="Arial" w:hAnsi="Arial" w:eastAsia="Arial" w:cs="Arial"/>
                <w:color w:val="444444"/>
                <w:sz w:val="17"/>
                <w:szCs w:val="17"/>
              </w:rPr>
              <w:t>Alteración pigmentaria importante. Señal oxidativa activa detectada. Protocolo: CLEAR FIELD PROTOCOL™</w:t>
            </w:r>
          </w:p>
        </w:tc>
      </w:tr>
      <w:tr w14:paraId="36861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C6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8"/>
                <w:szCs w:val="18"/>
              </w:rPr>
              <w:t>20%–30%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4B3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🔴 Alto</w:t>
            </w:r>
          </w:p>
        </w:tc>
        <w:tc>
          <w:tcPr>
            <w:tcW w:w="578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3B4E">
            <w:r>
              <w:rPr>
                <w:rFonts w:ascii="Arial" w:hAnsi="Arial" w:eastAsia="Arial" w:cs="Arial"/>
                <w:color w:val="444444"/>
                <w:sz w:val="17"/>
                <w:szCs w:val="17"/>
              </w:rPr>
              <w:t>Manchas visibles con señal activa. Actuar ahora reduce la progresión. Protocolo: CLEAR FIELD PROTOCOL™</w:t>
            </w:r>
          </w:p>
        </w:tc>
      </w:tr>
      <w:tr w14:paraId="1D695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21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8"/>
                <w:szCs w:val="18"/>
              </w:rPr>
              <w:t>30%–40%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9F46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🔴 Alto</w:t>
            </w:r>
          </w:p>
        </w:tc>
        <w:tc>
          <w:tcPr>
            <w:tcW w:w="578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D21E">
            <w:r>
              <w:rPr>
                <w:rFonts w:ascii="Arial" w:hAnsi="Arial" w:eastAsia="Arial" w:cs="Arial"/>
                <w:color w:val="444444"/>
                <w:sz w:val="17"/>
                <w:szCs w:val="17"/>
              </w:rPr>
              <w:t>Desequilibrio pigmentario presente. Corrección recomendada. Protocolo: CLEAR FIELD PROTOCOL™</w:t>
            </w:r>
          </w:p>
        </w:tc>
      </w:tr>
      <w:tr w14:paraId="3B0CB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30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8"/>
                <w:szCs w:val="18"/>
              </w:rPr>
              <w:t>40%–50%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FD5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🟠 Medio</w:t>
            </w:r>
          </w:p>
        </w:tc>
        <w:tc>
          <w:tcPr>
            <w:tcW w:w="578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4095">
            <w:r>
              <w:rPr>
                <w:rFonts w:ascii="Arial" w:hAnsi="Arial" w:eastAsia="Arial" w:cs="Arial"/>
                <w:color w:val="444444"/>
                <w:sz w:val="17"/>
                <w:szCs w:val="17"/>
              </w:rPr>
              <w:t>Signos de irregularidad del tono. Optimización recomendada. Protocolo: CLEAR FIELD PROTOCOL™</w:t>
            </w:r>
          </w:p>
        </w:tc>
      </w:tr>
      <w:tr w14:paraId="58EF1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16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8"/>
                <w:szCs w:val="18"/>
              </w:rPr>
              <w:t>50%–60%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3C6E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🟠 Medio</w:t>
            </w:r>
          </w:p>
        </w:tc>
        <w:tc>
          <w:tcPr>
            <w:tcW w:w="578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731C">
            <w:r>
              <w:rPr>
                <w:rFonts w:ascii="Arial" w:hAnsi="Arial" w:eastAsia="Arial" w:cs="Arial"/>
                <w:color w:val="444444"/>
                <w:sz w:val="17"/>
                <w:szCs w:val="17"/>
              </w:rPr>
              <w:t>Condición similar a tu grupo de edad. Margen de mejora visible con protocolo adecuado.</w:t>
            </w:r>
          </w:p>
        </w:tc>
      </w:tr>
      <w:tr w14:paraId="25703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58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8"/>
                <w:szCs w:val="18"/>
              </w:rPr>
              <w:t>60%–70%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3A5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🟢 Aceptable</w:t>
            </w:r>
          </w:p>
        </w:tc>
        <w:tc>
          <w:tcPr>
            <w:tcW w:w="578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8922">
            <w:r>
              <w:rPr>
                <w:rFonts w:ascii="Arial" w:hAnsi="Arial" w:eastAsia="Arial" w:cs="Arial"/>
                <w:color w:val="444444"/>
                <w:sz w:val="17"/>
                <w:szCs w:val="17"/>
              </w:rPr>
              <w:t>Estado aceptable. Prevención activa para mantener la uniformidad del tono.</w:t>
            </w:r>
          </w:p>
        </w:tc>
      </w:tr>
      <w:tr w14:paraId="15BC6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FA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8"/>
                <w:szCs w:val="18"/>
              </w:rPr>
              <w:t>70%–80%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B0B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🟢 Bueno</w:t>
            </w:r>
          </w:p>
        </w:tc>
        <w:tc>
          <w:tcPr>
            <w:tcW w:w="578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F096">
            <w:r>
              <w:rPr>
                <w:rFonts w:ascii="Arial" w:hAnsi="Arial" w:eastAsia="Arial" w:cs="Arial"/>
                <w:color w:val="444444"/>
                <w:sz w:val="17"/>
                <w:szCs w:val="17"/>
              </w:rPr>
              <w:t>Buen estado. El objetivo es conservar la calidad del tono conseguida.</w:t>
            </w:r>
          </w:p>
        </w:tc>
      </w:tr>
      <w:tr w14:paraId="24AE5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D9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z w:val="18"/>
                <w:szCs w:val="18"/>
              </w:rPr>
              <w:t>80%–90%</w:t>
            </w:r>
          </w:p>
        </w:tc>
        <w:tc>
          <w:tcPr>
            <w:tcW w:w="2120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849E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🟢 Excelente</w:t>
            </w:r>
          </w:p>
        </w:tc>
        <w:tc>
          <w:tcPr>
            <w:tcW w:w="5784" w:type="dxa"/>
            <w:tcBorders>
              <w:top w:val="single" w:color="E0DDD8" w:sz="0" w:space="0"/>
              <w:left w:val="single" w:color="E0DDD8" w:sz="0" w:space="0"/>
              <w:bottom w:val="single" w:color="E0DDD8" w:sz="0" w:space="0"/>
              <w:right w:val="single" w:color="E0DDD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0F3A">
            <w:r>
              <w:rPr>
                <w:rFonts w:ascii="Arial" w:hAnsi="Arial" w:eastAsia="Arial" w:cs="Arial"/>
                <w:color w:val="444444"/>
                <w:sz w:val="17"/>
                <w:szCs w:val="17"/>
              </w:rPr>
              <w:t>Estado favorable. Protocolo de prevención para mantener resultados a largo plazo.</w:t>
            </w:r>
          </w:p>
        </w:tc>
      </w:tr>
    </w:tbl>
    <w:p w14:paraId="363AE847">
      <w:pPr>
        <w:spacing w:before="200" w:after="0"/>
      </w:pPr>
    </w:p>
    <w:p w14:paraId="777A7CE8">
      <w:pPr>
        <w:pBdr>
          <w:bottom w:val="single" w:color="C6A56B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3E2F2B"/>
          <w:spacing w:val="80"/>
          <w:sz w:val="20"/>
          <w:szCs w:val="20"/>
        </w:rPr>
        <w:t>Por qué es importante</w:t>
      </w:r>
    </w:p>
    <w:p w14:paraId="1A88569B">
      <w:pPr>
        <w:spacing w:before="100" w:after="0"/>
      </w:pPr>
    </w:p>
    <w:p w14:paraId="0667E8E3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Las manchas visibles rara vez aparecen solas. Son la consecuencia visible de una señal biológica que lleva tiempo activa.</w:t>
      </w:r>
    </w:p>
    <w:p w14:paraId="0BE0215F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Cuando el entorno oxidativo no se regula, el melanocito continúa produciendo pigmento en exceso aunque la causa original haya desaparecido.</w:t>
      </w:r>
    </w:p>
    <w:p w14:paraId="3D5DA95C">
      <w:pPr>
        <w:spacing w:before="160" w:after="0"/>
      </w:pPr>
    </w:p>
    <w:p w14:paraId="416865C0">
      <w:pPr>
        <w:pBdr>
          <w:bottom w:val="single" w:color="C6A56B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3E2F2B"/>
          <w:spacing w:val="80"/>
          <w:sz w:val="20"/>
          <w:szCs w:val="20"/>
        </w:rPr>
        <w:t>Lo que puede ocurrir con el tiempo</w:t>
      </w:r>
    </w:p>
    <w:p w14:paraId="4E2F4A53">
      <w:pPr>
        <w:spacing w:before="100" w:after="0"/>
      </w:pPr>
    </w:p>
    <w:p w14:paraId="61381EC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Manchas que se oscurecen con el tiempo.</w:t>
      </w:r>
    </w:p>
    <w:p w14:paraId="130C6B0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Aparición de nuevas manchas en zonas adyacentes.</w:t>
      </w:r>
    </w:p>
    <w:p w14:paraId="0190460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Tono facial cada vez más irregular.</w:t>
      </w:r>
    </w:p>
    <w:p w14:paraId="194B869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Pérdida de luminosidad global.</w:t>
      </w:r>
    </w:p>
    <w:p w14:paraId="106EDCE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Mayor dificultad para unificar el tono con maquillaje.</w:t>
      </w:r>
    </w:p>
    <w:p w14:paraId="45E8CC0A">
      <w:pPr>
        <w:spacing w:before="80" w:after="0"/>
      </w:pPr>
    </w:p>
    <w:p w14:paraId="534634E0">
      <w:pPr>
        <w:spacing w:before="60" w:after="60"/>
      </w:pPr>
      <w:r>
        <w:rPr>
          <w:rFonts w:ascii="Arial" w:hAnsi="Arial" w:eastAsia="Arial" w:cs="Arial"/>
          <w:i/>
          <w:iCs/>
          <w:color w:val="666666"/>
          <w:sz w:val="19"/>
          <w:szCs w:val="19"/>
        </w:rPr>
        <w:t>Lo que hoy observamos puede convertirse en una alteración más evidente si no se corrige el entorno biológico que la está favoreciendo.</w:t>
      </w:r>
    </w:p>
    <w:p w14:paraId="7E3E1290">
      <w:pPr>
        <w:spacing w:before="160" w:after="0"/>
      </w:pPr>
    </w:p>
    <w:p w14:paraId="47515910">
      <w:pPr>
        <w:pBdr>
          <w:bottom w:val="single" w:color="C6A56B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3E2F2B"/>
          <w:spacing w:val="80"/>
          <w:sz w:val="20"/>
          <w:szCs w:val="20"/>
        </w:rPr>
        <w:t>Tu protocolo recomendado</w:t>
      </w:r>
    </w:p>
    <w:p w14:paraId="56CEA1E8">
      <w:pPr>
        <w:spacing w:before="100" w:after="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41C69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C6A56B" w:sz="0" w:space="0"/>
              <w:left w:val="single" w:color="C6A56B" w:sz="8" w:space="0"/>
              <w:bottom w:val="single" w:color="C6A56B" w:sz="0" w:space="0"/>
              <w:right w:val="single" w:color="C6A56B" w:sz="0" w:space="0"/>
            </w:tcBorders>
            <w:shd w:val="clear" w:color="auto" w:fill="FAF6F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1FB921B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3E2F2B"/>
                <w:spacing w:val="60"/>
                <w:sz w:val="24"/>
                <w:szCs w:val="24"/>
              </w:rPr>
              <w:t>CLEAR FIELD PROTOCOL™</w:t>
            </w:r>
          </w:p>
          <w:p w14:paraId="3334794F">
            <w:pPr>
              <w:spacing w:before="0" w:after="100"/>
              <w:jc w:val="center"/>
            </w:pPr>
            <w:r>
              <w:rPr>
                <w:rFonts w:ascii="Arial" w:hAnsi="Arial" w:eastAsia="Arial" w:cs="Arial"/>
                <w:i/>
                <w:iCs/>
                <w:color w:val="C6A56B"/>
                <w:sz w:val="20"/>
                <w:szCs w:val="20"/>
              </w:rPr>
              <w:t>Skin Spot Clearing Mask</w:t>
            </w:r>
          </w:p>
          <w:p w14:paraId="2E6892D7">
            <w:pPr>
              <w:spacing w:before="0" w:after="60"/>
              <w:jc w:val="center"/>
            </w:pPr>
            <w:r>
              <w:rPr>
                <w:rFonts w:ascii="Arial" w:hAnsi="Arial" w:eastAsia="Arial" w:cs="Arial"/>
                <w:caps/>
                <w:color w:val="666666"/>
                <w:spacing w:val="80"/>
                <w:sz w:val="18"/>
                <w:szCs w:val="18"/>
              </w:rPr>
              <w:t>PREVENT LINE  ·  RECOVER LINE</w:t>
            </w:r>
          </w:p>
        </w:tc>
      </w:tr>
    </w:tbl>
    <w:p w14:paraId="3CB89F63">
      <w:pPr>
        <w:spacing w:before="120" w:after="0"/>
      </w:pPr>
    </w:p>
    <w:p w14:paraId="5C94FE98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Un protocolo diseñado para actuar sobre el origen biológico de este parámetro:</w:t>
      </w:r>
    </w:p>
    <w:p w14:paraId="121B721B">
      <w:pPr>
        <w:spacing w:before="80" w:after="0"/>
      </w:pPr>
    </w:p>
    <w:p w14:paraId="0C31FD4A">
      <w:pPr>
        <w:spacing w:before="60" w:after="60"/>
      </w:pPr>
      <w:r>
        <w:rPr>
          <w:rFonts w:ascii="Arial" w:hAnsi="Arial" w:eastAsia="Arial" w:cs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hAnsi="Arial" w:eastAsia="Arial" w:cs="Arial"/>
          <w:color w:val="333333"/>
          <w:sz w:val="20"/>
          <w:szCs w:val="20"/>
        </w:rPr>
        <w:t>Regulación de la señal oxidativa que activa la producción de pigmento.</w:t>
      </w:r>
    </w:p>
    <w:p w14:paraId="57C2272F">
      <w:pPr>
        <w:spacing w:before="60" w:after="60"/>
      </w:pPr>
      <w:r>
        <w:rPr>
          <w:rFonts w:ascii="Arial" w:hAnsi="Arial" w:eastAsia="Arial" w:cs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hAnsi="Arial" w:eastAsia="Arial" w:cs="Arial"/>
          <w:color w:val="333333"/>
          <w:sz w:val="20"/>
          <w:szCs w:val="20"/>
        </w:rPr>
        <w:t>Reducción progresiva de la mancha visible.</w:t>
      </w:r>
    </w:p>
    <w:p w14:paraId="70A8D5F5">
      <w:pPr>
        <w:spacing w:before="60" w:after="60"/>
      </w:pPr>
      <w:r>
        <w:rPr>
          <w:rFonts w:ascii="Arial" w:hAnsi="Arial" w:eastAsia="Arial" w:cs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hAnsi="Arial" w:eastAsia="Arial" w:cs="Arial"/>
          <w:color w:val="333333"/>
          <w:sz w:val="20"/>
          <w:szCs w:val="20"/>
        </w:rPr>
        <w:t>Prevención de nuevas manchas en zonas vulnerables.</w:t>
      </w:r>
    </w:p>
    <w:p w14:paraId="28796DF1">
      <w:pPr>
        <w:spacing w:before="120" w:after="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5BAAA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6A56B" w:sz="0" w:space="0"/>
              <w:left w:val="single" w:color="3E2F2B" w:sz="12" w:space="0"/>
              <w:bottom w:val="single" w:color="C6A56B" w:sz="0" w:space="0"/>
              <w:right w:val="single" w:color="C6A56B" w:sz="0" w:space="0"/>
            </w:tcBorders>
            <w:shd w:val="clear" w:color="auto" w:fill="FAF6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840B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3E2F2B"/>
                <w:sz w:val="21"/>
                <w:szCs w:val="21"/>
              </w:rPr>
              <w:t>"No tratamos la mancha. Regulamos la señal que la crea."</w:t>
            </w:r>
          </w:p>
        </w:tc>
      </w:tr>
    </w:tbl>
    <w:p w14:paraId="2310A58C">
      <w:pPr>
        <w:spacing w:before="160" w:after="0"/>
      </w:pPr>
    </w:p>
    <w:p w14:paraId="180E14E9">
      <w:pPr>
        <w:pBdr>
          <w:bottom w:val="single" w:color="C6A56B" w:sz="4" w:space="4"/>
        </w:pBdr>
        <w:spacing w:before="280" w:after="100"/>
      </w:pPr>
      <w:r>
        <w:rPr>
          <w:rFonts w:ascii="Arial" w:hAnsi="Arial" w:eastAsia="Arial" w:cs="Arial"/>
          <w:b/>
          <w:bCs/>
          <w:caps/>
          <w:color w:val="3E2F2B"/>
          <w:spacing w:val="80"/>
          <w:sz w:val="20"/>
          <w:szCs w:val="20"/>
        </w:rPr>
        <w:t>¿Cómo mediremos el progreso?</w:t>
      </w:r>
    </w:p>
    <w:p w14:paraId="10DFA4E3">
      <w:pPr>
        <w:spacing w:before="100" w:after="0"/>
      </w:pPr>
    </w:p>
    <w:p w14:paraId="18C31161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Realizaremos una nueva medición VeraFace en tres momentos clave:</w:t>
      </w:r>
    </w:p>
    <w:p w14:paraId="60C3712B">
      <w:pPr>
        <w:spacing w:before="80" w:after="0"/>
      </w:pPr>
    </w:p>
    <w:p w14:paraId="1A8FEDA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30 días — Primera verificación: cambios iniciales visibles en el parámetro.</w:t>
      </w:r>
    </w:p>
    <w:p w14:paraId="5CC64B2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60 días — Verificación intermedia: evolución del protocolo y ajuste si es necesario.</w:t>
      </w:r>
    </w:p>
    <w:p w14:paraId="1D0144C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90 días — Verificación final: comparativa completa antes/después con datos reales.</w:t>
      </w:r>
    </w:p>
    <w:p w14:paraId="7780BFE5">
      <w:pPr>
        <w:spacing w:before="100" w:after="0"/>
      </w:pPr>
    </w:p>
    <w:p w14:paraId="4C9184C2">
      <w:pPr>
        <w:spacing w:before="80" w:after="80"/>
      </w:pPr>
      <w:r>
        <w:rPr>
          <w:rFonts w:ascii="Arial" w:hAnsi="Arial" w:eastAsia="Arial" w:cs="Arial"/>
          <w:color w:val="333333"/>
          <w:sz w:val="20"/>
          <w:szCs w:val="20"/>
        </w:rPr>
        <w:t>En cada medición compararemos:</w:t>
      </w:r>
    </w:p>
    <w:p w14:paraId="382F1CB0">
      <w:pPr>
        <w:spacing w:before="80" w:after="0"/>
      </w:pPr>
    </w:p>
    <w:p w14:paraId="7520D9F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Evolución del parámetro RGB Spot.</w:t>
      </w:r>
    </w:p>
    <w:p w14:paraId="551E33E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Reducción del contraste y oscuridad de las manchas.</w:t>
      </w:r>
    </w:p>
    <w:p w14:paraId="7B9F692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Uniformidad progresiva del tono.</w:t>
      </w:r>
    </w:p>
    <w:p w14:paraId="05C5CCB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Comparativa fotográfica antes/después.</w:t>
      </w:r>
    </w:p>
    <w:p w14:paraId="600635F4">
      <w:pPr>
        <w:spacing w:before="80" w:after="0"/>
      </w:pPr>
    </w:p>
    <w:p w14:paraId="5C69E605">
      <w:pPr>
        <w:spacing w:before="80" w:after="0"/>
      </w:pPr>
      <w:r>
        <w:rPr>
          <w:rFonts w:ascii="Arial" w:hAnsi="Arial" w:eastAsia="Arial" w:cs="Arial"/>
          <w:b/>
          <w:bCs/>
          <w:color w:val="3E2F2B"/>
          <w:sz w:val="20"/>
          <w:szCs w:val="20"/>
        </w:rPr>
        <w:t>No trabajamos con impresiones. Trabajamos con evidencia visible y datos comparables.</w:t>
      </w:r>
    </w:p>
    <w:p w14:paraId="02D54B58">
      <w:pPr>
        <w:spacing w:before="200" w:after="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6B48C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6A56B" w:sz="0" w:space="0"/>
              <w:left w:val="single" w:color="C6A56B" w:sz="0" w:space="0"/>
              <w:bottom w:val="single" w:color="C6A56B" w:sz="0" w:space="0"/>
              <w:right w:val="single" w:color="C6A56B" w:sz="0" w:space="0"/>
            </w:tcBorders>
            <w:shd w:val="clear" w:color="auto" w:fill="3E2F2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1C25DF1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C6A56B"/>
                <w:sz w:val="19"/>
                <w:szCs w:val="19"/>
              </w:rPr>
              <w:t xml:space="preserve">Dimensión biológica evaluada: </w:t>
            </w:r>
            <w:r>
              <w:rPr>
                <w:rFonts w:ascii="Arial" w:hAnsi="Arial" w:eastAsia="Arial" w:cs="Arial"/>
                <w:color w:val="F5EFE6"/>
                <w:sz w:val="19"/>
                <w:szCs w:val="19"/>
              </w:rPr>
              <w:t>Señal pigmentaria superficial.</w:t>
            </w:r>
          </w:p>
          <w:p w14:paraId="47532E0A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C6A56B"/>
                <w:sz w:val="19"/>
                <w:szCs w:val="19"/>
              </w:rPr>
              <w:t xml:space="preserve">Estado actual: </w:t>
            </w:r>
            <w:r>
              <w:rPr>
                <w:rFonts w:ascii="Arial" w:hAnsi="Arial" w:eastAsia="Arial" w:cs="Arial"/>
                <w:color w:val="F5EFE6"/>
                <w:sz w:val="19"/>
                <w:szCs w:val="19"/>
              </w:rPr>
              <w:t>Alterado / Optimizable / Conservado.</w:t>
            </w:r>
          </w:p>
          <w:p w14:paraId="2ED641D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C6A56B"/>
                <w:sz w:val="19"/>
                <w:szCs w:val="19"/>
              </w:rPr>
              <w:t xml:space="preserve">Objetivo Yadala: </w:t>
            </w:r>
            <w:r>
              <w:rPr>
                <w:rFonts w:ascii="Arial" w:hAnsi="Arial" w:eastAsia="Arial" w:cs="Arial"/>
                <w:i/>
                <w:iCs/>
                <w:color w:val="F5EFE6"/>
                <w:sz w:val="19"/>
                <w:szCs w:val="19"/>
              </w:rPr>
              <w:t>Restaurar la función antes de que aparezca una consecuencia mayor.</w:t>
            </w:r>
          </w:p>
        </w:tc>
      </w:tr>
    </w:tbl>
    <w:p w14:paraId="55C74636">
      <w:pPr>
        <w:spacing w:before="120" w:after="0"/>
      </w:pPr>
    </w:p>
    <w:p w14:paraId="638F0717">
      <w:pPr>
        <w:jc w:val="center"/>
      </w:pPr>
      <w:r>
        <w:rPr>
          <w:rFonts w:ascii="Arial" w:hAnsi="Arial" w:eastAsia="Arial" w:cs="Arial"/>
          <w:color w:val="BBBBBB"/>
          <w:sz w:val="16"/>
          <w:szCs w:val="16"/>
        </w:rPr>
        <w:t>YADALA · Skin Science · Biointeligencia Cutánea · Zemits VeraFace System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80"/>
      </w:pPr>
      <w:rPr>
        <w:rFonts w:ascii="Arial" w:hAnsi="Arial" w:eastAsia="Arial" w:cs="Arial"/>
        <w:b/>
        <w:bCs/>
        <w:color w:val="C6A56B"/>
        <w:sz w:val="20"/>
        <w:szCs w:val="20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E0B63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448</Words>
  <Characters>2622</Characters>
  <TotalTime>0</TotalTime>
  <ScaleCrop>false</ScaleCrop>
  <LinksUpToDate>false</LinksUpToDate>
  <CharactersWithSpaces>3011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2026-06-08T19:33:00Z</dcterms:created>
  <dc:creator>Un-named</dc:creator>
  <cp:lastModifiedBy>pedrojorda.me.admon</cp:lastModifiedBy>
  <dcterms:modified xsi:type="dcterms:W3CDTF">2026-06-08T19:37:26Z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eyJoZGlkIjoiZDFlNzhiMGZiZGM0MmZkM2EwZjIwZmQ1MzI5MWJkYWIiLCJ1c2VySWQiOiIzNzI4MTUyODY1MzU1In0=</vt:lpwstr>
  </property>
  <property fmtid="{D5CDD505-2E9C-101B-9397-08002B2CF9AE}" pid="3" name="KSOProductBuildVer">
    <vt:lpwstr>3082-12.1.0.26880</vt:lpwstr>
  </property>
  <property fmtid="{D5CDD505-2E9C-101B-9397-08002B2CF9AE}" pid="4" name="ICV">
    <vt:lpwstr>91ADDDB17F84441EB8DA10B35291B34F_12</vt:lpwstr>
  </property>
</Properties>
</file>