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ECE" w:rsidRDefault="000B5029" w:rsidP="0076037B">
      <w:pPr>
        <w:pStyle w:val="Title"/>
        <w:spacing w:after="40" w:line="360" w:lineRule="auto"/>
      </w:pPr>
      <w:r>
        <w:rPr>
          <w:rFonts w:ascii="Arial" w:hAnsi="Arial"/>
          <w:b/>
          <w:color w:val="000000"/>
          <w:sz w:val="48"/>
        </w:rPr>
        <w:t>Double exclusion in Rwanda</w:t>
      </w:r>
    </w:p>
    <w:p w:rsidR="008D7ECE" w:rsidRDefault="000B5029" w:rsidP="0076037B">
      <w:pPr>
        <w:spacing w:after="160" w:line="360" w:lineRule="auto"/>
      </w:pPr>
      <w:r>
        <w:rPr>
          <w:color w:val="000000"/>
          <w:sz w:val="24"/>
        </w:rPr>
        <w:t>Where poor households are missed by VUP and bank or mobile accounts</w:t>
      </w:r>
    </w:p>
    <w:p w:rsidR="008D7ECE" w:rsidRDefault="000B5029" w:rsidP="0076037B">
      <w:pPr>
        <w:spacing w:after="120" w:line="360" w:lineRule="auto"/>
      </w:pPr>
      <w:r>
        <w:rPr>
          <w:sz w:val="21"/>
        </w:rPr>
        <w:t xml:space="preserve">About 17.5% of poor households are estimated to have neither an observed VUP participation flag nor a bank or mobile-money account. That is approximately </w:t>
      </w:r>
      <w:r>
        <w:rPr>
          <w:sz w:val="21"/>
        </w:rPr>
        <w:t>134,600 poor households nationally. The EICV7 data point to a combined access gap that can guide district-level investigation, while they do not show whether a household was eligible for VUP.</w:t>
      </w:r>
    </w:p>
    <w:p w:rsidR="008D7ECE" w:rsidRDefault="000B5029" w:rsidP="0076037B">
      <w:pPr>
        <w:spacing w:before="100" w:line="360" w:lineRule="auto"/>
      </w:pPr>
      <w:r>
        <w:rPr>
          <w:b/>
          <w:color w:val="17365D"/>
          <w:sz w:val="26"/>
        </w:rPr>
        <w:t>National picture</w:t>
      </w:r>
    </w:p>
    <w:tbl>
      <w:tblPr>
        <w:tblStyle w:val="TableGrid"/>
        <w:tblW w:w="0" w:type="auto"/>
        <w:tblLayout w:type="fixed"/>
        <w:tblLook w:val="04A0" w:firstRow="1" w:lastRow="0" w:firstColumn="1" w:lastColumn="0" w:noHBand="0" w:noVBand="1"/>
      </w:tblPr>
      <w:tblGrid>
        <w:gridCol w:w="3168"/>
        <w:gridCol w:w="1656"/>
        <w:gridCol w:w="4896"/>
      </w:tblGrid>
      <w:tr w:rsidR="008D7ECE">
        <w:tc>
          <w:tcPr>
            <w:tcW w:w="3168" w:type="dxa"/>
            <w:tcBorders>
              <w:top w:val="single" w:sz="5" w:space="0" w:color="D9E0E5"/>
              <w:left w:val="single" w:sz="5" w:space="0" w:color="D9E0E5"/>
              <w:bottom w:val="single" w:sz="5" w:space="0" w:color="D9E0E5"/>
              <w:right w:val="single" w:sz="5" w:space="0" w:color="D9E0E5"/>
            </w:tcBorders>
            <w:shd w:val="clear" w:color="auto" w:fill="17365D"/>
            <w:tcMar>
              <w:top w:w="90" w:type="dxa"/>
              <w:left w:w="120" w:type="dxa"/>
              <w:bottom w:w="90" w:type="dxa"/>
              <w:right w:w="120" w:type="dxa"/>
            </w:tcMar>
            <w:vAlign w:val="center"/>
          </w:tcPr>
          <w:p w:rsidR="008D7ECE" w:rsidRDefault="000B5029" w:rsidP="0076037B">
            <w:pPr>
              <w:spacing w:after="0" w:line="360" w:lineRule="auto"/>
            </w:pPr>
            <w:r>
              <w:rPr>
                <w:b/>
                <w:color w:val="FFFFFF"/>
                <w:sz w:val="17"/>
              </w:rPr>
              <w:t>Measure</w:t>
            </w:r>
          </w:p>
        </w:tc>
        <w:tc>
          <w:tcPr>
            <w:tcW w:w="1656" w:type="dxa"/>
            <w:tcBorders>
              <w:top w:val="single" w:sz="5" w:space="0" w:color="D9E0E5"/>
              <w:left w:val="single" w:sz="5" w:space="0" w:color="D9E0E5"/>
              <w:bottom w:val="single" w:sz="5" w:space="0" w:color="D9E0E5"/>
              <w:right w:val="single" w:sz="5" w:space="0" w:color="D9E0E5"/>
            </w:tcBorders>
            <w:shd w:val="clear" w:color="auto" w:fill="17365D"/>
            <w:tcMar>
              <w:top w:w="90" w:type="dxa"/>
              <w:left w:w="120" w:type="dxa"/>
              <w:bottom w:w="90" w:type="dxa"/>
              <w:right w:w="120" w:type="dxa"/>
            </w:tcMar>
            <w:vAlign w:val="center"/>
          </w:tcPr>
          <w:p w:rsidR="008D7ECE" w:rsidRDefault="000B5029" w:rsidP="0076037B">
            <w:pPr>
              <w:spacing w:after="0" w:line="360" w:lineRule="auto"/>
            </w:pPr>
            <w:r>
              <w:rPr>
                <w:b/>
                <w:color w:val="FFFFFF"/>
                <w:sz w:val="17"/>
              </w:rPr>
              <w:t>Estimate</w:t>
            </w:r>
          </w:p>
        </w:tc>
        <w:tc>
          <w:tcPr>
            <w:tcW w:w="4896" w:type="dxa"/>
            <w:tcBorders>
              <w:top w:val="single" w:sz="5" w:space="0" w:color="D9E0E5"/>
              <w:left w:val="single" w:sz="5" w:space="0" w:color="D9E0E5"/>
              <w:bottom w:val="single" w:sz="5" w:space="0" w:color="D9E0E5"/>
              <w:right w:val="single" w:sz="5" w:space="0" w:color="D9E0E5"/>
            </w:tcBorders>
            <w:shd w:val="clear" w:color="auto" w:fill="17365D"/>
            <w:tcMar>
              <w:top w:w="90" w:type="dxa"/>
              <w:left w:w="120" w:type="dxa"/>
              <w:bottom w:w="90" w:type="dxa"/>
              <w:right w:w="120" w:type="dxa"/>
            </w:tcMar>
            <w:vAlign w:val="center"/>
          </w:tcPr>
          <w:p w:rsidR="008D7ECE" w:rsidRDefault="000B5029" w:rsidP="0076037B">
            <w:pPr>
              <w:spacing w:after="0" w:line="360" w:lineRule="auto"/>
            </w:pPr>
            <w:r>
              <w:rPr>
                <w:b/>
                <w:color w:val="FFFFFF"/>
                <w:sz w:val="17"/>
              </w:rPr>
              <w:t>Definition</w:t>
            </w:r>
          </w:p>
        </w:tc>
      </w:tr>
      <w:tr w:rsidR="008D7ECE">
        <w:tc>
          <w:tcPr>
            <w:tcW w:w="3168"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7"/>
              </w:rPr>
              <w:t>Population poverty</w:t>
            </w:r>
            <w:r>
              <w:rPr>
                <w:sz w:val="17"/>
              </w:rPr>
              <w:t xml:space="preserve"> rate</w:t>
            </w:r>
          </w:p>
        </w:tc>
        <w:tc>
          <w:tcPr>
            <w:tcW w:w="1656"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7"/>
              </w:rPr>
              <w:t>27.4%</w:t>
            </w:r>
          </w:p>
        </w:tc>
        <w:tc>
          <w:tcPr>
            <w:tcW w:w="4896"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7"/>
              </w:rPr>
              <w:t>Population weight; matches NISR's 27.4% national rate after rounding</w:t>
            </w:r>
          </w:p>
        </w:tc>
      </w:tr>
      <w:tr w:rsidR="008D7ECE">
        <w:tc>
          <w:tcPr>
            <w:tcW w:w="3168"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7"/>
              </w:rPr>
              <w:t>VUP coverage among poor households</w:t>
            </w:r>
          </w:p>
        </w:tc>
        <w:tc>
          <w:tcPr>
            <w:tcW w:w="1656"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7"/>
              </w:rPr>
              <w:t>15.9%</w:t>
            </w:r>
          </w:p>
        </w:tc>
        <w:tc>
          <w:tcPr>
            <w:tcW w:w="4896"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7"/>
              </w:rPr>
              <w:t>VUP participation reported in EICV7 modules</w:t>
            </w:r>
          </w:p>
        </w:tc>
      </w:tr>
      <w:tr w:rsidR="008D7ECE">
        <w:tc>
          <w:tcPr>
            <w:tcW w:w="3168"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7"/>
              </w:rPr>
              <w:t>Bank or mobile account access among poor households</w:t>
            </w:r>
          </w:p>
        </w:tc>
        <w:tc>
          <w:tcPr>
            <w:tcW w:w="1656"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7"/>
              </w:rPr>
              <w:t>82.0%</w:t>
            </w:r>
          </w:p>
        </w:tc>
        <w:tc>
          <w:tcPr>
            <w:tcW w:w="4896"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7"/>
              </w:rPr>
              <w:t xml:space="preserve">At least one household member </w:t>
            </w:r>
            <w:r>
              <w:rPr>
                <w:sz w:val="17"/>
              </w:rPr>
              <w:t>reports an account</w:t>
            </w:r>
          </w:p>
        </w:tc>
        <w:bookmarkStart w:id="0" w:name="_GoBack"/>
        <w:bookmarkEnd w:id="0"/>
      </w:tr>
      <w:tr w:rsidR="008D7ECE">
        <w:tc>
          <w:tcPr>
            <w:tcW w:w="3168"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7"/>
              </w:rPr>
              <w:t>Poor households with double exclusion</w:t>
            </w:r>
          </w:p>
        </w:tc>
        <w:tc>
          <w:tcPr>
            <w:tcW w:w="1656"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7"/>
              </w:rPr>
              <w:t>17.5%</w:t>
            </w:r>
          </w:p>
        </w:tc>
        <w:tc>
          <w:tcPr>
            <w:tcW w:w="4896"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7"/>
              </w:rPr>
              <w:t>About 134,614 households, household weighted</w:t>
            </w:r>
          </w:p>
        </w:tc>
      </w:tr>
    </w:tbl>
    <w:p w:rsidR="008D7ECE" w:rsidRDefault="000B5029" w:rsidP="0076037B">
      <w:pPr>
        <w:spacing w:before="100" w:line="360" w:lineRule="auto"/>
      </w:pPr>
      <w:r>
        <w:rPr>
          <w:b/>
          <w:color w:val="17365D"/>
          <w:sz w:val="26"/>
        </w:rPr>
        <w:t>Districts with the largest estimated burden</w:t>
      </w:r>
    </w:p>
    <w:p w:rsidR="008D7ECE" w:rsidRDefault="000B5029" w:rsidP="0076037B">
      <w:pPr>
        <w:spacing w:line="360" w:lineRule="auto"/>
      </w:pPr>
      <w:r>
        <w:rPr>
          <w:sz w:val="18"/>
        </w:rPr>
        <w:t xml:space="preserve">The ranking uses the estimated number of poor households with double exclusion. Rates show the share </w:t>
      </w:r>
      <w:r>
        <w:rPr>
          <w:sz w:val="18"/>
        </w:rPr>
        <w:t>of poor households affected.</w:t>
      </w:r>
    </w:p>
    <w:tbl>
      <w:tblPr>
        <w:tblW w:w="0" w:type="auto"/>
        <w:tblLayout w:type="fixed"/>
        <w:tblLook w:val="04A0" w:firstRow="1" w:lastRow="0" w:firstColumn="1" w:lastColumn="0" w:noHBand="0" w:noVBand="1"/>
      </w:tblPr>
      <w:tblGrid>
        <w:gridCol w:w="3168"/>
        <w:gridCol w:w="3168"/>
        <w:gridCol w:w="3384"/>
      </w:tblGrid>
      <w:tr w:rsidR="008D7ECE">
        <w:tc>
          <w:tcPr>
            <w:tcW w:w="3168" w:type="dxa"/>
            <w:tcBorders>
              <w:top w:val="single" w:sz="5" w:space="0" w:color="D9E0E5"/>
              <w:left w:val="single" w:sz="5" w:space="0" w:color="D9E0E5"/>
              <w:bottom w:val="single" w:sz="5" w:space="0" w:color="D9E0E5"/>
              <w:right w:val="single" w:sz="5" w:space="0" w:color="D9E0E5"/>
            </w:tcBorders>
            <w:shd w:val="clear" w:color="auto" w:fill="17365D"/>
            <w:tcMar>
              <w:top w:w="90" w:type="dxa"/>
              <w:left w:w="120" w:type="dxa"/>
              <w:bottom w:w="90" w:type="dxa"/>
              <w:right w:w="120" w:type="dxa"/>
            </w:tcMar>
            <w:vAlign w:val="center"/>
          </w:tcPr>
          <w:p w:rsidR="008D7ECE" w:rsidRDefault="000B5029" w:rsidP="0076037B">
            <w:pPr>
              <w:spacing w:after="0" w:line="360" w:lineRule="auto"/>
            </w:pPr>
            <w:r>
              <w:rPr>
                <w:b/>
                <w:color w:val="FFFFFF"/>
                <w:sz w:val="18"/>
              </w:rPr>
              <w:t>District</w:t>
            </w:r>
          </w:p>
        </w:tc>
        <w:tc>
          <w:tcPr>
            <w:tcW w:w="3168" w:type="dxa"/>
            <w:tcBorders>
              <w:top w:val="single" w:sz="5" w:space="0" w:color="D9E0E5"/>
              <w:left w:val="single" w:sz="5" w:space="0" w:color="D9E0E5"/>
              <w:bottom w:val="single" w:sz="5" w:space="0" w:color="D9E0E5"/>
              <w:right w:val="single" w:sz="5" w:space="0" w:color="D9E0E5"/>
            </w:tcBorders>
            <w:shd w:val="clear" w:color="auto" w:fill="17365D"/>
            <w:tcMar>
              <w:top w:w="90" w:type="dxa"/>
              <w:left w:w="120" w:type="dxa"/>
              <w:bottom w:w="90" w:type="dxa"/>
              <w:right w:w="120" w:type="dxa"/>
            </w:tcMar>
            <w:vAlign w:val="center"/>
          </w:tcPr>
          <w:p w:rsidR="008D7ECE" w:rsidRDefault="000B5029" w:rsidP="0076037B">
            <w:pPr>
              <w:spacing w:after="0" w:line="360" w:lineRule="auto"/>
            </w:pPr>
            <w:r>
              <w:rPr>
                <w:b/>
                <w:color w:val="FFFFFF"/>
                <w:sz w:val="18"/>
              </w:rPr>
              <w:t>Double-exclusion rate</w:t>
            </w:r>
          </w:p>
        </w:tc>
        <w:tc>
          <w:tcPr>
            <w:tcW w:w="3384" w:type="dxa"/>
            <w:tcBorders>
              <w:top w:val="single" w:sz="5" w:space="0" w:color="D9E0E5"/>
              <w:left w:val="single" w:sz="5" w:space="0" w:color="D9E0E5"/>
              <w:bottom w:val="single" w:sz="5" w:space="0" w:color="D9E0E5"/>
              <w:right w:val="single" w:sz="5" w:space="0" w:color="D9E0E5"/>
            </w:tcBorders>
            <w:shd w:val="clear" w:color="auto" w:fill="17365D"/>
            <w:tcMar>
              <w:top w:w="90" w:type="dxa"/>
              <w:left w:w="120" w:type="dxa"/>
              <w:bottom w:w="90" w:type="dxa"/>
              <w:right w:w="120" w:type="dxa"/>
            </w:tcMar>
            <w:vAlign w:val="center"/>
          </w:tcPr>
          <w:p w:rsidR="008D7ECE" w:rsidRDefault="000B5029" w:rsidP="0076037B">
            <w:pPr>
              <w:spacing w:after="0" w:line="360" w:lineRule="auto"/>
            </w:pPr>
            <w:r>
              <w:rPr>
                <w:b/>
                <w:color w:val="FFFFFF"/>
                <w:sz w:val="18"/>
              </w:rPr>
              <w:t>Estimated households</w:t>
            </w:r>
          </w:p>
        </w:tc>
      </w:tr>
      <w:tr w:rsidR="008D7ECE">
        <w:tc>
          <w:tcPr>
            <w:tcW w:w="3168"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8"/>
              </w:rPr>
              <w:t>Kamonyi</w:t>
            </w:r>
          </w:p>
        </w:tc>
        <w:tc>
          <w:tcPr>
            <w:tcW w:w="3168"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8"/>
              </w:rPr>
              <w:t>29.0%</w:t>
            </w:r>
          </w:p>
        </w:tc>
        <w:tc>
          <w:tcPr>
            <w:tcW w:w="3384"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8"/>
              </w:rPr>
              <w:t>12,220</w:t>
            </w:r>
          </w:p>
        </w:tc>
      </w:tr>
      <w:tr w:rsidR="008D7ECE">
        <w:tc>
          <w:tcPr>
            <w:tcW w:w="3168"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8"/>
              </w:rPr>
              <w:t>Nyagatare</w:t>
            </w:r>
          </w:p>
        </w:tc>
        <w:tc>
          <w:tcPr>
            <w:tcW w:w="3168"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8"/>
              </w:rPr>
              <w:t>22.2%</w:t>
            </w:r>
          </w:p>
        </w:tc>
        <w:tc>
          <w:tcPr>
            <w:tcW w:w="3384"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8"/>
              </w:rPr>
              <w:t>11,569</w:t>
            </w:r>
          </w:p>
        </w:tc>
      </w:tr>
      <w:tr w:rsidR="008D7ECE">
        <w:tc>
          <w:tcPr>
            <w:tcW w:w="3168"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8"/>
              </w:rPr>
              <w:t>Nyanza</w:t>
            </w:r>
          </w:p>
        </w:tc>
        <w:tc>
          <w:tcPr>
            <w:tcW w:w="3168"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8"/>
              </w:rPr>
              <w:t>28.1%</w:t>
            </w:r>
          </w:p>
        </w:tc>
        <w:tc>
          <w:tcPr>
            <w:tcW w:w="3384"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8"/>
              </w:rPr>
              <w:t>10,133</w:t>
            </w:r>
          </w:p>
        </w:tc>
      </w:tr>
      <w:tr w:rsidR="008D7ECE">
        <w:tc>
          <w:tcPr>
            <w:tcW w:w="3168"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8"/>
              </w:rPr>
              <w:t>Gisagara</w:t>
            </w:r>
          </w:p>
        </w:tc>
        <w:tc>
          <w:tcPr>
            <w:tcW w:w="3168"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8"/>
              </w:rPr>
              <w:t>21.5%</w:t>
            </w:r>
          </w:p>
        </w:tc>
        <w:tc>
          <w:tcPr>
            <w:tcW w:w="3384" w:type="dxa"/>
            <w:tcBorders>
              <w:top w:val="single" w:sz="5" w:space="0" w:color="D9E0E5"/>
              <w:left w:val="single" w:sz="5" w:space="0" w:color="D9E0E5"/>
              <w:bottom w:val="single" w:sz="5" w:space="0" w:color="D9E0E5"/>
              <w:right w:val="single" w:sz="5" w:space="0" w:color="D9E0E5"/>
            </w:tcBorders>
            <w:shd w:val="clear" w:color="auto" w:fill="EAF1F5"/>
            <w:tcMar>
              <w:top w:w="90" w:type="dxa"/>
              <w:left w:w="120" w:type="dxa"/>
              <w:bottom w:w="90" w:type="dxa"/>
              <w:right w:w="120" w:type="dxa"/>
            </w:tcMar>
            <w:vAlign w:val="center"/>
          </w:tcPr>
          <w:p w:rsidR="008D7ECE" w:rsidRDefault="000B5029" w:rsidP="0076037B">
            <w:pPr>
              <w:spacing w:after="0" w:line="360" w:lineRule="auto"/>
            </w:pPr>
            <w:r>
              <w:rPr>
                <w:sz w:val="18"/>
              </w:rPr>
              <w:t>8,398</w:t>
            </w:r>
          </w:p>
        </w:tc>
      </w:tr>
      <w:tr w:rsidR="008D7ECE">
        <w:tc>
          <w:tcPr>
            <w:tcW w:w="3168"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8"/>
              </w:rPr>
              <w:t>Ngoma</w:t>
            </w:r>
          </w:p>
        </w:tc>
        <w:tc>
          <w:tcPr>
            <w:tcW w:w="3168"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8"/>
              </w:rPr>
              <w:t>29.6%</w:t>
            </w:r>
          </w:p>
        </w:tc>
        <w:tc>
          <w:tcPr>
            <w:tcW w:w="3384" w:type="dxa"/>
            <w:tcBorders>
              <w:top w:val="single" w:sz="5" w:space="0" w:color="D9E0E5"/>
              <w:left w:val="single" w:sz="5" w:space="0" w:color="D9E0E5"/>
              <w:bottom w:val="single" w:sz="5" w:space="0" w:color="D9E0E5"/>
              <w:right w:val="single" w:sz="5" w:space="0" w:color="D9E0E5"/>
            </w:tcBorders>
            <w:tcMar>
              <w:top w:w="90" w:type="dxa"/>
              <w:left w:w="120" w:type="dxa"/>
              <w:bottom w:w="90" w:type="dxa"/>
              <w:right w:w="120" w:type="dxa"/>
            </w:tcMar>
            <w:vAlign w:val="center"/>
          </w:tcPr>
          <w:p w:rsidR="008D7ECE" w:rsidRDefault="000B5029" w:rsidP="0076037B">
            <w:pPr>
              <w:spacing w:after="0" w:line="360" w:lineRule="auto"/>
            </w:pPr>
            <w:r>
              <w:rPr>
                <w:sz w:val="18"/>
              </w:rPr>
              <w:t>8,085</w:t>
            </w:r>
          </w:p>
        </w:tc>
      </w:tr>
    </w:tbl>
    <w:p w:rsidR="008D7ECE" w:rsidRDefault="000B5029" w:rsidP="0076037B">
      <w:pPr>
        <w:spacing w:after="20" w:line="360" w:lineRule="auto"/>
      </w:pPr>
      <w:r>
        <w:rPr>
          <w:sz w:val="18"/>
        </w:rPr>
        <w:t xml:space="preserve">Ngoma has the highest district rate (29.6%); Kamonyi has the </w:t>
      </w:r>
      <w:r>
        <w:rPr>
          <w:sz w:val="18"/>
        </w:rPr>
        <w:t>largest estimated count (about 12,200). Nyanza is also high on both measures. Districts can rank differently by rate and by number of households, so both measures matter for planning.</w:t>
      </w:r>
    </w:p>
    <w:p w:rsidR="008D7ECE" w:rsidRDefault="000B5029" w:rsidP="0076037B">
      <w:pPr>
        <w:spacing w:line="360" w:lineRule="auto"/>
      </w:pPr>
      <w:r>
        <w:br w:type="page"/>
      </w:r>
    </w:p>
    <w:p w:rsidR="008D7ECE" w:rsidRDefault="000B5029" w:rsidP="0076037B">
      <w:pPr>
        <w:pStyle w:val="Title"/>
        <w:spacing w:after="60" w:line="360" w:lineRule="auto"/>
      </w:pPr>
      <w:r>
        <w:rPr>
          <w:rFonts w:ascii="Arial" w:hAnsi="Arial"/>
          <w:b/>
          <w:color w:val="000000"/>
          <w:sz w:val="42"/>
        </w:rPr>
        <w:lastRenderedPageBreak/>
        <w:t>What decision makers can do</w:t>
      </w:r>
    </w:p>
    <w:p w:rsidR="008D7ECE" w:rsidRDefault="000B5029" w:rsidP="0076037B">
      <w:pPr>
        <w:spacing w:after="100" w:line="360" w:lineRule="auto"/>
      </w:pPr>
      <w:r>
        <w:t>Use these district estimates to select pla</w:t>
      </w:r>
      <w:r>
        <w:t>ces for service review, then verify the causes locally before changing eligibility or allocating individual benefits.</w:t>
      </w:r>
    </w:p>
    <w:p w:rsidR="008D7ECE" w:rsidRDefault="000B5029" w:rsidP="0076037B">
      <w:pPr>
        <w:pStyle w:val="ListBullet"/>
        <w:spacing w:after="100" w:line="360" w:lineRule="auto"/>
      </w:pPr>
      <w:r>
        <w:rPr>
          <w:b/>
          <w:color w:val="17365D"/>
        </w:rPr>
        <w:t xml:space="preserve">Review high-burden districts first. </w:t>
      </w:r>
      <w:r>
        <w:t>Start with Kamonyi, Nyagatare, Nyanza, Gisagara and Ngoma. Bring district social-protection teams, SAC</w:t>
      </w:r>
      <w:r>
        <w:t>COs, banks, mobile-money providers and civil-society groups together to check whether the mapped overlap reflects access barriers on the ground.</w:t>
      </w:r>
    </w:p>
    <w:p w:rsidR="008D7ECE" w:rsidRDefault="000B5029" w:rsidP="0076037B">
      <w:pPr>
        <w:pStyle w:val="ListBullet"/>
        <w:spacing w:after="100" w:line="360" w:lineRule="auto"/>
      </w:pPr>
      <w:r>
        <w:rPr>
          <w:b/>
          <w:color w:val="17365D"/>
        </w:rPr>
        <w:t xml:space="preserve">Offer an eligibility check and referral together. </w:t>
      </w:r>
      <w:r>
        <w:t>At local service points, let households ask for a VUP eligibi</w:t>
      </w:r>
      <w:r>
        <w:t>lity assessment and receive information about bank or mobile-money account options. The survey does not measure eligibility, so the assessment must precede any claim that a household was wrongly excluded.</w:t>
      </w:r>
    </w:p>
    <w:p w:rsidR="008D7ECE" w:rsidRDefault="000B5029" w:rsidP="0076037B">
      <w:pPr>
        <w:pStyle w:val="ListBullet"/>
        <w:spacing w:after="100" w:line="360" w:lineRule="auto"/>
      </w:pPr>
      <w:r>
        <w:rPr>
          <w:b/>
          <w:color w:val="17365D"/>
        </w:rPr>
        <w:t xml:space="preserve">Make account access practical and voluntary. </w:t>
      </w:r>
      <w:r>
        <w:t>Ask ho</w:t>
      </w:r>
      <w:r>
        <w:t>useholds what prevents account use, including fees, documentation, distance, phone access and confidence. Test accessible onboarding and support, with a clear choice of provider and payment method.</w:t>
      </w:r>
    </w:p>
    <w:p w:rsidR="008D7ECE" w:rsidRDefault="000B5029" w:rsidP="0076037B">
      <w:pPr>
        <w:pStyle w:val="ListBullet"/>
        <w:spacing w:after="100" w:line="360" w:lineRule="auto"/>
      </w:pPr>
      <w:r>
        <w:rPr>
          <w:b/>
          <w:color w:val="17365D"/>
        </w:rPr>
        <w:t xml:space="preserve">Track both reach and access. </w:t>
      </w:r>
      <w:r>
        <w:t>Monitor VUP participation, ba</w:t>
      </w:r>
      <w:r>
        <w:t>nk/mobile account access and the overlap among poor households. Pair administrative program data with periodic household evidence and publish district summaries with uncertainty intervals.</w:t>
      </w:r>
    </w:p>
    <w:p w:rsidR="008D7ECE" w:rsidRDefault="000B5029" w:rsidP="0076037B">
      <w:pPr>
        <w:spacing w:before="100" w:line="360" w:lineRule="auto"/>
      </w:pPr>
      <w:r>
        <w:rPr>
          <w:b/>
          <w:color w:val="17365D"/>
          <w:sz w:val="26"/>
        </w:rPr>
        <w:t>Evidence and limits</w:t>
      </w:r>
    </w:p>
    <w:p w:rsidR="008D7ECE" w:rsidRDefault="000B5029" w:rsidP="0076037B">
      <w:pPr>
        <w:spacing w:line="360" w:lineRule="auto"/>
      </w:pPr>
      <w:r>
        <w:rPr>
          <w:sz w:val="18"/>
        </w:rPr>
        <w:t>The analysis uses the EICV7 cross-section (Octo</w:t>
      </w:r>
      <w:r>
        <w:rPr>
          <w:sz w:val="18"/>
        </w:rPr>
        <w:t>ber 2023 to October 2024). District poverty rates use the population weight and reproduce the NISR Main Indicators Report's published district rates to 0.1 percentage point. Coverage and overlap estimates use household weights. Financial access means at le</w:t>
      </w:r>
      <w:r>
        <w:rPr>
          <w:sz w:val="18"/>
        </w:rPr>
        <w:t>ast one reported bank or mobile-money account; tontine participation is shown separately. VUP coverage combines positive flags across Direct Support, Classic Public Works, Expanded Public Works, Nutrition-Sensitive Direct Support and the VUP financial-serv</w:t>
      </w:r>
      <w:r>
        <w:rPr>
          <w:sz w:val="18"/>
        </w:rPr>
        <w:t>ices module.</w:t>
      </w:r>
    </w:p>
    <w:p w:rsidR="008D7ECE" w:rsidRDefault="000B5029" w:rsidP="0076037B">
      <w:pPr>
        <w:spacing w:line="360" w:lineRule="auto"/>
      </w:pPr>
      <w:r>
        <w:rPr>
          <w:sz w:val="18"/>
        </w:rPr>
        <w:t xml:space="preserve">The estimates are descriptive, self-reported and cross-sectional. They cannot establish impact, program eligibility, barriers to access, or whether financial services are affordable or actively used. The 95% intervals use a stratified cluster </w:t>
      </w:r>
      <w:r>
        <w:rPr>
          <w:sz w:val="18"/>
        </w:rPr>
        <w:t>linearization with a normal critical value; confirm the variance specification against NISR's survey-design documentation before publication. Nyarugenge and Kicukiro each have fewer than 50 sampled poor households and are flagged for caution.</w:t>
      </w:r>
    </w:p>
    <w:p w:rsidR="008D7ECE" w:rsidRDefault="000B5029" w:rsidP="0076037B">
      <w:pPr>
        <w:spacing w:before="100" w:line="360" w:lineRule="auto"/>
      </w:pPr>
      <w:r>
        <w:rPr>
          <w:b/>
          <w:color w:val="17365D"/>
          <w:sz w:val="26"/>
        </w:rPr>
        <w:t>Sources</w:t>
      </w:r>
    </w:p>
    <w:p w:rsidR="008D7ECE" w:rsidRDefault="000B5029" w:rsidP="0076037B">
      <w:pPr>
        <w:spacing w:after="0" w:line="360" w:lineRule="auto"/>
      </w:pPr>
      <w:r>
        <w:rPr>
          <w:color w:val="59636E"/>
          <w:sz w:val="16"/>
        </w:rPr>
        <w:t>NISR,</w:t>
      </w:r>
      <w:r>
        <w:rPr>
          <w:color w:val="59636E"/>
          <w:sz w:val="16"/>
        </w:rPr>
        <w:t xml:space="preserve"> EICV7 Main Indicators Report 2023/24; NISR, EICV7 microdata catalog and questionnaire; authors' weighted calculations from the EICV7 cross-section. Fieldwork dates: October 2023-October 2024.</w:t>
      </w:r>
    </w:p>
    <w:sectPr w:rsidR="008D7ECE" w:rsidSect="00034616">
      <w:headerReference w:type="default" r:id="rId8"/>
      <w:footerReference w:type="default" r:id="rId9"/>
      <w:pgSz w:w="12240" w:h="15840"/>
      <w:pgMar w:top="792" w:right="1037" w:bottom="792"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5029" w:rsidRDefault="000B5029">
      <w:pPr>
        <w:spacing w:after="0" w:line="240" w:lineRule="auto"/>
      </w:pPr>
      <w:r>
        <w:separator/>
      </w:r>
    </w:p>
  </w:endnote>
  <w:endnote w:type="continuationSeparator" w:id="0">
    <w:p w:rsidR="000B5029" w:rsidRDefault="000B5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ECE" w:rsidRDefault="000B5029">
    <w:pPr>
      <w:pStyle w:val="Footer"/>
      <w:jc w:val="center"/>
    </w:pPr>
    <w:r>
      <w:rPr>
        <w:color w:val="59636E"/>
        <w:sz w:val="16"/>
      </w:rPr>
      <w:t>District estimates are descriptive and should not be used to identify individual households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5029" w:rsidRDefault="000B5029">
      <w:pPr>
        <w:spacing w:after="0" w:line="240" w:lineRule="auto"/>
      </w:pPr>
      <w:r>
        <w:separator/>
      </w:r>
    </w:p>
  </w:footnote>
  <w:footnote w:type="continuationSeparator" w:id="0">
    <w:p w:rsidR="000B5029" w:rsidRDefault="000B5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ECE" w:rsidRDefault="000B5029">
    <w:pPr>
      <w:pStyle w:val="Header"/>
      <w:jc w:val="right"/>
    </w:pPr>
    <w:r>
      <w:rPr>
        <w:b/>
        <w:color w:val="000000"/>
        <w:sz w:val="16"/>
      </w:rPr>
      <w:t>EVIDENCE BRIEF  |  RWANDA  |  EICV7 2023-24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5029"/>
    <w:rsid w:val="0015074B"/>
    <w:rsid w:val="0029639D"/>
    <w:rsid w:val="00326F90"/>
    <w:rsid w:val="0076037B"/>
    <w:rsid w:val="008D7E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9372FD4-141D-4D8A-AA3D-D2E94E2F5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0" w:lineRule="auto"/>
    </w:pPr>
    <w:rPr>
      <w:rFonts w:ascii="Arial" w:hAnsi="Arial"/>
      <w:color w:val="26323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83B63-F46D-4C7D-89AB-AF90372A1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BIENVENU</cp:lastModifiedBy>
  <cp:revision>2</cp:revision>
  <dcterms:created xsi:type="dcterms:W3CDTF">2013-12-23T23:15:00Z</dcterms:created>
  <dcterms:modified xsi:type="dcterms:W3CDTF">2026-10-28T09:07:00Z</dcterms:modified>
  <cp:category/>
</cp:coreProperties>
</file>