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5276"/>
          <w:sz w:val="56"/>
        </w:rPr>
        <w:t>Bit-By-Bit Academy</w:t>
      </w:r>
    </w:p>
    <w:p>
      <w:pPr>
        <w:spacing w:before="80" w:after="400"/>
        <w:pBdr>
          <w:bottom w:val="single" w:sz="12" w:space="1" w:color="2E86C1"/>
        </w:pBdr>
      </w:pPr>
    </w:p>
    <w:p>
      <w:pPr>
        <w:spacing w:before="0" w:after="160"/>
        <w:jc w:val="center"/>
      </w:pPr>
      <w:r>
        <w:rPr>
          <w:b/>
          <w:color w:val="2C3E50"/>
          <w:sz w:val="36"/>
        </w:rPr>
        <w:t>Data Governance and Data Flow Audit</w:t>
      </w:r>
    </w:p>
    <w:p>
      <w:pPr>
        <w:spacing w:before="0" w:after="480"/>
        <w:jc w:val="center"/>
      </w:pPr>
      <w:r>
        <w:rPr>
          <w:b w:val="0"/>
          <w:i w:val="0"/>
          <w:color w:val="7F8C8D"/>
          <w:sz w:val="26"/>
        </w:rPr>
        <w:t>Findings Report and Action Plan</w:t>
      </w:r>
    </w:p>
    <w:p>
      <w:pPr>
        <w:spacing w:before="80" w:after="40"/>
        <w:jc w:val="center"/>
      </w:pPr>
      <w:r>
        <w:rPr>
          <w:b w:val="0"/>
          <w:i w:val="0"/>
          <w:color w:val="7F8C8D"/>
          <w:sz w:val="20"/>
        </w:rPr>
        <w:t>Completed by</w:t>
      </w:r>
    </w:p>
    <w:p>
      <w:pPr>
        <w:spacing w:before="40" w:after="40"/>
        <w:jc w:val="center"/>
      </w:pPr>
      <w:r>
        <w:rPr>
          <w:b/>
          <w:i w:val="0"/>
          <w:color w:val="2C3E50"/>
          <w:sz w:val="24"/>
        </w:rPr>
        <w:t>Rhoda Report</w:t>
      </w:r>
    </w:p>
    <w:p>
      <w:pPr>
        <w:spacing w:before="0" w:after="80"/>
        <w:jc w:val="center"/>
      </w:pPr>
      <w:r>
        <w:rPr>
          <w:b w:val="0"/>
          <w:i w:val="0"/>
          <w:color w:val="7F8C8D"/>
          <w:sz w:val="20"/>
        </w:rPr>
        <w:t>Director of Technology</w:t>
      </w:r>
    </w:p>
    <w:p>
      <w:pPr>
        <w:spacing w:before="320"/>
        <w:jc w:val="center"/>
      </w:pPr>
      <w:r>
        <w:rPr>
          <w:b w:val="0"/>
          <w:i w:val="0"/>
          <w:color w:val="7F8C8D"/>
          <w:sz w:val="18"/>
        </w:rPr>
        <w:t>2026-05-14</w:t>
      </w:r>
    </w:p>
    <w:p>
      <w:r>
        <w:br w:type="page"/>
      </w:r>
    </w:p>
    <w:p>
      <w:pPr>
        <w:spacing w:before="280" w:after="100"/>
        <w:pBdr>
          <w:bottom w:val="single" w:sz="8" w:space="1" w:color="2E86C1"/>
        </w:pBdr>
      </w:pPr>
      <w:r>
        <w:rPr>
          <w:b/>
          <w:color w:val="1A5276"/>
          <w:sz w:val="36"/>
        </w:rPr>
        <w:t>Executive Summary</w:t>
      </w:r>
    </w:p>
    <w:tbl>
      <w:tblPr>
        <w:tblStyle w:val="TableGrid"/>
        <w:tblW w:type="auto" w:w="0"/>
        <w:tblLook w:firstColumn="1" w:firstRow="1" w:lastColumn="0" w:lastRow="0" w:noHBand="0" w:noVBand="1" w:val="04A0"/>
      </w:tblPr>
      <w:tblGrid>
        <w:gridCol w:w="9648"/>
      </w:tblGrid>
      <w:tr>
        <w:tc>
          <w:tcPr>
            <w:tcW w:type="dxa" w:w="9648"/>
            <w:shd w:val="clear" w:color="auto" w:fill="D6EAF8"/>
            <w:tcBorders>
              <w:top w:val="single" w:sz="4" w:color="CCCCCC"/>
              <w:bottom w:val="single" w:sz="4" w:color="CCCCCC"/>
              <w:left w:val="single" w:sz="4" w:color="CCCCCC"/>
              <w:right w:val="single" w:sz="4" w:color="CCCCCC"/>
            </w:tcBorders>
          </w:tcPr>
          <w:p>
            <w:pPr>
              <w:spacing w:before="60" w:after="40"/>
            </w:pPr>
            <w:r>
              <w:rPr>
                <w:b/>
                <w:i w:val="0"/>
                <w:color w:val="1A5276"/>
                <w:sz w:val="20"/>
              </w:rPr>
              <w:t xml:space="preserve">Assessment scope:  </w:t>
            </w:r>
            <w:r>
              <w:rPr>
                <w:b w:val="0"/>
                <w:i w:val="0"/>
                <w:color w:val="2C3E50"/>
                <w:sz w:val="20"/>
              </w:rPr>
              <w:t>5 of 5 registered systems were audited in this session.</w:t>
            </w:r>
          </w:p>
          <w:p>
            <w:pPr>
              <w:spacing w:before="40" w:after="20"/>
            </w:pPr>
            <w:r>
              <w:rPr>
                <w:b/>
                <w:i w:val="0"/>
                <w:color w:val="7F8C8D"/>
                <w:sz w:val="18"/>
              </w:rPr>
              <w:t xml:space="preserve">Systems audited:  </w:t>
            </w:r>
            <w:r>
              <w:rPr>
                <w:b w:val="0"/>
                <w:i w:val="0"/>
                <w:color w:val="2C3E50"/>
                <w:sz w:val="18"/>
              </w:rPr>
              <w:t>Veracross (SIS), Google Workspace for Education Plus, Seesaw, Lightspeed Filter, Bark for Schools</w:t>
            </w:r>
          </w:p>
          <w:p>
            <w:pPr>
              <w:spacing w:before="40" w:after="60"/>
            </w:pPr>
            <w:r>
              <w:rPr>
                <w:b w:val="0"/>
                <w:i/>
                <w:color w:val="7F8C8D"/>
                <w:sz w:val="18"/>
              </w:rPr>
              <w:t>All registered systems were assessed.</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FDEDEC"/>
            <w:tcBorders>
              <w:top w:val="single" w:sz="4" w:color="CCCCCC"/>
              <w:bottom w:val="single" w:sz="4" w:color="CCCCCC"/>
              <w:left w:val="single" w:sz="4" w:color="CCCCCC"/>
              <w:right w:val="single" w:sz="4" w:color="CCCCCC"/>
            </w:tcBorders>
          </w:tcPr>
          <w:p>
            <w:pPr>
              <w:spacing w:before="80" w:after="40"/>
            </w:pPr>
            <w:r>
              <w:rPr>
                <w:b/>
                <w:i w:val="0"/>
                <w:color w:val="2C3E50"/>
                <w:sz w:val="24"/>
              </w:rPr>
              <w:t xml:space="preserve">Overall Grade: </w:t>
            </w:r>
            <w:r>
              <w:rPr>
                <w:b/>
                <w:i w:val="0"/>
                <w:color w:val="8E1A1A"/>
                <w:sz w:val="32"/>
              </w:rPr>
              <w:t>F</w:t>
            </w:r>
            <w:r>
              <w:rPr>
                <w:b w:val="0"/>
                <w:i w:val="0"/>
                <w:color w:val="2C3E50"/>
                <w:sz w:val="22"/>
              </w:rPr>
              <w:t xml:space="preserve">   ·   5 systems audited</w:t>
            </w:r>
          </w:p>
          <w:p>
            <w:pPr>
              <w:spacing w:before="80" w:after="40"/>
            </w:pPr>
            <w:r>
              <w:rPr>
                <w:b/>
                <w:i w:val="0"/>
                <w:color w:val="C0392B"/>
                <w:sz w:val="22"/>
              </w:rPr>
              <w:t xml:space="preserve">1 critical  </w:t>
            </w:r>
            <w:r>
              <w:rPr>
                <w:b/>
                <w:i w:val="0"/>
                <w:color w:val="E67E22"/>
                <w:sz w:val="22"/>
              </w:rPr>
              <w:t xml:space="preserve">2 high  </w:t>
            </w:r>
          </w:p>
          <w:p>
            <w:pPr>
              <w:spacing w:before="80" w:after="80"/>
            </w:pPr>
            <w:r>
              <w:rPr>
                <w:b w:val="0"/>
                <w:i w:val="0"/>
                <w:color w:val="7F8C8D"/>
                <w:sz w:val="20"/>
              </w:rPr>
              <w:t>Systems by severity: 5 urgent</w:t>
            </w:r>
          </w:p>
        </w:tc>
      </w:tr>
    </w:tbl>
    <w:p>
      <w:pPr>
        <w:spacing w:after="80"/>
      </w:pPr>
    </w:p>
    <w:p>
      <w:pPr>
        <w:spacing w:before="200" w:after="100"/>
      </w:pPr>
      <w:r>
        <w:rPr>
          <w:b/>
          <w:color w:val="1A5276"/>
          <w:sz w:val="26"/>
        </w:rPr>
        <w:t>System Report Card Summary</w:t>
      </w:r>
    </w:p>
    <w:p>
      <w:pPr>
        <w:spacing w:before="80" w:after="160"/>
        <w:jc w:val="left"/>
      </w:pPr>
      <w:r>
        <w:rPr>
          <w:b w:val="0"/>
          <w:i w:val="0"/>
          <w:color w:val="7F8C8D"/>
          <w:sz w:val="20"/>
        </w:rPr>
        <w:t>Scores reflect controls in place across access, backup, data flow, vendor agreements, and data retention for each system.</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A5276"/>
          </w:tcPr>
          <w:p>
            <w:r>
              <w:rPr>
                <w:b/>
                <w:color w:val="FFFFFF"/>
                <w:sz w:val="18"/>
              </w:rPr>
              <w:t>System</w:t>
            </w:r>
          </w:p>
        </w:tc>
        <w:tc>
          <w:tcPr>
            <w:tcW w:type="dxa" w:w="1930"/>
            <w:shd w:val="clear" w:color="auto" w:fill="1A5276"/>
          </w:tcPr>
          <w:p>
            <w:r>
              <w:rPr>
                <w:b/>
                <w:color w:val="FFFFFF"/>
                <w:sz w:val="18"/>
              </w:rPr>
              <w:t>Grade</w:t>
            </w:r>
          </w:p>
        </w:tc>
        <w:tc>
          <w:tcPr>
            <w:tcW w:type="dxa" w:w="1930"/>
            <w:shd w:val="clear" w:color="auto" w:fill="1A5276"/>
          </w:tcPr>
          <w:p>
            <w:r>
              <w:rPr>
                <w:b/>
                <w:color w:val="FFFFFF"/>
                <w:sz w:val="18"/>
              </w:rPr>
              <w:t>Score</w:t>
            </w:r>
          </w:p>
        </w:tc>
        <w:tc>
          <w:tcPr>
            <w:tcW w:type="dxa" w:w="1930"/>
            <w:shd w:val="clear" w:color="auto" w:fill="1A5276"/>
          </w:tcPr>
          <w:p>
            <w:r>
              <w:rPr>
                <w:b/>
                <w:color w:val="FFFFFF"/>
                <w:sz w:val="18"/>
              </w:rPr>
              <w:t>Severity</w:t>
            </w:r>
          </w:p>
        </w:tc>
        <w:tc>
          <w:tcPr>
            <w:tcW w:type="dxa" w:w="1930"/>
            <w:shd w:val="clear" w:color="auto" w:fill="1A5276"/>
          </w:tcPr>
          <w:p>
            <w:r>
              <w:rPr>
                <w:b/>
                <w:color w:val="FFFFFF"/>
                <w:sz w:val="18"/>
              </w:rPr>
              <w:t>Findings</w:t>
            </w:r>
          </w:p>
        </w:tc>
      </w:tr>
      <w:tr>
        <w:tc>
          <w:tcPr>
            <w:tcW w:type="dxa" w:w="1930"/>
            <w:shd w:val="clear" w:color="auto" w:fill="FFFFFF"/>
          </w:tcPr>
          <w:p>
            <w:r>
              <w:rPr>
                <w:b w:val="0"/>
                <w:color w:val="2C3E50"/>
                <w:sz w:val="18"/>
              </w:rPr>
              <w:t>Veracross (SIS)</w:t>
            </w:r>
          </w:p>
        </w:tc>
        <w:tc>
          <w:tcPr>
            <w:tcW w:type="dxa" w:w="1930"/>
            <w:shd w:val="clear" w:color="auto" w:fill="FFFFFF"/>
          </w:tcPr>
          <w:p>
            <w:r>
              <w:rPr>
                <w:b/>
                <w:color w:val="8E1A1A"/>
                <w:sz w:val="18"/>
              </w:rPr>
              <w:t>F</w:t>
            </w:r>
          </w:p>
        </w:tc>
        <w:tc>
          <w:tcPr>
            <w:tcW w:type="dxa" w:w="1930"/>
            <w:shd w:val="clear" w:color="auto" w:fill="FFFFFF"/>
          </w:tcPr>
          <w:p>
            <w:r>
              <w:rPr>
                <w:b w:val="0"/>
                <w:color w:val="2C3E50"/>
                <w:sz w:val="18"/>
              </w:rPr>
              <w:t>0%</w:t>
            </w:r>
          </w:p>
        </w:tc>
        <w:tc>
          <w:tcPr>
            <w:tcW w:type="dxa" w:w="1930"/>
            <w:shd w:val="clear" w:color="auto" w:fill="FFFFFF"/>
          </w:tcPr>
          <w:p>
            <w:r>
              <w:rPr>
                <w:b/>
                <w:color w:val="C0392B"/>
                <w:sz w:val="18"/>
              </w:rPr>
              <w:t>URGENT</w:t>
            </w:r>
          </w:p>
        </w:tc>
        <w:tc>
          <w:tcPr>
            <w:tcW w:type="dxa" w:w="1930"/>
            <w:shd w:val="clear" w:color="auto" w:fill="FFFFFF"/>
          </w:tcPr>
          <w:p>
            <w:r>
              <w:rPr>
                <w:b w:val="0"/>
                <w:color w:val="7F8C8D"/>
                <w:sz w:val="18"/>
              </w:rPr>
              <w:t>0</w:t>
            </w:r>
          </w:p>
        </w:tc>
      </w:tr>
      <w:tr>
        <w:tc>
          <w:tcPr>
            <w:tcW w:type="dxa" w:w="1930"/>
            <w:shd w:val="clear" w:color="auto" w:fill="F8F9FA"/>
          </w:tcPr>
          <w:p>
            <w:r>
              <w:rPr>
                <w:b w:val="0"/>
                <w:color w:val="2C3E50"/>
                <w:sz w:val="18"/>
              </w:rPr>
              <w:t>Google Workspace for Education Plus</w:t>
            </w:r>
          </w:p>
        </w:tc>
        <w:tc>
          <w:tcPr>
            <w:tcW w:type="dxa" w:w="1930"/>
            <w:shd w:val="clear" w:color="auto" w:fill="F8F9FA"/>
          </w:tcPr>
          <w:p>
            <w:r>
              <w:rPr>
                <w:b/>
                <w:color w:val="8E1A1A"/>
                <w:sz w:val="18"/>
              </w:rPr>
              <w:t>F</w:t>
            </w:r>
          </w:p>
        </w:tc>
        <w:tc>
          <w:tcPr>
            <w:tcW w:type="dxa" w:w="1930"/>
            <w:shd w:val="clear" w:color="auto" w:fill="F8F9FA"/>
          </w:tcPr>
          <w:p>
            <w:r>
              <w:rPr>
                <w:b w:val="0"/>
                <w:color w:val="2C3E50"/>
                <w:sz w:val="18"/>
              </w:rPr>
              <w:t>0%</w:t>
            </w:r>
          </w:p>
        </w:tc>
        <w:tc>
          <w:tcPr>
            <w:tcW w:type="dxa" w:w="1930"/>
            <w:shd w:val="clear" w:color="auto" w:fill="F8F9FA"/>
          </w:tcPr>
          <w:p>
            <w:r>
              <w:rPr>
                <w:b/>
                <w:color w:val="C0392B"/>
                <w:sz w:val="18"/>
              </w:rPr>
              <w:t>URGENT</w:t>
            </w:r>
          </w:p>
        </w:tc>
        <w:tc>
          <w:tcPr>
            <w:tcW w:type="dxa" w:w="1930"/>
            <w:shd w:val="clear" w:color="auto" w:fill="F8F9FA"/>
          </w:tcPr>
          <w:p>
            <w:r>
              <w:rPr>
                <w:b w:val="0"/>
                <w:color w:val="7F8C8D"/>
                <w:sz w:val="18"/>
              </w:rPr>
              <w:t>0</w:t>
            </w:r>
          </w:p>
        </w:tc>
      </w:tr>
      <w:tr>
        <w:tc>
          <w:tcPr>
            <w:tcW w:type="dxa" w:w="1930"/>
            <w:shd w:val="clear" w:color="auto" w:fill="FFFFFF"/>
          </w:tcPr>
          <w:p>
            <w:r>
              <w:rPr>
                <w:b w:val="0"/>
                <w:color w:val="2C3E50"/>
                <w:sz w:val="18"/>
              </w:rPr>
              <w:t>Seesaw</w:t>
            </w:r>
          </w:p>
        </w:tc>
        <w:tc>
          <w:tcPr>
            <w:tcW w:type="dxa" w:w="1930"/>
            <w:shd w:val="clear" w:color="auto" w:fill="FFFFFF"/>
          </w:tcPr>
          <w:p>
            <w:r>
              <w:rPr>
                <w:b/>
                <w:color w:val="8E1A1A"/>
                <w:sz w:val="18"/>
              </w:rPr>
              <w:t>F</w:t>
            </w:r>
          </w:p>
        </w:tc>
        <w:tc>
          <w:tcPr>
            <w:tcW w:type="dxa" w:w="1930"/>
            <w:shd w:val="clear" w:color="auto" w:fill="FFFFFF"/>
          </w:tcPr>
          <w:p>
            <w:r>
              <w:rPr>
                <w:b w:val="0"/>
                <w:color w:val="2C3E50"/>
                <w:sz w:val="18"/>
              </w:rPr>
              <w:t>0%</w:t>
            </w:r>
          </w:p>
        </w:tc>
        <w:tc>
          <w:tcPr>
            <w:tcW w:type="dxa" w:w="1930"/>
            <w:shd w:val="clear" w:color="auto" w:fill="FFFFFF"/>
          </w:tcPr>
          <w:p>
            <w:r>
              <w:rPr>
                <w:b/>
                <w:color w:val="C0392B"/>
                <w:sz w:val="18"/>
              </w:rPr>
              <w:t>URGENT</w:t>
            </w:r>
          </w:p>
        </w:tc>
        <w:tc>
          <w:tcPr>
            <w:tcW w:type="dxa" w:w="1930"/>
            <w:shd w:val="clear" w:color="auto" w:fill="FFFFFF"/>
          </w:tcPr>
          <w:p>
            <w:r>
              <w:rPr>
                <w:b w:val="0"/>
                <w:color w:val="7F8C8D"/>
                <w:sz w:val="18"/>
              </w:rPr>
              <w:t>0</w:t>
            </w:r>
          </w:p>
        </w:tc>
      </w:tr>
      <w:tr>
        <w:tc>
          <w:tcPr>
            <w:tcW w:type="dxa" w:w="1930"/>
            <w:shd w:val="clear" w:color="auto" w:fill="F8F9FA"/>
          </w:tcPr>
          <w:p>
            <w:r>
              <w:rPr>
                <w:b w:val="0"/>
                <w:color w:val="2C3E50"/>
                <w:sz w:val="18"/>
              </w:rPr>
              <w:t>Lightspeed Filter</w:t>
            </w:r>
          </w:p>
        </w:tc>
        <w:tc>
          <w:tcPr>
            <w:tcW w:type="dxa" w:w="1930"/>
            <w:shd w:val="clear" w:color="auto" w:fill="F8F9FA"/>
          </w:tcPr>
          <w:p>
            <w:r>
              <w:rPr>
                <w:b/>
                <w:color w:val="8E1A1A"/>
                <w:sz w:val="18"/>
              </w:rPr>
              <w:t>F</w:t>
            </w:r>
          </w:p>
        </w:tc>
        <w:tc>
          <w:tcPr>
            <w:tcW w:type="dxa" w:w="1930"/>
            <w:shd w:val="clear" w:color="auto" w:fill="F8F9FA"/>
          </w:tcPr>
          <w:p>
            <w:r>
              <w:rPr>
                <w:b w:val="0"/>
                <w:color w:val="2C3E50"/>
                <w:sz w:val="18"/>
              </w:rPr>
              <w:t>0%</w:t>
            </w:r>
          </w:p>
        </w:tc>
        <w:tc>
          <w:tcPr>
            <w:tcW w:type="dxa" w:w="1930"/>
            <w:shd w:val="clear" w:color="auto" w:fill="F8F9FA"/>
          </w:tcPr>
          <w:p>
            <w:r>
              <w:rPr>
                <w:b/>
                <w:color w:val="C0392B"/>
                <w:sz w:val="18"/>
              </w:rPr>
              <w:t>URGENT</w:t>
            </w:r>
          </w:p>
        </w:tc>
        <w:tc>
          <w:tcPr>
            <w:tcW w:type="dxa" w:w="1930"/>
            <w:shd w:val="clear" w:color="auto" w:fill="F8F9FA"/>
          </w:tcPr>
          <w:p>
            <w:r>
              <w:rPr>
                <w:b w:val="0"/>
                <w:color w:val="7F8C8D"/>
                <w:sz w:val="18"/>
              </w:rPr>
              <w:t>0</w:t>
            </w:r>
          </w:p>
        </w:tc>
      </w:tr>
      <w:tr>
        <w:tc>
          <w:tcPr>
            <w:tcW w:type="dxa" w:w="1930"/>
            <w:shd w:val="clear" w:color="auto" w:fill="FFFFFF"/>
          </w:tcPr>
          <w:p>
            <w:r>
              <w:rPr>
                <w:b w:val="0"/>
                <w:color w:val="2C3E50"/>
                <w:sz w:val="18"/>
              </w:rPr>
              <w:t>Bark for Schools</w:t>
            </w:r>
          </w:p>
        </w:tc>
        <w:tc>
          <w:tcPr>
            <w:tcW w:type="dxa" w:w="1930"/>
            <w:shd w:val="clear" w:color="auto" w:fill="FFFFFF"/>
          </w:tcPr>
          <w:p>
            <w:r>
              <w:rPr>
                <w:b/>
                <w:color w:val="8E1A1A"/>
                <w:sz w:val="18"/>
              </w:rPr>
              <w:t>F</w:t>
            </w:r>
          </w:p>
        </w:tc>
        <w:tc>
          <w:tcPr>
            <w:tcW w:type="dxa" w:w="1930"/>
            <w:shd w:val="clear" w:color="auto" w:fill="FFFFFF"/>
          </w:tcPr>
          <w:p>
            <w:r>
              <w:rPr>
                <w:b w:val="0"/>
                <w:color w:val="2C3E50"/>
                <w:sz w:val="18"/>
              </w:rPr>
              <w:t>0%</w:t>
            </w:r>
          </w:p>
        </w:tc>
        <w:tc>
          <w:tcPr>
            <w:tcW w:type="dxa" w:w="1930"/>
            <w:shd w:val="clear" w:color="auto" w:fill="FFFFFF"/>
          </w:tcPr>
          <w:p>
            <w:r>
              <w:rPr>
                <w:b/>
                <w:color w:val="C0392B"/>
                <w:sz w:val="18"/>
              </w:rPr>
              <w:t>URGENT</w:t>
            </w:r>
          </w:p>
        </w:tc>
        <w:tc>
          <w:tcPr>
            <w:tcW w:type="dxa" w:w="1930"/>
            <w:shd w:val="clear" w:color="auto" w:fill="FFFFFF"/>
          </w:tcPr>
          <w:p>
            <w:r>
              <w:rPr>
                <w:b w:val="0"/>
                <w:color w:val="7F8C8D"/>
                <w:sz w:val="18"/>
              </w:rPr>
              <w:t>0</w:t>
            </w:r>
          </w:p>
        </w:tc>
      </w:tr>
    </w:tbl>
    <w:p>
      <w:pPr>
        <w:spacing w:after="160"/>
      </w:pPr>
    </w:p>
    <w:p>
      <w:pPr>
        <w:spacing w:before="200" w:after="100"/>
      </w:pPr>
      <w:r>
        <w:rPr>
          <w:b/>
          <w:color w:val="1A5276"/>
          <w:sz w:val="26"/>
        </w:rPr>
        <w:t>Top Priorities</w:t>
      </w:r>
    </w:p>
    <w:p>
      <w:pPr>
        <w:spacing w:before="80" w:after="160"/>
        <w:jc w:val="left"/>
      </w:pPr>
      <w:r>
        <w:rPr>
          <w:b w:val="0"/>
          <w:i w:val="0"/>
          <w:color w:val="7F8C8D"/>
          <w:sz w:val="20"/>
        </w:rPr>
        <w:t>The highest-severity actions across all systems and school-wide findings, ordered by urgency. Assign an owner and deadline for each before this report is filed.</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C0392B"/>
          </w:tcPr>
          <w:p>
            <w:r>
              <w:rPr>
                <w:b/>
                <w:color w:val="FFFFFF"/>
                <w:sz w:val="18"/>
              </w:rPr>
              <w:t>Finding</w:t>
            </w:r>
          </w:p>
        </w:tc>
        <w:tc>
          <w:tcPr>
            <w:tcW w:type="dxa" w:w="2412"/>
            <w:shd w:val="clear" w:color="auto" w:fill="C0392B"/>
          </w:tcPr>
          <w:p>
            <w:r>
              <w:rPr>
                <w:b/>
                <w:color w:val="FFFFFF"/>
                <w:sz w:val="18"/>
              </w:rPr>
              <w:t>System / Scope</w:t>
            </w:r>
          </w:p>
        </w:tc>
        <w:tc>
          <w:tcPr>
            <w:tcW w:type="dxa" w:w="2412"/>
            <w:shd w:val="clear" w:color="auto" w:fill="C0392B"/>
          </w:tcPr>
          <w:p>
            <w:r>
              <w:rPr>
                <w:b/>
                <w:color w:val="FFFFFF"/>
                <w:sz w:val="18"/>
              </w:rPr>
              <w:t>Owner</w:t>
            </w:r>
          </w:p>
        </w:tc>
        <w:tc>
          <w:tcPr>
            <w:tcW w:type="dxa" w:w="2412"/>
            <w:shd w:val="clear" w:color="auto" w:fill="C0392B"/>
          </w:tcPr>
          <w:p>
            <w:r>
              <w:rPr>
                <w:b/>
                <w:color w:val="FFFFFF"/>
                <w:sz w:val="18"/>
              </w:rPr>
              <w:t>Timing</w:t>
            </w:r>
          </w:p>
        </w:tc>
      </w:tr>
      <w:tr>
        <w:tc>
          <w:tcPr>
            <w:tcW w:type="dxa" w:w="2412"/>
            <w:shd w:val="clear" w:color="auto" w:fill="FFFFFF"/>
          </w:tcPr>
          <w:p>
            <w:r>
              <w:rPr>
                <w:b w:val="0"/>
                <w:color w:val="2C3E50"/>
                <w:sz w:val="16"/>
              </w:rPr>
              <w:t>No documented offboarding process for system access</w:t>
            </w:r>
          </w:p>
        </w:tc>
        <w:tc>
          <w:tcPr>
            <w:tcW w:type="dxa" w:w="2412"/>
            <w:shd w:val="clear" w:color="auto" w:fill="FFFFFF"/>
          </w:tcPr>
          <w:p>
            <w:r>
              <w:rPr>
                <w:b w:val="0"/>
                <w:color w:val="7F8C8D"/>
                <w:sz w:val="16"/>
              </w:rPr>
              <w:t>School-Wide</w:t>
            </w:r>
          </w:p>
        </w:tc>
        <w:tc>
          <w:tcPr>
            <w:tcW w:type="dxa" w:w="2412"/>
            <w:shd w:val="clear" w:color="auto" w:fill="FFFFFF"/>
          </w:tcPr>
          <w:p>
            <w:r>
              <w:rPr>
                <w:b w:val="0"/>
                <w:color w:val="2C3E50"/>
                <w:sz w:val="16"/>
              </w:rPr>
              <w:t>HR / IT Director</w:t>
            </w:r>
          </w:p>
        </w:tc>
        <w:tc>
          <w:tcPr>
            <w:tcW w:type="dxa" w:w="2412"/>
            <w:shd w:val="clear" w:color="auto" w:fill="FFFFFF"/>
          </w:tcPr>
          <w:p>
            <w:r>
              <w:rPr>
                <w:b/>
                <w:color w:val="C0392B"/>
                <w:sz w:val="16"/>
              </w:rPr>
              <w:t>Do within 30 days</w:t>
            </w:r>
          </w:p>
        </w:tc>
      </w:tr>
      <w:tr>
        <w:tc>
          <w:tcPr>
            <w:tcW w:type="dxa" w:w="2412"/>
            <w:shd w:val="clear" w:color="auto" w:fill="FEF5F5"/>
          </w:tcPr>
          <w:p>
            <w:r>
              <w:rPr>
                <w:b w:val="0"/>
                <w:color w:val="2C3E50"/>
                <w:sz w:val="16"/>
              </w:rPr>
              <w:t>No formal data governance policy</w:t>
            </w:r>
          </w:p>
        </w:tc>
        <w:tc>
          <w:tcPr>
            <w:tcW w:type="dxa" w:w="2412"/>
            <w:shd w:val="clear" w:color="auto" w:fill="FEF5F5"/>
          </w:tcPr>
          <w:p>
            <w:r>
              <w:rPr>
                <w:b w:val="0"/>
                <w:color w:val="7F8C8D"/>
                <w:sz w:val="16"/>
              </w:rPr>
              <w:t>School-Wide</w:t>
            </w:r>
          </w:p>
        </w:tc>
        <w:tc>
          <w:tcPr>
            <w:tcW w:type="dxa" w:w="2412"/>
            <w:shd w:val="clear" w:color="auto" w:fill="FEF5F5"/>
          </w:tcPr>
          <w:p>
            <w:r>
              <w:rPr>
                <w:b w:val="0"/>
                <w:color w:val="2C3E50"/>
                <w:sz w:val="16"/>
              </w:rPr>
              <w:t>Head of School / IT Director</w:t>
            </w:r>
          </w:p>
        </w:tc>
        <w:tc>
          <w:tcPr>
            <w:tcW w:type="dxa" w:w="2412"/>
            <w:shd w:val="clear" w:color="auto" w:fill="FEF5F5"/>
          </w:tcPr>
          <w:p>
            <w:r>
              <w:rPr>
                <w:b/>
                <w:color w:val="C0392B"/>
                <w:sz w:val="16"/>
              </w:rPr>
              <w:t>Do within 30 days</w:t>
            </w:r>
          </w:p>
        </w:tc>
      </w:tr>
      <w:tr>
        <w:tc>
          <w:tcPr>
            <w:tcW w:type="dxa" w:w="2412"/>
            <w:shd w:val="clear" w:color="auto" w:fill="FFFFFF"/>
          </w:tcPr>
          <w:p>
            <w:r>
              <w:rPr>
                <w:b w:val="0"/>
                <w:color w:val="2C3E50"/>
                <w:sz w:val="16"/>
              </w:rPr>
              <w:t>No documented data breach response plan</w:t>
            </w:r>
          </w:p>
        </w:tc>
        <w:tc>
          <w:tcPr>
            <w:tcW w:type="dxa" w:w="2412"/>
            <w:shd w:val="clear" w:color="auto" w:fill="FFFFFF"/>
          </w:tcPr>
          <w:p>
            <w:r>
              <w:rPr>
                <w:b w:val="0"/>
                <w:color w:val="7F8C8D"/>
                <w:sz w:val="16"/>
              </w:rPr>
              <w:t>School-Wide</w:t>
            </w:r>
          </w:p>
        </w:tc>
        <w:tc>
          <w:tcPr>
            <w:tcW w:type="dxa" w:w="2412"/>
            <w:shd w:val="clear" w:color="auto" w:fill="FFFFFF"/>
          </w:tcPr>
          <w:p>
            <w:r>
              <w:rPr>
                <w:b w:val="0"/>
                <w:color w:val="2C3E50"/>
                <w:sz w:val="16"/>
              </w:rPr>
              <w:t>Head of School / IT Director</w:t>
            </w:r>
          </w:p>
        </w:tc>
        <w:tc>
          <w:tcPr>
            <w:tcW w:type="dxa" w:w="2412"/>
            <w:shd w:val="clear" w:color="auto" w:fill="FFFFFF"/>
          </w:tcPr>
          <w:p>
            <w:r>
              <w:rPr>
                <w:b/>
                <w:color w:val="C0392B"/>
                <w:sz w:val="16"/>
              </w:rPr>
              <w:t>Do within 30 days</w:t>
            </w:r>
          </w:p>
        </w:tc>
      </w:tr>
    </w:tbl>
    <w:p>
      <w:pPr>
        <w:spacing w:after="160"/>
      </w:pPr>
    </w:p>
    <w:p>
      <w:pPr>
        <w:spacing w:before="200" w:after="100"/>
      </w:pPr>
      <w:r>
        <w:rPr>
          <w:b/>
          <w:color w:val="1A5276"/>
          <w:sz w:val="26"/>
        </w:rPr>
        <w:t>School-Wide Governance</w:t>
      </w:r>
    </w:p>
    <w:p>
      <w:pPr>
        <w:spacing w:before="80" w:after="160"/>
        <w:jc w:val="left"/>
      </w:pPr>
      <w:r>
        <w:rPr>
          <w:b w:val="0"/>
          <w:i w:val="0"/>
          <w:color w:val="7F8C8D"/>
          <w:sz w:val="20"/>
        </w:rPr>
        <w:t>6 school-wide governance findings identified — see the School-Wide Findings section for detail and recommended actions.</w:t>
      </w:r>
    </w:p>
    <w:p>
      <w:r>
        <w:br w:type="page"/>
      </w:r>
    </w:p>
    <w:p>
      <w:pPr>
        <w:spacing w:before="280" w:after="100"/>
        <w:pBdr>
          <w:bottom w:val="single" w:sz="8" w:space="1" w:color="2E86C1"/>
        </w:pBdr>
      </w:pPr>
      <w:r>
        <w:rPr>
          <w:b/>
          <w:color w:val="1A5276"/>
          <w:sz w:val="36"/>
        </w:rPr>
        <w:t>Per-System Findings</w:t>
      </w:r>
    </w:p>
    <w:p>
      <w:pPr>
        <w:spacing w:before="80" w:after="200"/>
        <w:jc w:val="left"/>
      </w:pPr>
      <w:r>
        <w:rPr>
          <w:b w:val="0"/>
          <w:i w:val="0"/>
          <w:color w:val="7F8C8D"/>
          <w:sz w:val="20"/>
        </w:rPr>
        <w:t>One section per system. Findings are ordered by severity. Effort ratings: S=½ day · S+=1 day · M=3 days · M+=5 days · L=10 days.</w:t>
      </w:r>
    </w:p>
    <w:p>
      <w:pPr>
        <w:spacing w:before="200" w:after="100"/>
      </w:pPr>
      <w:r>
        <w:rPr>
          <w:b/>
          <w:color w:val="1A5276"/>
          <w:sz w:val="26"/>
        </w:rPr>
        <w:t>Veracross (SIS)</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0% (0/96 pts)</w:t>
      </w:r>
      <w:r>
        <w:rPr>
          <w:b w:val="0"/>
          <w:i w:val="0"/>
          <w:color w:val="7F8C8D"/>
          <w:sz w:val="20"/>
        </w:rPr>
        <w:t xml:space="preserve">   Status: </w:t>
      </w:r>
      <w:r>
        <w:rPr>
          <w:b/>
          <w:i w:val="0"/>
          <w:color w:val="C0392B"/>
          <w:sz w:val="20"/>
        </w:rPr>
        <w:t>URGENT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color="auto" w:fill="EAFAF1"/>
            <w:tcBorders>
              <w:top w:val="single" w:sz="4" w:color="CCCCCC"/>
              <w:bottom w:val="single" w:sz="4" w:color="CCCCCC"/>
              <w:left w:val="single" w:sz="4" w:color="CCCCCC"/>
              <w:right w:val="single" w:sz="4" w:color="CCCCCC"/>
            </w:tcBorders>
          </w:tcPr>
          <w:p>
            <w:pPr>
              <w:spacing w:before="80" w:after="40"/>
            </w:pPr>
            <w:r>
              <w:rPr>
                <w:b/>
                <w:i w:val="0"/>
                <w:color w:val="27AE60"/>
                <w:sz w:val="20"/>
              </w:rPr>
              <w:t>✓  All assessed controls appear to be in place.</w:t>
            </w:r>
          </w:p>
        </w:tc>
      </w:tr>
    </w:tbl>
    <w:p>
      <w:pPr>
        <w:spacing w:after="80"/>
      </w:pPr>
    </w:p>
    <w:p>
      <w:pPr>
        <w:spacing w:before="200" w:after="100"/>
      </w:pPr>
      <w:r>
        <w:rPr>
          <w:b/>
          <w:color w:val="1A5276"/>
          <w:sz w:val="26"/>
        </w:rPr>
        <w:t>Google Workspace for Education Plus</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0% (0/96 pts)</w:t>
      </w:r>
      <w:r>
        <w:rPr>
          <w:b w:val="0"/>
          <w:i w:val="0"/>
          <w:color w:val="7F8C8D"/>
          <w:sz w:val="20"/>
        </w:rPr>
        <w:t xml:space="preserve">   Status: </w:t>
      </w:r>
      <w:r>
        <w:rPr>
          <w:b/>
          <w:i w:val="0"/>
          <w:color w:val="C0392B"/>
          <w:sz w:val="20"/>
        </w:rPr>
        <w:t>URGENT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color="auto" w:fill="EAFAF1"/>
            <w:tcBorders>
              <w:top w:val="single" w:sz="4" w:color="CCCCCC"/>
              <w:bottom w:val="single" w:sz="4" w:color="CCCCCC"/>
              <w:left w:val="single" w:sz="4" w:color="CCCCCC"/>
              <w:right w:val="single" w:sz="4" w:color="CCCCCC"/>
            </w:tcBorders>
          </w:tcPr>
          <w:p>
            <w:pPr>
              <w:spacing w:before="80" w:after="40"/>
            </w:pPr>
            <w:r>
              <w:rPr>
                <w:b/>
                <w:i w:val="0"/>
                <w:color w:val="27AE60"/>
                <w:sz w:val="20"/>
              </w:rPr>
              <w:t>✓  All assessed controls appear to be in place.</w:t>
            </w:r>
          </w:p>
        </w:tc>
      </w:tr>
    </w:tbl>
    <w:p>
      <w:pPr>
        <w:spacing w:after="80"/>
      </w:pPr>
    </w:p>
    <w:p>
      <w:pPr>
        <w:spacing w:before="200" w:after="100"/>
      </w:pPr>
      <w:r>
        <w:rPr>
          <w:b/>
          <w:color w:val="1A5276"/>
          <w:sz w:val="26"/>
        </w:rPr>
        <w:t>Seesaw</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0% (0/96 pts)</w:t>
      </w:r>
      <w:r>
        <w:rPr>
          <w:b w:val="0"/>
          <w:i w:val="0"/>
          <w:color w:val="7F8C8D"/>
          <w:sz w:val="20"/>
        </w:rPr>
        <w:t xml:space="preserve">   Status: </w:t>
      </w:r>
      <w:r>
        <w:rPr>
          <w:b/>
          <w:i w:val="0"/>
          <w:color w:val="C0392B"/>
          <w:sz w:val="20"/>
        </w:rPr>
        <w:t>URGENT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color="auto" w:fill="EAFAF1"/>
            <w:tcBorders>
              <w:top w:val="single" w:sz="4" w:color="CCCCCC"/>
              <w:bottom w:val="single" w:sz="4" w:color="CCCCCC"/>
              <w:left w:val="single" w:sz="4" w:color="CCCCCC"/>
              <w:right w:val="single" w:sz="4" w:color="CCCCCC"/>
            </w:tcBorders>
          </w:tcPr>
          <w:p>
            <w:pPr>
              <w:spacing w:before="80" w:after="40"/>
            </w:pPr>
            <w:r>
              <w:rPr>
                <w:b/>
                <w:i w:val="0"/>
                <w:color w:val="27AE60"/>
                <w:sz w:val="20"/>
              </w:rPr>
              <w:t>✓  All assessed controls appear to be in place.</w:t>
            </w:r>
          </w:p>
        </w:tc>
      </w:tr>
    </w:tbl>
    <w:p>
      <w:pPr>
        <w:spacing w:after="80"/>
      </w:pPr>
    </w:p>
    <w:p>
      <w:pPr>
        <w:spacing w:before="200" w:after="100"/>
      </w:pPr>
      <w:r>
        <w:rPr>
          <w:b/>
          <w:color w:val="1A5276"/>
          <w:sz w:val="26"/>
        </w:rPr>
        <w:t>Lightspeed Filter</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0% (0/96 pts)</w:t>
      </w:r>
      <w:r>
        <w:rPr>
          <w:b w:val="0"/>
          <w:i w:val="0"/>
          <w:color w:val="7F8C8D"/>
          <w:sz w:val="20"/>
        </w:rPr>
        <w:t xml:space="preserve">   Status: </w:t>
      </w:r>
      <w:r>
        <w:rPr>
          <w:b/>
          <w:i w:val="0"/>
          <w:color w:val="C0392B"/>
          <w:sz w:val="20"/>
        </w:rPr>
        <w:t>URGENT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color="auto" w:fill="EAFAF1"/>
            <w:tcBorders>
              <w:top w:val="single" w:sz="4" w:color="CCCCCC"/>
              <w:bottom w:val="single" w:sz="4" w:color="CCCCCC"/>
              <w:left w:val="single" w:sz="4" w:color="CCCCCC"/>
              <w:right w:val="single" w:sz="4" w:color="CCCCCC"/>
            </w:tcBorders>
          </w:tcPr>
          <w:p>
            <w:pPr>
              <w:spacing w:before="80" w:after="40"/>
            </w:pPr>
            <w:r>
              <w:rPr>
                <w:b/>
                <w:i w:val="0"/>
                <w:color w:val="27AE60"/>
                <w:sz w:val="20"/>
              </w:rPr>
              <w:t>✓  All assessed controls appear to be in place.</w:t>
            </w:r>
          </w:p>
        </w:tc>
      </w:tr>
    </w:tbl>
    <w:p>
      <w:pPr>
        <w:spacing w:after="80"/>
      </w:pPr>
    </w:p>
    <w:p>
      <w:pPr>
        <w:spacing w:before="200" w:after="100"/>
      </w:pPr>
      <w:r>
        <w:rPr>
          <w:b/>
          <w:color w:val="1A5276"/>
          <w:sz w:val="26"/>
        </w:rPr>
        <w:t>Bark for Schools</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0% (0/96 pts)</w:t>
      </w:r>
      <w:r>
        <w:rPr>
          <w:b w:val="0"/>
          <w:i w:val="0"/>
          <w:color w:val="7F8C8D"/>
          <w:sz w:val="20"/>
        </w:rPr>
        <w:t xml:space="preserve">   Status: </w:t>
      </w:r>
      <w:r>
        <w:rPr>
          <w:b/>
          <w:i w:val="0"/>
          <w:color w:val="C0392B"/>
          <w:sz w:val="20"/>
        </w:rPr>
        <w:t>URGENT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color="auto" w:fill="EAFAF1"/>
            <w:tcBorders>
              <w:top w:val="single" w:sz="4" w:color="CCCCCC"/>
              <w:bottom w:val="single" w:sz="4" w:color="CCCCCC"/>
              <w:left w:val="single" w:sz="4" w:color="CCCCCC"/>
              <w:right w:val="single" w:sz="4" w:color="CCCCCC"/>
            </w:tcBorders>
          </w:tcPr>
          <w:p>
            <w:pPr>
              <w:spacing w:before="80" w:after="40"/>
            </w:pPr>
            <w:r>
              <w:rPr>
                <w:b/>
                <w:i w:val="0"/>
                <w:color w:val="27AE60"/>
                <w:sz w:val="20"/>
              </w:rPr>
              <w:t>✓  All assessed controls appear to be in place.</w:t>
            </w:r>
          </w:p>
        </w:tc>
      </w:tr>
    </w:tbl>
    <w:p>
      <w:pPr>
        <w:spacing w:after="80"/>
      </w:pPr>
    </w:p>
    <w:p>
      <w:r>
        <w:br w:type="page"/>
      </w:r>
    </w:p>
    <w:p>
      <w:pPr>
        <w:spacing w:before="280" w:after="100"/>
        <w:pBdr>
          <w:bottom w:val="single" w:sz="8" w:space="1" w:color="2E86C1"/>
        </w:pBdr>
      </w:pPr>
      <w:r>
        <w:rPr>
          <w:b/>
          <w:color w:val="1A5276"/>
          <w:sz w:val="36"/>
        </w:rPr>
        <w:t>School-Wide Governance Findings</w:t>
      </w:r>
    </w:p>
    <w:p>
      <w:pPr>
        <w:spacing w:before="80" w:after="200"/>
        <w:jc w:val="left"/>
      </w:pPr>
      <w:r>
        <w:rPr>
          <w:b w:val="0"/>
          <w:i w:val="0"/>
          <w:color w:val="7F8C8D"/>
          <w:sz w:val="20"/>
        </w:rPr>
        <w:t>These findings apply across all systems rather than to any single platform. They represent policy, process, and governance gaps that affect the school's overall data protection posture.</w:t>
      </w:r>
    </w:p>
    <w:p>
      <w:pPr>
        <w:spacing w:before="200" w:after="60"/>
        <w:ind w:left="240"/>
        <w:pBdr>
          <w:left w:val="single" w:sz="16" w:space="6" w:color="2C3E50"/>
        </w:pBdr>
      </w:pPr>
      <w:r>
        <w:rPr>
          <w:b/>
          <w:i w:val="0"/>
          <w:color w:val="2C3E50"/>
          <w:sz w:val="18"/>
        </w:rPr>
        <w:t xml:space="preserve">[CRITICAL]  </w:t>
      </w:r>
      <w:r>
        <w:rPr>
          <w:b/>
          <w:i w:val="0"/>
          <w:color w:val="2C3E50"/>
          <w:sz w:val="22"/>
        </w:rPr>
        <w:t>No documented offboarding process for system access</w:t>
      </w:r>
    </w:p>
    <w:p>
      <w:pPr>
        <w:spacing w:before="40" w:after="80"/>
        <w:ind w:left="240"/>
      </w:pPr>
      <w:r>
        <w:rPr>
          <w:b w:val="0"/>
          <w:i w:val="0"/>
          <w:color w:val="2C3E50"/>
          <w:sz w:val="20"/>
        </w:rPr>
        <w:t>The school does not have a documented checklist for revoking system access when staff members leave. Former staff accounts found in the per-system worksheets are the direct result of this gap. An informal process that relies on memory will always have exceptions.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p>
            <w:pPr>
              <w:spacing w:before="20" w:after="60"/>
            </w:pPr>
            <w:r>
              <w:rPr>
                <w:b w:val="0"/>
                <w:i/>
                <w:color w:val="7F8C8D"/>
                <w:sz w:val="18"/>
              </w:rPr>
              <w:t xml:space="preserve">Owner: HR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[HIGH]  </w:t>
      </w:r>
      <w:r>
        <w:rPr>
          <w:b/>
          <w:i w:val="0"/>
          <w:color w:val="2C3E50"/>
          <w:sz w:val="22"/>
        </w:rPr>
        <w:t>No formal data governance policy</w:t>
      </w:r>
    </w:p>
    <w:p>
      <w:pPr>
        <w:spacing w:before="40" w:after="80"/>
        <w:ind w:left="240"/>
      </w:pPr>
      <w:r>
        <w:rPr>
          <w:b w:val="0"/>
          <w:i w:val="0"/>
          <w:color w:val="2C3E50"/>
          <w:sz w:val="20"/>
        </w:rPr>
        <w:t>The school does not have a formally adopted written data governance or data privacy policy. Without this policy, there is no authoritative reference for how data should be handled, stored, or deleted — and no basis for accountability when things go wrong.</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Draft and formally adopt a data governance policy. Keep the initial version short and practical — a one-page policy with clear ownership is more effective than a lengthy document no one reads. Review it annually and assign a named owner.</w:t>
            </w:r>
          </w:p>
          <w:p>
            <w:pPr>
              <w:spacing w:before="20" w:after="60"/>
            </w:pPr>
            <w:r>
              <w:rPr>
                <w:b w:val="0"/>
                <w:i/>
                <w:color w:val="7F8C8D"/>
                <w:sz w:val="18"/>
              </w:rPr>
              <w:t xml:space="preserve">Owner: Head of School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[HIGH]  </w:t>
      </w:r>
      <w:r>
        <w:rPr>
          <w:b/>
          <w:i w:val="0"/>
          <w:color w:val="2C3E50"/>
          <w:sz w:val="22"/>
        </w:rPr>
        <w:t>No documented data breach response plan</w:t>
      </w:r>
    </w:p>
    <w:p>
      <w:pPr>
        <w:spacing w:before="40" w:after="80"/>
        <w:ind w:left="240"/>
      </w:pPr>
      <w:r>
        <w:rPr>
          <w:b w:val="0"/>
          <w:i w:val="0"/>
          <w:color w:val="2C3E50"/>
          <w:sz w:val="20"/>
        </w:rPr>
        <w:t>The school does not have a written plan for responding to a data breach. Florida FIPA requires breach notification to affected individuals within 30 days — extremely difficult without a pre-existing response plan that names who does what and in what order.</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 breach response plan. It does not need to be long — a one-page flowchart naming who does what and within what timeframes is sufficient. Test it annually and update it when key staff change.</w:t>
            </w:r>
          </w:p>
          <w:p>
            <w:pPr>
              <w:spacing w:before="20" w:after="60"/>
            </w:pPr>
            <w:r>
              <w:rPr>
                <w:b w:val="0"/>
                <w:i/>
                <w:color w:val="7F8C8D"/>
                <w:sz w:val="18"/>
              </w:rPr>
              <w:t xml:space="preserve">Owner: Head of School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master data register exists</w:t>
      </w:r>
    </w:p>
    <w:p>
      <w:pPr>
        <w:spacing w:before="40" w:after="80"/>
        <w:ind w:left="240"/>
      </w:pPr>
      <w:r>
        <w:rPr>
          <w:b w:val="0"/>
          <w:i w:val="0"/>
          <w:color w:val="2C3E50"/>
          <w:sz w:val="20"/>
        </w:rPr>
        <w:t>The school does not maintain a master register of systems, what data they hold, and how long it is kept. Without a register, the school cannot quickly answer basic compliance questions about where student data lives.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Use the per-system worksheets from this audit as the foundation for a master data register. Publish it on a shared intranet page — one section per system with data categories, retention periods, vendor name, and an owner contact. Assign someone to review it annually.</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regular staff data privacy training</w:t>
      </w:r>
    </w:p>
    <w:p>
      <w:pPr>
        <w:spacing w:before="40" w:after="80"/>
        <w:ind w:left="240"/>
      </w:pPr>
      <w:r>
        <w:rPr>
          <w:b w:val="0"/>
          <w:i w:val="0"/>
          <w:color w:val="2C3E50"/>
          <w:sz w:val="20"/>
        </w:rPr>
        <w:t>Staff are not trained on data privacy and responsible data handling on a regular schedule. Staff are a primary vector for data incidents — phishing, accidental sharing, and mis-addressed emails are all preventable with training.</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Schedule annual data privacy training for all staff. A 30-minute session covering phishing, data sharing rules, and who to call if something goes wrong is a strong baseline. Document attendance.</w:t>
            </w:r>
          </w:p>
          <w:p>
            <w:pPr>
              <w:spacing w:before="20" w:after="60"/>
            </w:pPr>
            <w:r>
              <w:rPr>
                <w:b w:val="0"/>
                <w:i/>
                <w:color w:val="7F8C8D"/>
                <w:sz w:val="18"/>
              </w:rPr>
              <w:t xml:space="preserve">Owner: HR /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data retention schedule</w:t>
      </w:r>
    </w:p>
    <w:p>
      <w:pPr>
        <w:spacing w:before="40" w:after="80"/>
        <w:ind w:left="240"/>
      </w:pPr>
      <w:r>
        <w:rPr>
          <w:b w:val="0"/>
          <w:i w:val="0"/>
          <w:color w:val="2C3E50"/>
          <w:sz w:val="20"/>
        </w:rPr>
        <w:t>The school does not have a written data retention schedule defining how long each category of data must be kept. Florida law sets minimum retention periods for student, health, and financial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 data retention schedule aligned to Florida requirements. Start with the highest-risk categories: student records, health records, HR files, and financial data. Assign a named owner and review annually.</w:t>
            </w:r>
          </w:p>
          <w:p>
            <w:pPr>
              <w:spacing w:before="20" w:after="60"/>
            </w:pPr>
            <w:r>
              <w:rPr>
                <w:b w:val="0"/>
                <w:i/>
                <w:color w:val="7F8C8D"/>
                <w:sz w:val="18"/>
              </w:rPr>
              <w:t xml:space="preserve">Owner: IT Director / Business Office  </w:t>
            </w:r>
            <w:r>
              <w:rPr>
                <w:b w:val="0"/>
                <w:i/>
                <w:color w:val="E67E22"/>
                <w:sz w:val="18"/>
              </w:rPr>
              <w:t xml:space="preserve">  ·  Do within 90 days</w:t>
            </w:r>
            <w:r>
              <w:rPr>
                <w:b w:val="0"/>
                <w:i/>
                <w:color w:val="7F8C8D"/>
                <w:sz w:val="18"/>
              </w:rPr>
              <w:t xml:space="preserve">  ·  Substantial (5 days)</w:t>
            </w:r>
          </w:p>
        </w:tc>
      </w:tr>
    </w:tbl>
    <w:p>
      <w:pPr>
        <w:spacing w:after="80"/>
      </w:pPr>
    </w:p>
    <w:p>
      <w:r>
        <w:br w:type="page"/>
      </w:r>
    </w:p>
    <w:p>
      <w:pPr>
        <w:spacing w:before="280" w:after="100"/>
        <w:pBdr>
          <w:bottom w:val="single" w:sz="8" w:space="1" w:color="2E86C1"/>
        </w:pBdr>
      </w:pPr>
      <w:r>
        <w:rPr>
          <w:b/>
          <w:color w:val="1A5276"/>
          <w:sz w:val="36"/>
        </w:rPr>
        <w:t>Action Plan</w:t>
      </w:r>
    </w:p>
    <w:p>
      <w:pPr>
        <w:spacing w:before="80" w:after="200"/>
        <w:jc w:val="left"/>
      </w:pPr>
      <w:r>
        <w:rPr>
          <w:b w:val="0"/>
          <w:i w:val="0"/>
          <w:color w:val="7F8C8D"/>
          <w:sz w:val="20"/>
        </w:rPr>
        <w:t>All recommended actions grouped by timing bucket, then by area. Each action lists the suggested owner role and estimated effort. Assign a named individual and a target date before this report is filed.</w:t>
      </w:r>
    </w:p>
    <w:p>
      <w:pPr>
        <w:spacing w:before="240" w:after="40"/>
        <w:pBdr>
          <w:bottom w:val="single" w:sz="4" w:space="1" w:color="C0392B"/>
        </w:pBdr>
      </w:pPr>
      <w:r>
        <w:rPr>
          <w:b/>
          <w:color w:val="C0392B"/>
          <w:sz w:val="24"/>
        </w:rPr>
        <w:t>Immediate — Do Within 30 Days</w:t>
      </w:r>
    </w:p>
    <w:p>
      <w:pPr>
        <w:spacing w:before="40" w:after="120"/>
        <w:jc w:val="left"/>
      </w:pPr>
      <w:r>
        <w:rPr>
          <w:b w:val="0"/>
          <w:i/>
          <w:color w:val="7F8C8D"/>
          <w:sz w:val="18"/>
        </w:rPr>
        <w:t>Critical and high-severity findings. Assign an owner and start date today.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DEDEC"/>
          </w:tcPr>
          <w:p>
            <w:r>
              <w:rPr>
                <w:b/>
                <w:color w:val="1A5276"/>
                <w:sz w:val="18"/>
              </w:rPr>
              <w:t>Action</w:t>
            </w:r>
          </w:p>
        </w:tc>
        <w:tc>
          <w:tcPr>
            <w:tcW w:type="dxa" w:w="1930"/>
            <w:shd w:val="clear" w:color="auto" w:fill="FDEDEC"/>
          </w:tcPr>
          <w:p>
            <w:r>
              <w:rPr>
                <w:b/>
                <w:color w:val="1A5276"/>
                <w:sz w:val="18"/>
              </w:rPr>
              <w:t>System</w:t>
            </w:r>
          </w:p>
        </w:tc>
        <w:tc>
          <w:tcPr>
            <w:tcW w:type="dxa" w:w="1930"/>
            <w:shd w:val="clear" w:color="auto" w:fill="FDEDEC"/>
          </w:tcPr>
          <w:p>
            <w:r>
              <w:rPr>
                <w:b/>
                <w:color w:val="1A5276"/>
                <w:sz w:val="18"/>
              </w:rPr>
              <w:t>Owner</w:t>
            </w:r>
          </w:p>
        </w:tc>
        <w:tc>
          <w:tcPr>
            <w:tcW w:type="dxa" w:w="1930"/>
            <w:shd w:val="clear" w:color="auto" w:fill="FDEDEC"/>
          </w:tcPr>
          <w:p>
            <w:r>
              <w:rPr>
                <w:b/>
                <w:color w:val="1A5276"/>
                <w:sz w:val="18"/>
              </w:rPr>
              <w:t>Effort</w:t>
            </w:r>
          </w:p>
        </w:tc>
        <w:tc>
          <w:tcPr>
            <w:tcW w:type="dxa" w:w="1930"/>
            <w:shd w:val="clear" w:color="auto" w:fill="FDEDEC"/>
          </w:tcPr>
          <w:p>
            <w:r>
              <w:rPr>
                <w:b/>
                <w:color w:val="1A5276"/>
                <w:sz w:val="18"/>
              </w:rPr>
              <w:t>Severity</w:t>
            </w:r>
          </w:p>
        </w:tc>
      </w:tr>
      <w:tr>
        <w:tc>
          <w:tcPr>
            <w:tcW w:type="dxa" w:w="1930"/>
            <w:shd w:val="clear" w:color="auto" w:fill="FFFFFF"/>
          </w:tcPr>
          <w:p>
            <w:r>
              <w:rPr>
                <w:b w:val="0"/>
                <w:color w:val="2C3E50"/>
                <w:sz w:val="16"/>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HR / 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CRITICAL</w:t>
            </w:r>
          </w:p>
        </w:tc>
      </w:tr>
      <w:tr>
        <w:tc>
          <w:tcPr>
            <w:tcW w:type="dxa" w:w="1930"/>
            <w:shd w:val="clear" w:color="auto" w:fill="F8F9FA"/>
          </w:tcPr>
          <w:p>
            <w:r>
              <w:rPr>
                <w:b w:val="0"/>
                <w:color w:val="2C3E50"/>
                <w:sz w:val="16"/>
              </w:rPr>
              <w:t>Draft and formally adopt a data governance policy. Keep the initial version short and practical — a one-page policy with clear ownership is more effective than a lengthy document no one reads. Review it annually and assign a named owner.</w:t>
            </w:r>
          </w:p>
        </w:tc>
        <w:tc>
          <w:tcPr>
            <w:tcW w:type="dxa" w:w="1930"/>
            <w:shd w:val="clear" w:color="auto" w:fill="F8F9FA"/>
          </w:tcPr>
          <w:p>
            <w:r>
              <w:rPr>
                <w:b w:val="0"/>
                <w:color w:val="7F8C8D"/>
                <w:sz w:val="16"/>
              </w:rPr>
              <w:t>School-Wide</w:t>
            </w:r>
          </w:p>
        </w:tc>
        <w:tc>
          <w:tcPr>
            <w:tcW w:type="dxa" w:w="1930"/>
            <w:shd w:val="clear" w:color="auto" w:fill="F8F9FA"/>
          </w:tcPr>
          <w:p>
            <w:r>
              <w:rPr>
                <w:b w:val="0"/>
                <w:color w:val="2C3E50"/>
                <w:sz w:val="16"/>
              </w:rPr>
              <w:t>Head of School / 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HIGH</w:t>
            </w:r>
          </w:p>
        </w:tc>
      </w:tr>
      <w:tr>
        <w:tc>
          <w:tcPr>
            <w:tcW w:type="dxa" w:w="1930"/>
            <w:shd w:val="clear" w:color="auto" w:fill="FFFFFF"/>
          </w:tcPr>
          <w:p>
            <w:r>
              <w:rPr>
                <w:b w:val="0"/>
                <w:color w:val="2C3E50"/>
                <w:sz w:val="16"/>
              </w:rPr>
              <w:t>Create a breach response plan. It does not need to be long — a one-page flowchart naming who does what and within what timeframes is sufficient. Test it annually and update it when key staff change.</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Head of School / 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HIGH</w:t>
            </w:r>
          </w:p>
        </w:tc>
      </w:tr>
    </w:tbl>
    <w:p>
      <w:pPr>
        <w:spacing w:after="200"/>
      </w:pPr>
    </w:p>
    <w:p>
      <w:pPr>
        <w:spacing w:before="240" w:after="40"/>
        <w:pBdr>
          <w:bottom w:val="single" w:sz="4" w:space="1" w:color="E67E22"/>
        </w:pBdr>
      </w:pPr>
      <w:r>
        <w:rPr>
          <w:b/>
          <w:color w:val="E67E22"/>
          <w:sz w:val="24"/>
        </w:rPr>
        <w:t>Near-Term — Do Within 90 Days</w:t>
      </w:r>
    </w:p>
    <w:p>
      <w:pPr>
        <w:spacing w:before="40" w:after="120"/>
        <w:jc w:val="left"/>
      </w:pPr>
      <w:r>
        <w:rPr>
          <w:b w:val="0"/>
          <w:i/>
          <w:color w:val="7F8C8D"/>
          <w:sz w:val="18"/>
        </w:rPr>
        <w:t>Medium-severity findings. Schedule these before the end of next quarter.</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EF9E7"/>
          </w:tcPr>
          <w:p>
            <w:r>
              <w:rPr>
                <w:b/>
                <w:color w:val="1A5276"/>
                <w:sz w:val="18"/>
              </w:rPr>
              <w:t>Action</w:t>
            </w:r>
          </w:p>
        </w:tc>
        <w:tc>
          <w:tcPr>
            <w:tcW w:type="dxa" w:w="1930"/>
            <w:shd w:val="clear" w:color="auto" w:fill="FEF9E7"/>
          </w:tcPr>
          <w:p>
            <w:r>
              <w:rPr>
                <w:b/>
                <w:color w:val="1A5276"/>
                <w:sz w:val="18"/>
              </w:rPr>
              <w:t>System</w:t>
            </w:r>
          </w:p>
        </w:tc>
        <w:tc>
          <w:tcPr>
            <w:tcW w:type="dxa" w:w="1930"/>
            <w:shd w:val="clear" w:color="auto" w:fill="FEF9E7"/>
          </w:tcPr>
          <w:p>
            <w:r>
              <w:rPr>
                <w:b/>
                <w:color w:val="1A5276"/>
                <w:sz w:val="18"/>
              </w:rPr>
              <w:t>Owner</w:t>
            </w:r>
          </w:p>
        </w:tc>
        <w:tc>
          <w:tcPr>
            <w:tcW w:type="dxa" w:w="1930"/>
            <w:shd w:val="clear" w:color="auto" w:fill="FEF9E7"/>
          </w:tcPr>
          <w:p>
            <w:r>
              <w:rPr>
                <w:b/>
                <w:color w:val="1A5276"/>
                <w:sz w:val="18"/>
              </w:rPr>
              <w:t>Effort</w:t>
            </w:r>
          </w:p>
        </w:tc>
        <w:tc>
          <w:tcPr>
            <w:tcW w:type="dxa" w:w="1930"/>
            <w:shd w:val="clear" w:color="auto" w:fill="FEF9E7"/>
          </w:tcPr>
          <w:p>
            <w:r>
              <w:rPr>
                <w:b/>
                <w:color w:val="1A5276"/>
                <w:sz w:val="18"/>
              </w:rPr>
              <w:t>Severity</w:t>
            </w:r>
          </w:p>
        </w:tc>
      </w:tr>
      <w:tr>
        <w:tc>
          <w:tcPr>
            <w:tcW w:type="dxa" w:w="1930"/>
            <w:shd w:val="clear" w:color="auto" w:fill="FFFFFF"/>
          </w:tcPr>
          <w:p>
            <w:r>
              <w:rPr>
                <w:b w:val="0"/>
                <w:color w:val="2C3E50"/>
                <w:sz w:val="16"/>
              </w:rPr>
              <w:t>Create a data retention schedule aligned to Florida requirements. Start with the highest-risk categories: student records, health records, HR files, and financial data. Assign a named owner and review annually.</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IT Director / Business Office</w:t>
            </w:r>
          </w:p>
        </w:tc>
        <w:tc>
          <w:tcPr>
            <w:tcW w:type="dxa" w:w="1930"/>
            <w:shd w:val="clear" w:color="auto" w:fill="FFFFFF"/>
          </w:tcPr>
          <w:p>
            <w:r>
              <w:rPr>
                <w:b w:val="0"/>
                <w:color w:val="2C3E50"/>
                <w:sz w:val="16"/>
              </w:rPr>
              <w:t>Substantial (5 days)</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Use the per-system worksheets from this audit as the foundation for a master data register. Publish it on a shared intranet page — one section per system with data categories, retention periods, vendor name, and an owner contact. Assign someone to review it annually.</w:t>
            </w:r>
          </w:p>
        </w:tc>
        <w:tc>
          <w:tcPr>
            <w:tcW w:type="dxa" w:w="1930"/>
            <w:shd w:val="clear" w:color="auto" w:fill="F8F9FA"/>
          </w:tcPr>
          <w:p>
            <w:r>
              <w:rPr>
                <w:b w:val="0"/>
                <w:color w:val="7F8C8D"/>
                <w:sz w:val="16"/>
              </w:rPr>
              <w:t>School-Wide</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Schedule annual data privacy training for all staff. A 30-minute session covering phishing, data sharing rules, and who to call if something goes wrong is a strong baseline. Document attendance.</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HR / 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MEDIUM</w:t>
            </w:r>
          </w:p>
        </w:tc>
      </w:tr>
    </w:tbl>
    <w:p>
      <w:pPr>
        <w:spacing w:after="200"/>
      </w:pPr>
    </w:p>
    <w:p>
      <w:r>
        <w:br w:type="page"/>
      </w:r>
    </w:p>
    <w:p>
      <w:pPr>
        <w:spacing w:before="280" w:after="100"/>
        <w:pBdr>
          <w:bottom w:val="single" w:sz="8" w:space="1" w:color="2E86C1"/>
        </w:pBdr>
      </w:pPr>
      <w:r>
        <w:rPr>
          <w:b/>
          <w:color w:val="1A5276"/>
          <w:sz w:val="36"/>
        </w:rPr>
        <w:t>Phased Remediation Timeline</w:t>
      </w:r>
    </w:p>
    <w:p>
      <w:pPr>
        <w:spacing w:before="80" w:after="200"/>
        <w:jc w:val="left"/>
      </w:pPr>
      <w:r>
        <w:rPr>
          <w:b w:val="0"/>
          <w:i w:val="0"/>
          <w:color w:val="7F8C8D"/>
          <w:sz w:val="20"/>
        </w:rPr>
        <w:t>All recommended actions grouped by phase, ordered by severity then effort. Effort ratings: S=½ day · S+=1 day · M=3 days · M+=5 days · L=10 days.</w:t>
      </w:r>
    </w:p>
    <w:tbl>
      <w:tblPr>
        <w:tblStyle w:val="TableGrid"/>
        <w:tblW w:type="auto" w:w="0"/>
        <w:tblLook w:firstColumn="1" w:firstRow="1" w:lastColumn="0" w:lastRow="0" w:noHBand="0" w:noVBand="1" w:val="04A0"/>
      </w:tblPr>
      <w:tblGrid>
        <w:gridCol w:w="9648"/>
      </w:tblGrid>
      <w:tr>
        <w:tc>
          <w:tcPr>
            <w:tcW w:type="dxa" w:w="9648"/>
            <w:shd w:val="clear" w:color="auto" w:fill="1A5276"/>
            <w:tcBorders>
              <w:top w:val="single" w:sz="4" w:color="CCCCCC"/>
              <w:bottom w:val="single" w:sz="4" w:color="CCCCCC"/>
              <w:left w:val="single" w:sz="4" w:color="CCCCCC"/>
              <w:right w:val="single" w:sz="4" w:color="CCCCCC"/>
            </w:tcBorders>
          </w:tcPr>
          <w:p>
            <w:pPr>
              <w:spacing w:before="80" w:after="80"/>
            </w:pPr>
            <w:r>
              <w:rPr>
                <w:b/>
                <w:i w:val="0"/>
                <w:color w:val="FFFFFF"/>
                <w:sz w:val="24"/>
              </w:rPr>
              <w:t>Phase 1 — Immediate Actions</w:t>
            </w:r>
            <w:r>
              <w:rPr>
                <w:b w:val="0"/>
                <w:i w:val="0"/>
                <w:color w:val="FFFFFF"/>
                <w:sz w:val="20"/>
              </w:rPr>
              <w:t xml:space="preserve">  ·  14 May 2026 → 23 May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tc>
        <w:tc>
          <w:tcPr>
            <w:tcW w:type="dxa" w:w="2412"/>
            <w:shd w:val="clear" w:color="auto" w:fill="FFFFFF"/>
          </w:tcPr>
          <w:p>
            <w:r>
              <w:rPr>
                <w:b w:val="0"/>
                <w:color w:val="7F8C8D"/>
                <w:sz w:val="16"/>
              </w:rPr>
              <w:t>No documented offboarding process for system access</w:t>
            </w:r>
          </w:p>
        </w:tc>
        <w:tc>
          <w:tcPr>
            <w:tcW w:type="dxa" w:w="2412"/>
            <w:shd w:val="clear" w:color="auto" w:fill="FFFFFF"/>
          </w:tcPr>
          <w:p>
            <w:r>
              <w:rPr>
                <w:b w:val="0"/>
                <w:color w:val="2C3E50"/>
                <w:sz w:val="16"/>
              </w:rPr>
              <w:t>Medium (3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Draft and formally adopt a data governance policy. Keep the initial version short and practical — a one-page policy with clear ownership is more effective than a lengthy document no one reads. Review it annually and assign a named owner.</w:t>
            </w:r>
          </w:p>
        </w:tc>
        <w:tc>
          <w:tcPr>
            <w:tcW w:type="dxa" w:w="2412"/>
            <w:shd w:val="clear" w:color="auto" w:fill="F8F9FA"/>
          </w:tcPr>
          <w:p>
            <w:r>
              <w:rPr>
                <w:b w:val="0"/>
                <w:color w:val="7F8C8D"/>
                <w:sz w:val="16"/>
              </w:rPr>
              <w:t>No formal data governance policy</w:t>
            </w:r>
          </w:p>
        </w:tc>
        <w:tc>
          <w:tcPr>
            <w:tcW w:type="dxa" w:w="2412"/>
            <w:shd w:val="clear" w:color="auto" w:fill="F8F9FA"/>
          </w:tcPr>
          <w:p>
            <w:r>
              <w:rPr>
                <w:b w:val="0"/>
                <w:color w:val="2C3E50"/>
                <w:sz w:val="16"/>
              </w:rPr>
              <w:t>Medium (3 days)</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Create a breach response plan. It does not need to be long — a one-page flowchart naming who does what and within what timeframes is sufficient. Test it annually and update it when key staff change.</w:t>
            </w:r>
          </w:p>
        </w:tc>
        <w:tc>
          <w:tcPr>
            <w:tcW w:type="dxa" w:w="2412"/>
            <w:shd w:val="clear" w:color="auto" w:fill="FFFFFF"/>
          </w:tcPr>
          <w:p>
            <w:r>
              <w:rPr>
                <w:b w:val="0"/>
                <w:color w:val="7F8C8D"/>
                <w:sz w:val="16"/>
              </w:rPr>
              <w:t>No documented data breach response plan</w:t>
            </w:r>
          </w:p>
        </w:tc>
        <w:tc>
          <w:tcPr>
            <w:tcW w:type="dxa" w:w="2412"/>
            <w:shd w:val="clear" w:color="auto" w:fill="FFFFFF"/>
          </w:tcPr>
          <w:p>
            <w:r>
              <w:rPr>
                <w:b w:val="0"/>
                <w:color w:val="2C3E50"/>
                <w:sz w:val="16"/>
              </w:rPr>
              <w:t>Medium (3 days)</w:t>
            </w:r>
          </w:p>
        </w:tc>
        <w:tc>
          <w:tcPr>
            <w:tcW w:type="dxa" w:w="2412"/>
            <w:shd w:val="clear" w:color="auto" w:fill="FFFFFF"/>
          </w:tcPr>
          <w:p>
            <w:r>
              <w:rPr>
                <w:b/>
                <w:color w:val="E67E22"/>
                <w:sz w:val="16"/>
              </w:rPr>
              <w:t>CONCERN</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D6EAF8"/>
            <w:tcBorders>
              <w:top w:val="single" w:sz="4" w:color="CCCCCC"/>
              <w:bottom w:val="single" w:sz="4" w:color="CCCCCC"/>
              <w:left w:val="single" w:sz="4" w:color="CCCCCC"/>
              <w:right w:val="single" w:sz="4" w:color="CCCCCC"/>
            </w:tcBorders>
          </w:tcPr>
          <w:p>
            <w:pPr>
              <w:spacing w:before="80" w:after="80"/>
            </w:pPr>
            <w:r>
              <w:rPr>
                <w:b/>
                <w:i w:val="0"/>
                <w:color w:val="2E86C1"/>
                <w:sz w:val="20"/>
              </w:rPr>
              <w:t xml:space="preserve">⚡  </w:t>
            </w:r>
            <w:r>
              <w:rPr>
                <w:b w:val="0"/>
                <w:i w:val="0"/>
                <w:color w:val="2E86C1"/>
                <w:sz w:val="20"/>
              </w:rPr>
              <w:t>⚡ Re-assessment recommended: with 3 immediate actions addressed, a follow-up review after Phase 1 completion will confirm risk reduction and may adjust priorities for subsequent phases.</w:t>
            </w:r>
          </w:p>
        </w:tc>
      </w:tr>
    </w:tbl>
    <w:p>
      <w:pPr>
        <w:spacing w:after="80"/>
      </w:pP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1F618D"/>
            <w:tcBorders>
              <w:top w:val="single" w:sz="4" w:color="CCCCCC"/>
              <w:bottom w:val="single" w:sz="4" w:color="CCCCCC"/>
              <w:left w:val="single" w:sz="4" w:color="CCCCCC"/>
              <w:right w:val="single" w:sz="4" w:color="CCCCCC"/>
            </w:tcBorders>
          </w:tcPr>
          <w:p>
            <w:pPr>
              <w:spacing w:before="80" w:after="80"/>
            </w:pPr>
            <w:r>
              <w:rPr>
                <w:b/>
                <w:i w:val="0"/>
                <w:color w:val="FFFFFF"/>
                <w:sz w:val="24"/>
              </w:rPr>
              <w:t>Phase 2 — Within 30 Days</w:t>
            </w:r>
            <w:r>
              <w:rPr>
                <w:b w:val="0"/>
                <w:i w:val="0"/>
                <w:color w:val="FFFFFF"/>
                <w:sz w:val="20"/>
              </w:rPr>
              <w:t xml:space="preserve">  ·  28 May 2026 → 08 Jun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Create a data retention schedule aligned to Florida requirements. Start with the highest-risk categories: student records, health records, HR files, and financial data. Assign a named owner and review annually.</w:t>
            </w:r>
          </w:p>
        </w:tc>
        <w:tc>
          <w:tcPr>
            <w:tcW w:type="dxa" w:w="2412"/>
            <w:shd w:val="clear" w:color="auto" w:fill="FFFFFF"/>
          </w:tcPr>
          <w:p>
            <w:r>
              <w:rPr>
                <w:b w:val="0"/>
                <w:color w:val="7F8C8D"/>
                <w:sz w:val="16"/>
              </w:rPr>
              <w:t>No data retention schedule</w:t>
            </w:r>
          </w:p>
        </w:tc>
        <w:tc>
          <w:tcPr>
            <w:tcW w:type="dxa" w:w="2412"/>
            <w:shd w:val="clear" w:color="auto" w:fill="FFFFFF"/>
          </w:tcPr>
          <w:p>
            <w:r>
              <w:rPr>
                <w:b w:val="0"/>
                <w:color w:val="2C3E50"/>
                <w:sz w:val="16"/>
              </w:rPr>
              <w:t>Substantial (5 days)</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Use the per-system worksheets from this audit as the foundation for a master data register. Publish it on a shared intranet page — one section per system with data categories, retention periods, vendor name, and an owner contact. Assign someone to review it annually.</w:t>
            </w:r>
          </w:p>
        </w:tc>
        <w:tc>
          <w:tcPr>
            <w:tcW w:type="dxa" w:w="2412"/>
            <w:shd w:val="clear" w:color="auto" w:fill="F8F9FA"/>
          </w:tcPr>
          <w:p>
            <w:r>
              <w:rPr>
                <w:b w:val="0"/>
                <w:color w:val="7F8C8D"/>
                <w:sz w:val="16"/>
              </w:rPr>
              <w:t>No master data register exists</w:t>
            </w:r>
          </w:p>
        </w:tc>
        <w:tc>
          <w:tcPr>
            <w:tcW w:type="dxa" w:w="2412"/>
            <w:shd w:val="clear" w:color="auto" w:fill="F8F9FA"/>
          </w:tcPr>
          <w:p>
            <w:r>
              <w:rPr>
                <w:b w:val="0"/>
                <w:color w:val="2C3E50"/>
                <w:sz w:val="16"/>
              </w:rPr>
              <w:t>Medium (3 days)</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Schedule annual data privacy training for all staff. A 30-minute session covering phishing, data sharing rules, and who to call if something goes wrong is a strong baseline. Document attendance.</w:t>
            </w:r>
          </w:p>
        </w:tc>
        <w:tc>
          <w:tcPr>
            <w:tcW w:type="dxa" w:w="2412"/>
            <w:shd w:val="clear" w:color="auto" w:fill="FFFFFF"/>
          </w:tcPr>
          <w:p>
            <w:r>
              <w:rPr>
                <w:b w:val="0"/>
                <w:color w:val="7F8C8D"/>
                <w:sz w:val="16"/>
              </w:rPr>
              <w:t>No regular staff data privacy training</w:t>
            </w:r>
          </w:p>
        </w:tc>
        <w:tc>
          <w:tcPr>
            <w:tcW w:type="dxa" w:w="2412"/>
            <w:shd w:val="clear" w:color="auto" w:fill="FFFFFF"/>
          </w:tcPr>
          <w:p>
            <w:r>
              <w:rPr>
                <w:b w:val="0"/>
                <w:color w:val="2C3E50"/>
                <w:sz w:val="16"/>
              </w:rPr>
              <w:t>Medium (3 days)</w:t>
            </w:r>
          </w:p>
        </w:tc>
        <w:tc>
          <w:tcPr>
            <w:tcW w:type="dxa" w:w="2412"/>
            <w:shd w:val="clear" w:color="auto" w:fill="FFFFFF"/>
          </w:tcPr>
          <w:p>
            <w:r>
              <w:rPr>
                <w:b/>
                <w:color w:val="F39C12"/>
                <w:sz w:val="16"/>
              </w:rPr>
              <w:t>WATCH</w:t>
            </w:r>
          </w:p>
        </w:tc>
      </w:tr>
    </w:tbl>
    <w:p>
      <w:pPr>
        <w:spacing w:after="80"/>
      </w:pPr>
    </w:p>
    <w:p>
      <w:r>
        <w:br w:type="page"/>
      </w:r>
    </w:p>
    <w:p>
      <w:pPr>
        <w:spacing w:before="280" w:after="100"/>
        <w:pBdr>
          <w:bottom w:val="single" w:sz="8" w:space="1" w:color="2E86C1"/>
        </w:pBdr>
      </w:pPr>
      <w:r>
        <w:rPr>
          <w:b/>
          <w:color w:val="1A5276"/>
          <w:sz w:val="36"/>
        </w:rPr>
        <w:t>Getting Started — Building a Governance Rhythm</w:t>
      </w:r>
    </w:p>
    <w:p>
      <w:pPr>
        <w:spacing w:before="80" w:after="200"/>
        <w:jc w:val="left"/>
      </w:pPr>
      <w:r>
        <w:rPr>
          <w:b w:val="0"/>
          <w:i w:val="0"/>
          <w:color w:val="7F8C8D"/>
          <w:sz w:val="20"/>
        </w:rPr>
        <w:t>The findings in this report can feel overwhelming when taken all at once. Research on K-12 data governance shows that the most effective approach is to start small: assign ownership, build one simple routine, and let it grow. The checklist and monthly ritual below are designed for schools at the beginning of that journey.</w:t>
      </w:r>
    </w:p>
    <w:p>
      <w:pPr>
        <w:spacing w:before="200" w:after="100"/>
      </w:pPr>
      <w:r>
        <w:rPr>
          <w:b/>
          <w:color w:val="1A5276"/>
          <w:sz w:val="26"/>
        </w:rPr>
        <w:t>Your First Five Steps</w:t>
      </w: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4" w:color="CCCCCC"/>
              <w:bottom w:val="single" w:sz="4" w:color="CCCCCC"/>
              <w:left w:val="single" w:sz="4" w:color="CCCCCC"/>
              <w:right w:val="single" w:sz="4" w:color="CCCCCC"/>
            </w:tcBorders>
          </w:tcPr>
          <w:p>
            <w:pPr>
              <w:spacing w:before="60" w:after="60"/>
            </w:pPr>
            <w:r>
              <w:rPr>
                <w:b/>
                <w:i w:val="0"/>
                <w:color w:val="1A5276"/>
                <w:sz w:val="20"/>
              </w:rPr>
              <w:t xml:space="preserve">1.  </w:t>
            </w:r>
            <w:r>
              <w:rPr>
                <w:b w:val="0"/>
                <w:i w:val="0"/>
                <w:color w:val="2C3E50"/>
                <w:sz w:val="20"/>
              </w:rPr>
              <w:t>Write a one-sentence data governance vision and share it with leadership — e.g. 'Our school protects student data by knowing what we hold, who can access it, and how long we keep it.'</w:t>
            </w:r>
          </w:p>
          <w:p>
            <w:pPr>
              <w:spacing w:before="60" w:after="60"/>
            </w:pPr>
            <w:r>
              <w:rPr>
                <w:b/>
                <w:i w:val="0"/>
                <w:color w:val="1A5276"/>
                <w:sz w:val="20"/>
              </w:rPr>
              <w:t xml:space="preserve">2.  </w:t>
            </w:r>
            <w:r>
              <w:rPr>
                <w:b w:val="0"/>
                <w:i w:val="0"/>
                <w:color w:val="2C3E50"/>
                <w:sz w:val="20"/>
              </w:rPr>
              <w:t>Appoint a named Data Governance Owner (primary) and a backup. This does not require a new hire — assign it to the IT Director or a senior administrator and document it in writing.</w:t>
            </w:r>
          </w:p>
          <w:p>
            <w:pPr>
              <w:spacing w:before="60" w:after="60"/>
            </w:pPr>
            <w:r>
              <w:rPr>
                <w:b/>
                <w:i w:val="0"/>
                <w:color w:val="1A5276"/>
                <w:sz w:val="20"/>
              </w:rPr>
              <w:t xml:space="preserve">3.  </w:t>
            </w:r>
            <w:r>
              <w:rPr>
                <w:b w:val="0"/>
                <w:i w:val="0"/>
                <w:color w:val="2C3E50"/>
                <w:sz w:val="20"/>
              </w:rPr>
              <w:t>Use the Action Plan in this report to identify your top 3 actions. Assign each one a named owner and a deadline before this report is filed away.</w:t>
            </w:r>
          </w:p>
          <w:p>
            <w:pPr>
              <w:spacing w:before="60" w:after="60"/>
            </w:pPr>
            <w:r>
              <w:rPr>
                <w:b/>
                <w:i w:val="0"/>
                <w:color w:val="1A5276"/>
                <w:sz w:val="20"/>
              </w:rPr>
              <w:t xml:space="preserve">4.  </w:t>
            </w:r>
            <w:r>
              <w:rPr>
                <w:b w:val="0"/>
                <w:i w:val="0"/>
                <w:color w:val="2C3E50"/>
                <w:sz w:val="20"/>
              </w:rPr>
              <w:t>Schedule a recurring 15-minute monthly governance check-in with IT and at least one member of leadership. Keep a short written record of what was discussed and decided each month.</w:t>
            </w:r>
          </w:p>
          <w:p>
            <w:pPr>
              <w:spacing w:before="60" w:after="60"/>
            </w:pPr>
            <w:r>
              <w:rPr>
                <w:b/>
                <w:i w:val="0"/>
                <w:color w:val="1A5276"/>
                <w:sz w:val="20"/>
              </w:rPr>
              <w:t xml:space="preserve">5.  </w:t>
            </w:r>
            <w:r>
              <w:rPr>
                <w:b w:val="0"/>
                <w:i w:val="0"/>
                <w:color w:val="2C3E50"/>
                <w:sz w:val="20"/>
              </w:rPr>
              <w:t>Create a one-page data register from this audit's per-system worksheets and publish it on a shared drive. One row per system: data held, vendor, retention period, and owner contact.</w:t>
            </w:r>
          </w:p>
        </w:tc>
      </w:tr>
    </w:tbl>
    <w:p>
      <w:pPr>
        <w:spacing w:after="80"/>
      </w:pPr>
    </w:p>
    <w:p>
      <w:pPr>
        <w:spacing w:before="200" w:after="100"/>
      </w:pPr>
      <w:r>
        <w:rPr>
          <w:b/>
          <w:color w:val="1A5276"/>
          <w:sz w:val="26"/>
        </w:rPr>
        <w:t>The 15-Minute Monthly Governance Check-In</w:t>
      </w:r>
    </w:p>
    <w:p>
      <w:pPr>
        <w:spacing w:before="80" w:after="160"/>
        <w:jc w:val="left"/>
      </w:pPr>
      <w:r>
        <w:rPr>
          <w:b w:val="0"/>
          <w:i w:val="0"/>
          <w:color w:val="7F8C8D"/>
          <w:sz w:val="20"/>
        </w:rPr>
        <w:t>Schedule a recurring 15-minute meeting with IT and at least one member of leadership. The agenda is the same every month — keep it short, keep a written record, and rotate the host so it survives staff turnover.</w:t>
      </w:r>
    </w:p>
    <w:tbl>
      <w:tblPr>
        <w:tblStyle w:val="TableGrid"/>
        <w:tblW w:type="auto" w:w="0"/>
        <w:tblLook w:firstColumn="1" w:firstRow="1" w:lastColumn="0" w:lastRow="0" w:noHBand="0" w:noVBand="1" w:val="04A0"/>
      </w:tblPr>
      <w:tblGrid>
        <w:gridCol w:w="9648"/>
      </w:tblGrid>
      <w:tr>
        <w:tc>
          <w:tcPr>
            <w:tcW w:type="dxa" w:w="9648"/>
            <w:shd w:val="clear" w:color="auto" w:fill="E8F8F5"/>
            <w:tcBorders>
              <w:top w:val="single" w:sz="4" w:color="CCCCCC"/>
              <w:bottom w:val="single" w:sz="4" w:color="CCCCCC"/>
              <w:left w:val="single" w:sz="4" w:color="CCCCCC"/>
              <w:right w:val="single" w:sz="4" w:color="CCCCCC"/>
            </w:tcBorders>
          </w:tcPr>
          <w:p>
            <w:pPr>
              <w:spacing w:before="80" w:after="40"/>
            </w:pPr>
            <w:r>
              <w:rPr>
                <w:b/>
                <w:i w:val="0"/>
                <w:color w:val="27AE60"/>
                <w:sz w:val="20"/>
              </w:rPr>
              <w:t>Monthly agenda:</w:t>
            </w:r>
          </w:p>
          <w:p>
            <w:pPr>
              <w:spacing w:before="40" w:after="40"/>
            </w:pPr>
            <w:r>
              <w:rPr>
                <w:b/>
                <w:i w:val="0"/>
                <w:color w:val="27AE60"/>
                <w:sz w:val="18"/>
              </w:rPr>
              <w:t xml:space="preserve">  ✓  </w:t>
            </w:r>
            <w:r>
              <w:rPr>
                <w:b w:val="0"/>
                <w:i w:val="0"/>
                <w:color w:val="2C3E50"/>
                <w:sz w:val="18"/>
              </w:rPr>
              <w:t>Review one open finding from the Action Plan — confirm whether the action was taken and update the record.</w:t>
            </w:r>
          </w:p>
          <w:p>
            <w:pPr>
              <w:spacing w:before="40" w:after="40"/>
            </w:pPr>
            <w:r>
              <w:rPr>
                <w:b/>
                <w:i w:val="0"/>
                <w:color w:val="27AE60"/>
                <w:sz w:val="18"/>
              </w:rPr>
              <w:t xml:space="preserve">  ✓  </w:t>
            </w:r>
            <w:r>
              <w:rPr>
                <w:b w:val="0"/>
                <w:i w:val="0"/>
                <w:color w:val="2C3E50"/>
                <w:sz w:val="18"/>
              </w:rPr>
              <w:t>Ask: has any new tool or vendor been adopted since last month? If yes, run the vendor approval checklist before data is shared.</w:t>
            </w:r>
          </w:p>
          <w:p>
            <w:pPr>
              <w:spacing w:before="40" w:after="40"/>
            </w:pPr>
            <w:r>
              <w:rPr>
                <w:b/>
                <w:i w:val="0"/>
                <w:color w:val="27AE60"/>
                <w:sz w:val="18"/>
              </w:rPr>
              <w:t xml:space="preserve">  ✓  </w:t>
            </w:r>
            <w:r>
              <w:rPr>
                <w:b w:val="0"/>
                <w:i w:val="0"/>
                <w:color w:val="2C3E50"/>
                <w:sz w:val="18"/>
              </w:rPr>
              <w:t>Check whether any staff have joined or left — confirm offboarding was completed for all departures.</w:t>
            </w:r>
          </w:p>
          <w:p>
            <w:pPr>
              <w:spacing w:before="40" w:after="40"/>
            </w:pPr>
            <w:r>
              <w:rPr>
                <w:b/>
                <w:i w:val="0"/>
                <w:color w:val="27AE60"/>
                <w:sz w:val="18"/>
              </w:rPr>
              <w:t xml:space="preserve">  ✓  </w:t>
            </w:r>
            <w:r>
              <w:rPr>
                <w:b w:val="0"/>
                <w:i w:val="0"/>
                <w:color w:val="2C3E50"/>
                <w:sz w:val="18"/>
              </w:rPr>
              <w:t>Note any policy or regulatory updates (e.g. state rule changes, new data categories) that may affect how the school handles data.</w:t>
            </w:r>
          </w:p>
          <w:p>
            <w:pPr>
              <w:spacing w:before="40" w:after="40"/>
            </w:pPr>
            <w:r>
              <w:rPr>
                <w:b/>
                <w:i w:val="0"/>
                <w:color w:val="27AE60"/>
                <w:sz w:val="18"/>
              </w:rPr>
              <w:t xml:space="preserve">  ✓  </w:t>
            </w:r>
            <w:r>
              <w:rPr>
                <w:b w:val="0"/>
                <w:i w:val="0"/>
                <w:color w:val="2C3E50"/>
                <w:sz w:val="18"/>
              </w:rPr>
              <w:t>Record the meeting: what was discussed, what was agreed, who owns it, and when it will be checked again.</w:t>
            </w:r>
          </w:p>
        </w:tc>
      </w:tr>
    </w:tbl>
    <w:p>
      <w:pPr>
        <w:spacing w:after="80"/>
      </w:pPr>
    </w:p>
    <w:p>
      <w:r>
        <w:br w:type="page"/>
      </w:r>
    </w:p>
    <w:p>
      <w:pPr>
        <w:spacing w:before="280" w:after="100"/>
        <w:pBdr>
          <w:bottom w:val="single" w:sz="8" w:space="1" w:color="2E86C1"/>
        </w:pBdr>
      </w:pPr>
      <w:r>
        <w:rPr>
          <w:b/>
          <w:color w:val="1A5276"/>
          <w:sz w:val="36"/>
        </w:rPr>
        <w:t>Appendix — Raw Response Log</w:t>
      </w:r>
    </w:p>
    <w:p>
      <w:pPr>
        <w:spacing w:before="80" w:after="200"/>
        <w:jc w:val="left"/>
      </w:pPr>
      <w:r>
        <w:rPr>
          <w:b w:val="0"/>
          <w:i w:val="0"/>
          <w:color w:val="7F8C8D"/>
          <w:sz w:val="20"/>
        </w:rPr>
        <w:t>Complete record of all answers submitted for each system worksheet, with question prompts for context. Questions with no answer are omitted.</w:t>
      </w:r>
    </w:p>
    <w:p>
      <w:pPr>
        <w:spacing w:before="200" w:after="100"/>
      </w:pPr>
      <w:r>
        <w:rPr>
          <w:b/>
          <w:color w:val="1A5276"/>
          <w:sz w:val="26"/>
        </w:rPr>
        <w:t>1. Veracross (SIS)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_SYS.1.1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_SYS.1.1a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_SYS.1.2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_SYS.1.2a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_SYS.1.3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_SYS.1.4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_SYS.1.5</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exist but not reviewed regularly</w:t>
            </w:r>
          </w:p>
        </w:tc>
      </w:tr>
      <w:tr>
        <w:tc>
          <w:tcPr>
            <w:tcW w:type="dxa" w:w="2412"/>
            <w:shd w:val="clear" w:color="auto" w:fill="F8F9FA"/>
          </w:tcPr>
          <w:p>
            <w:r>
              <w:rPr>
                <w:color w:val="7F8C8D"/>
                <w:sz w:val="16"/>
              </w:rPr>
              <w:t>_SYS.2.1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_SYS.2.1a</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_SYS.2.1b</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_SYS.2.5v</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Informal plan — relies on memory or ad-hoc decisions</w:t>
            </w:r>
          </w:p>
        </w:tc>
      </w:tr>
      <w:tr>
        <w:tc>
          <w:tcPr>
            <w:tcW w:type="dxa" w:w="2412"/>
            <w:shd w:val="clear" w:color="auto" w:fill="F8F9FA"/>
          </w:tcPr>
          <w:p>
            <w:r>
              <w:rPr>
                <w:color w:val="7F8C8D"/>
                <w:sz w:val="16"/>
              </w:rPr>
              <w:t>_SYS.3.1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 xml:space="preserve">Data enters Veracross via: (1) manual entry by the registrar and admissions team, (2) parent-submitted enrollment forms through the Veracross parent portal, (3) nightly sync from Google Workspace for </w:t>
            </w:r>
          </w:p>
        </w:tc>
      </w:tr>
      <w:tr>
        <w:tc>
          <w:tcPr>
            <w:tcW w:type="dxa" w:w="2412"/>
            <w:shd w:val="clear" w:color="auto" w:fill="FFFFFF"/>
          </w:tcPr>
          <w:p>
            <w:r>
              <w:rPr>
                <w:color w:val="7F8C8D"/>
                <w:sz w:val="16"/>
              </w:rPr>
              <w:t>_SYS.3.2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Data leaves Veracross via: (1) rostering sync to Google Classroom (nightly), (2) rostering sync to Seesaw (manual export / upload), (3) reporting exports by the Head of School and Board, (4) transcrip</w:t>
            </w:r>
          </w:p>
        </w:tc>
      </w:tr>
      <w:tr>
        <w:tc>
          <w:tcPr>
            <w:tcW w:type="dxa" w:w="2412"/>
            <w:shd w:val="clear" w:color="auto" w:fill="F8F9FA"/>
          </w:tcPr>
          <w:p>
            <w:r>
              <w:rPr>
                <w:color w:val="7F8C8D"/>
                <w:sz w:val="16"/>
              </w:rPr>
              <w:t>_SYS.3.2a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Partial — some encrypted, some not</w:t>
            </w:r>
          </w:p>
        </w:tc>
      </w:tr>
      <w:tr>
        <w:tc>
          <w:tcPr>
            <w:tcW w:type="dxa" w:w="2412"/>
            <w:shd w:val="clear" w:color="auto" w:fill="FFFFFF"/>
          </w:tcPr>
          <w:p>
            <w:r>
              <w:rPr>
                <w:color w:val="7F8C8D"/>
                <w:sz w:val="16"/>
              </w:rPr>
              <w:t>_SYS.3.3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_SYS.3.3a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Nightly Google Classroom roster sync via Veracross API connector — set up by former IT staff approx. 3 years ago. Still in active use. No review has been performed on the OAuth scopes granted.</w:t>
            </w:r>
          </w:p>
        </w:tc>
      </w:tr>
      <w:tr>
        <w:tc>
          <w:tcPr>
            <w:tcW w:type="dxa" w:w="2412"/>
            <w:shd w:val="clear" w:color="auto" w:fill="FFFFFF"/>
          </w:tcPr>
          <w:p>
            <w:r>
              <w:rPr>
                <w:color w:val="7F8C8D"/>
                <w:sz w:val="16"/>
              </w:rPr>
              <w:t>_SYS.3.4</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_SYS.3.4a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Transcripts are exported and emailed to external schools or colleges on request by the registrar. No written data sharing agreement governs these transfers beyond FERPA consent forms signed by parents</w:t>
            </w:r>
          </w:p>
        </w:tc>
      </w:tr>
      <w:tr>
        <w:tc>
          <w:tcPr>
            <w:tcW w:type="dxa" w:w="2412"/>
            <w:shd w:val="clear" w:color="auto" w:fill="FFFFFF"/>
          </w:tcPr>
          <w:p>
            <w:r>
              <w:rPr>
                <w:color w:val="7F8C8D"/>
                <w:sz w:val="16"/>
              </w:rPr>
              <w:t>_SYS.3.5</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_SYS.4.1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_SYS.4.4</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 — not reviewed</w:t>
            </w:r>
          </w:p>
        </w:tc>
      </w:tr>
      <w:tr>
        <w:tc>
          <w:tcPr>
            <w:tcW w:type="dxa" w:w="2412"/>
            <w:shd w:val="clear" w:color="auto" w:fill="F8F9FA"/>
          </w:tcPr>
          <w:p>
            <w:r>
              <w:rPr>
                <w:color w:val="7F8C8D"/>
                <w:sz w:val="16"/>
              </w:rPr>
              <w:t>_SYS.5.1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academic records (grades, transcripts, reports), Student behavioral records (discipline, incidents), Student health records (medical, counseling, nurse), Parent and family contact data, Admiss</w:t>
            </w:r>
          </w:p>
        </w:tc>
      </w:tr>
      <w:tr>
        <w:tc>
          <w:tcPr>
            <w:tcW w:type="dxa" w:w="2412"/>
            <w:shd w:val="clear" w:color="auto" w:fill="FFFFFF"/>
          </w:tcPr>
          <w:p>
            <w:r>
              <w:rPr>
                <w:color w:val="7F8C8D"/>
                <w:sz w:val="16"/>
              </w:rPr>
              <w:t>_SYS.5.2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Academic records (transcripts, grades): permanent per Florida law. Health records: 7 years after student turns 18. Discipline records: 5 years. Family contact data: duration of enrollment plus 3 years</w:t>
            </w:r>
          </w:p>
        </w:tc>
      </w:tr>
      <w:tr>
        <w:tc>
          <w:tcPr>
            <w:tcW w:type="dxa" w:w="2412"/>
            <w:shd w:val="clear" w:color="auto" w:fill="F8F9FA"/>
          </w:tcPr>
          <w:p>
            <w:r>
              <w:rPr>
                <w:color w:val="7F8C8D"/>
                <w:sz w:val="16"/>
              </w:rPr>
              <w:t>_SYS.5.3</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 deletion process — data accumulates indefinitely</w:t>
            </w:r>
          </w:p>
        </w:tc>
      </w:tr>
      <w:tr>
        <w:tc>
          <w:tcPr>
            <w:tcW w:type="dxa" w:w="2412"/>
            <w:shd w:val="clear" w:color="auto" w:fill="FFFFFF"/>
          </w:tcPr>
          <w:p>
            <w:r>
              <w:rPr>
                <w:color w:val="7F8C8D"/>
                <w:sz w:val="16"/>
              </w:rPr>
              <w:t>_SYS.ID.dept</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All departments — primary system of record for student data</w:t>
            </w:r>
          </w:p>
        </w:tc>
      </w:tr>
      <w:tr>
        <w:tc>
          <w:tcPr>
            <w:tcW w:type="dxa" w:w="2412"/>
            <w:shd w:val="clear" w:color="auto" w:fill="F8F9FA"/>
          </w:tcPr>
          <w:p>
            <w:r>
              <w:rPr>
                <w:color w:val="7F8C8D"/>
                <w:sz w:val="16"/>
              </w:rPr>
              <w:t>_SYS.ID.name</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Veracross (SIS)</w:t>
            </w:r>
          </w:p>
        </w:tc>
      </w:tr>
      <w:tr>
        <w:tc>
          <w:tcPr>
            <w:tcW w:type="dxa" w:w="2412"/>
            <w:shd w:val="clear" w:color="auto" w:fill="FFFFFF"/>
          </w:tcPr>
          <w:p>
            <w:r>
              <w:rPr>
                <w:color w:val="7F8C8D"/>
                <w:sz w:val="16"/>
              </w:rPr>
              <w:t>_SYS.ID.status</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_SYS.ID.vendor</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Veracross</w:t>
            </w:r>
          </w:p>
        </w:tc>
      </w:tr>
    </w:tbl>
    <w:p>
      <w:pPr>
        <w:spacing w:after="120"/>
      </w:pPr>
    </w:p>
    <w:p>
      <w:pPr>
        <w:spacing w:before="200" w:after="100"/>
      </w:pPr>
      <w:r>
        <w:rPr>
          <w:b/>
          <w:color w:val="1A5276"/>
          <w:sz w:val="26"/>
        </w:rPr>
        <w:t>2. Google Workspace for Education Plus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_SYS.1.1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complete list available</w:t>
            </w:r>
          </w:p>
        </w:tc>
      </w:tr>
      <w:tr>
        <w:tc>
          <w:tcPr>
            <w:tcW w:type="dxa" w:w="2412"/>
            <w:shd w:val="clear" w:color="auto" w:fill="F8F9FA"/>
          </w:tcPr>
          <w:p>
            <w:r>
              <w:rPr>
                <w:color w:val="7F8C8D"/>
                <w:sz w:val="16"/>
              </w:rPr>
              <w:t>_SYS.1.1a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_SYS.1.2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_SYS.1.2a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_SYS.1.3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_SYS.1.4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_SYS.1.5</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retained 90+ days and reviewed regularly</w:t>
            </w:r>
          </w:p>
        </w:tc>
      </w:tr>
      <w:tr>
        <w:tc>
          <w:tcPr>
            <w:tcW w:type="dxa" w:w="2412"/>
            <w:shd w:val="clear" w:color="auto" w:fill="F8F9FA"/>
          </w:tcPr>
          <w:p>
            <w:r>
              <w:rPr>
                <w:color w:val="7F8C8D"/>
                <w:sz w:val="16"/>
              </w:rPr>
              <w:t>_SYS.2.1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Both — school and vendor both maintain copies</w:t>
            </w:r>
          </w:p>
        </w:tc>
      </w:tr>
      <w:tr>
        <w:tc>
          <w:tcPr>
            <w:tcW w:type="dxa" w:w="2412"/>
            <w:shd w:val="clear" w:color="auto" w:fill="FFFFFF"/>
          </w:tcPr>
          <w:p>
            <w:r>
              <w:rPr>
                <w:color w:val="7F8C8D"/>
                <w:sz w:val="16"/>
              </w:rPr>
              <w:t>_SYS.2.1a</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_SYS.2.2</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Continuously (real-time replication)</w:t>
            </w:r>
          </w:p>
        </w:tc>
      </w:tr>
      <w:tr>
        <w:tc>
          <w:tcPr>
            <w:tcW w:type="dxa" w:w="2412"/>
            <w:shd w:val="clear" w:color="auto" w:fill="FFFFFF"/>
          </w:tcPr>
          <w:p>
            <w:r>
              <w:rPr>
                <w:color w:val="7F8C8D"/>
                <w:sz w:val="16"/>
              </w:rPr>
              <w:t>_SYS.2.3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Never tested</w:t>
            </w:r>
          </w:p>
        </w:tc>
      </w:tr>
      <w:tr>
        <w:tc>
          <w:tcPr>
            <w:tcW w:type="dxa" w:w="2412"/>
            <w:shd w:val="clear" w:color="auto" w:fill="F8F9FA"/>
          </w:tcPr>
          <w:p>
            <w:r>
              <w:rPr>
                <w:color w:val="7F8C8D"/>
                <w:sz w:val="16"/>
              </w:rPr>
              <w:t>_SYS.2.4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_SYS.2.5</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4–24 hours</w:t>
            </w:r>
          </w:p>
        </w:tc>
      </w:tr>
      <w:tr>
        <w:tc>
          <w:tcPr>
            <w:tcW w:type="dxa" w:w="2412"/>
            <w:shd w:val="clear" w:color="auto" w:fill="F8F9FA"/>
          </w:tcPr>
          <w:p>
            <w:r>
              <w:rPr>
                <w:color w:val="7F8C8D"/>
                <w:sz w:val="16"/>
              </w:rPr>
              <w:t>_SYS.3.1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Data enters Google Workspace via: (1) nightly roster sync from Veracross for class rosters and groups, (2) staff email and file creation, (3) student file submissions through Google Classroom, (4) ext</w:t>
            </w:r>
          </w:p>
        </w:tc>
      </w:tr>
      <w:tr>
        <w:tc>
          <w:tcPr>
            <w:tcW w:type="dxa" w:w="2412"/>
            <w:shd w:val="clear" w:color="auto" w:fill="FFFFFF"/>
          </w:tcPr>
          <w:p>
            <w:r>
              <w:rPr>
                <w:color w:val="7F8C8D"/>
                <w:sz w:val="16"/>
              </w:rPr>
              <w:t>_SYS.3.2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Data leaves Google Workspace via: (1) email to external addresses, (2) Google Drive files shared externally via link, (3) Classroom roster sync to Seesaw, (4) Bark for Schools monitoring connection re</w:t>
            </w:r>
          </w:p>
        </w:tc>
      </w:tr>
      <w:tr>
        <w:tc>
          <w:tcPr>
            <w:tcW w:type="dxa" w:w="2412"/>
            <w:shd w:val="clear" w:color="auto" w:fill="F8F9FA"/>
          </w:tcPr>
          <w:p>
            <w:r>
              <w:rPr>
                <w:color w:val="7F8C8D"/>
                <w:sz w:val="16"/>
              </w:rPr>
              <w:t>_SYS.3.2a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all outbound transfers are encrypted</w:t>
            </w:r>
          </w:p>
        </w:tc>
      </w:tr>
      <w:tr>
        <w:tc>
          <w:tcPr>
            <w:tcW w:type="dxa" w:w="2412"/>
            <w:shd w:val="clear" w:color="auto" w:fill="FFFFFF"/>
          </w:tcPr>
          <w:p>
            <w:r>
              <w:rPr>
                <w:color w:val="7F8C8D"/>
                <w:sz w:val="16"/>
              </w:rPr>
              <w:t>_SYS.3.3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_SYS.3.3a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1. Veracross → Google Workspace (nightly OU/roster sync via API). Set up by previous IT staff. Still needed — drives class organization. 2. Bark for Schools → Google Workspace (OAuth connection scanni</w:t>
            </w:r>
          </w:p>
        </w:tc>
      </w:tr>
      <w:tr>
        <w:tc>
          <w:tcPr>
            <w:tcW w:type="dxa" w:w="2412"/>
            <w:shd w:val="clear" w:color="auto" w:fill="FFFFFF"/>
          </w:tcPr>
          <w:p>
            <w:r>
              <w:rPr>
                <w:color w:val="7F8C8D"/>
                <w:sz w:val="16"/>
              </w:rPr>
              <w:t>_SYS.3.4</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_SYS.3.5</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sub-processors are named in the contract</w:t>
            </w:r>
          </w:p>
        </w:tc>
      </w:tr>
      <w:tr>
        <w:tc>
          <w:tcPr>
            <w:tcW w:type="dxa" w:w="2412"/>
            <w:shd w:val="clear" w:color="auto" w:fill="FFFFFF"/>
          </w:tcPr>
          <w:p>
            <w:r>
              <w:rPr>
                <w:color w:val="7F8C8D"/>
                <w:sz w:val="16"/>
              </w:rPr>
              <w:t>_SYS.4.1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signed DPA on file</w:t>
            </w:r>
          </w:p>
        </w:tc>
      </w:tr>
      <w:tr>
        <w:tc>
          <w:tcPr>
            <w:tcW w:type="dxa" w:w="2412"/>
            <w:shd w:val="clear" w:color="auto" w:fill="F8F9FA"/>
          </w:tcPr>
          <w:p>
            <w:r>
              <w:rPr>
                <w:color w:val="7F8C8D"/>
                <w:sz w:val="16"/>
              </w:rPr>
              <w:t>_SYS.4.2</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timeframe not specified</w:t>
            </w:r>
          </w:p>
        </w:tc>
      </w:tr>
      <w:tr>
        <w:tc>
          <w:tcPr>
            <w:tcW w:type="dxa" w:w="2412"/>
            <w:shd w:val="clear" w:color="auto" w:fill="FFFFFF"/>
          </w:tcPr>
          <w:p>
            <w:r>
              <w:rPr>
                <w:color w:val="7F8C8D"/>
                <w:sz w:val="16"/>
              </w:rPr>
              <w:t>_SYS.4.3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deletion required with written confirmation</w:t>
            </w:r>
          </w:p>
        </w:tc>
      </w:tr>
      <w:tr>
        <w:tc>
          <w:tcPr>
            <w:tcW w:type="dxa" w:w="2412"/>
            <w:shd w:val="clear" w:color="auto" w:fill="F8F9FA"/>
          </w:tcPr>
          <w:p>
            <w:r>
              <w:rPr>
                <w:color w:val="7F8C8D"/>
                <w:sz w:val="16"/>
              </w:rPr>
              <w:t>_SYS.4.4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reviewed published documentation only</w:t>
            </w:r>
          </w:p>
        </w:tc>
      </w:tr>
      <w:tr>
        <w:tc>
          <w:tcPr>
            <w:tcW w:type="dxa" w:w="2412"/>
            <w:shd w:val="clear" w:color="auto" w:fill="FFFFFF"/>
          </w:tcPr>
          <w:p>
            <w:r>
              <w:rPr>
                <w:color w:val="7F8C8D"/>
                <w:sz w:val="16"/>
              </w:rPr>
              <w:t>_SYS.5.1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academic records (grades, transcripts, reports), Parent and family contact data, Communications (email, messages, chat), Intellectual property (curriculum, assessments), Authentication credent</w:t>
            </w:r>
          </w:p>
        </w:tc>
      </w:tr>
      <w:tr>
        <w:tc>
          <w:tcPr>
            <w:tcW w:type="dxa" w:w="2412"/>
            <w:shd w:val="clear" w:color="auto" w:fill="F8F9FA"/>
          </w:tcPr>
          <w:p>
            <w:r>
              <w:rPr>
                <w:color w:val="7F8C8D"/>
                <w:sz w:val="16"/>
              </w:rPr>
              <w:t>_SYS.5.2</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 xml:space="preserve">Staff email and files: retain for duration of employment plus 7 years (HR standard). Student accounts: retained for duration of enrollment; student Drive files retained for 1 year post-graduation per </w:t>
            </w:r>
          </w:p>
        </w:tc>
      </w:tr>
      <w:tr>
        <w:tc>
          <w:tcPr>
            <w:tcW w:type="dxa" w:w="2412"/>
            <w:shd w:val="clear" w:color="auto" w:fill="FFFFFF"/>
          </w:tcPr>
          <w:p>
            <w:r>
              <w:rPr>
                <w:color w:val="7F8C8D"/>
                <w:sz w:val="16"/>
              </w:rPr>
              <w:t>_SYS.5.3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Deletion occurs but is not documented</w:t>
            </w:r>
          </w:p>
        </w:tc>
      </w:tr>
      <w:tr>
        <w:tc>
          <w:tcPr>
            <w:tcW w:type="dxa" w:w="2412"/>
            <w:shd w:val="clear" w:color="auto" w:fill="F8F9FA"/>
          </w:tcPr>
          <w:p>
            <w:r>
              <w:rPr>
                <w:color w:val="7F8C8D"/>
                <w:sz w:val="16"/>
              </w:rPr>
              <w:t>_SYS.ID.dept</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All departments — primary email, collaboration, and file storage platform</w:t>
            </w:r>
          </w:p>
        </w:tc>
      </w:tr>
      <w:tr>
        <w:tc>
          <w:tcPr>
            <w:tcW w:type="dxa" w:w="2412"/>
            <w:shd w:val="clear" w:color="auto" w:fill="FFFFFF"/>
          </w:tcPr>
          <w:p>
            <w:r>
              <w:rPr>
                <w:color w:val="7F8C8D"/>
                <w:sz w:val="16"/>
              </w:rPr>
              <w:t>_SYS.ID.name</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for Education Plus</w:t>
            </w:r>
          </w:p>
        </w:tc>
      </w:tr>
      <w:tr>
        <w:tc>
          <w:tcPr>
            <w:tcW w:type="dxa" w:w="2412"/>
            <w:shd w:val="clear" w:color="auto" w:fill="F8F9FA"/>
          </w:tcPr>
          <w:p>
            <w:r>
              <w:rPr>
                <w:color w:val="7F8C8D"/>
                <w:sz w:val="16"/>
              </w:rPr>
              <w:t>_SYS.ID.status</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_SYS.ID.vendor</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w:t>
            </w:r>
          </w:p>
        </w:tc>
      </w:tr>
    </w:tbl>
    <w:p>
      <w:pPr>
        <w:spacing w:after="120"/>
      </w:pPr>
    </w:p>
    <w:p>
      <w:pPr>
        <w:spacing w:before="200" w:after="100"/>
      </w:pPr>
      <w:r>
        <w:rPr>
          <w:b/>
          <w:color w:val="1A5276"/>
          <w:sz w:val="26"/>
        </w:rPr>
        <w:t>3. Seesaw</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_SYS.1.1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_SYS.1.1a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_SYS.1.2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_SYS.1.2a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_SYS.1.3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 — not available or not enabled</w:t>
            </w:r>
          </w:p>
        </w:tc>
      </w:tr>
      <w:tr>
        <w:tc>
          <w:tcPr>
            <w:tcW w:type="dxa" w:w="2412"/>
            <w:shd w:val="clear" w:color="auto" w:fill="F8F9FA"/>
          </w:tcPr>
          <w:p>
            <w:r>
              <w:rPr>
                <w:color w:val="7F8C8D"/>
                <w:sz w:val="16"/>
              </w:rPr>
              <w:t>_SYS.1.4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_SYS.1.4a</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_SYS.1.5</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_SYS.2.1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vendor manages the backup</w:t>
            </w:r>
          </w:p>
        </w:tc>
      </w:tr>
      <w:tr>
        <w:tc>
          <w:tcPr>
            <w:tcW w:type="dxa" w:w="2412"/>
            <w:shd w:val="clear" w:color="auto" w:fill="F8F9FA"/>
          </w:tcPr>
          <w:p>
            <w:r>
              <w:rPr>
                <w:color w:val="7F8C8D"/>
                <w:sz w:val="16"/>
              </w:rPr>
              <w:t>_SYS.2.1a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_SYS.2.1b</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_SYS.2.5v</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Informal plan — relies on memory or ad-hoc decisions</w:t>
            </w:r>
          </w:p>
        </w:tc>
      </w:tr>
      <w:tr>
        <w:tc>
          <w:tcPr>
            <w:tcW w:type="dxa" w:w="2412"/>
            <w:shd w:val="clear" w:color="auto" w:fill="FFFFFF"/>
          </w:tcPr>
          <w:p>
            <w:r>
              <w:rPr>
                <w:color w:val="7F8C8D"/>
                <w:sz w:val="16"/>
              </w:rPr>
              <w:t>_SYS.3.1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rosters are uploaded manually from a Veracross CSV export at the start of each school year. Parent email addresses are entered manually by teachers or uploaded in the roster.</w:t>
            </w:r>
          </w:p>
        </w:tc>
      </w:tr>
      <w:tr>
        <w:tc>
          <w:tcPr>
            <w:tcW w:type="dxa" w:w="2412"/>
            <w:shd w:val="clear" w:color="auto" w:fill="F8F9FA"/>
          </w:tcPr>
          <w:p>
            <w:r>
              <w:rPr>
                <w:color w:val="7F8C8D"/>
                <w:sz w:val="16"/>
              </w:rPr>
              <w:t>_SYS.3.2</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Data leaves Seesaw via: (1) PDF portfolio exports downloaded by teachers and shared with parents, (2) parent access to the Seesaw Family app (direct push notifications and journal viewing), (3) no kno</w:t>
            </w:r>
          </w:p>
        </w:tc>
      </w:tr>
      <w:tr>
        <w:tc>
          <w:tcPr>
            <w:tcW w:type="dxa" w:w="2412"/>
            <w:shd w:val="clear" w:color="auto" w:fill="FFFFFF"/>
          </w:tcPr>
          <w:p>
            <w:r>
              <w:rPr>
                <w:color w:val="7F8C8D"/>
                <w:sz w:val="16"/>
              </w:rPr>
              <w:t>_SYS.3.2a</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some encrypted, some not</w:t>
            </w:r>
          </w:p>
        </w:tc>
      </w:tr>
      <w:tr>
        <w:tc>
          <w:tcPr>
            <w:tcW w:type="dxa" w:w="2412"/>
            <w:shd w:val="clear" w:color="auto" w:fill="F8F9FA"/>
          </w:tcPr>
          <w:p>
            <w:r>
              <w:rPr>
                <w:color w:val="7F8C8D"/>
                <w:sz w:val="16"/>
              </w:rPr>
              <w:t>_SYS.3.3</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_SYS.3.4</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_SYS.3.5</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_SYS.4.1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 agreement on file</w:t>
            </w:r>
          </w:p>
        </w:tc>
      </w:tr>
      <w:tr>
        <w:tc>
          <w:tcPr>
            <w:tcW w:type="dxa" w:w="2412"/>
            <w:shd w:val="clear" w:color="auto" w:fill="F8F9FA"/>
          </w:tcPr>
          <w:p>
            <w:r>
              <w:rPr>
                <w:color w:val="7F8C8D"/>
                <w:sz w:val="16"/>
              </w:rPr>
              <w:t>_SYS.4.4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 — not reviewed</w:t>
            </w:r>
          </w:p>
        </w:tc>
      </w:tr>
      <w:tr>
        <w:tc>
          <w:tcPr>
            <w:tcW w:type="dxa" w:w="2412"/>
            <w:shd w:val="clear" w:color="auto" w:fill="FFFFFF"/>
          </w:tcPr>
          <w:p>
            <w:r>
              <w:rPr>
                <w:color w:val="7F8C8D"/>
                <w:sz w:val="16"/>
              </w:rPr>
              <w:t>_SYS.5.1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academic records (grades, transcripts, reports), Parent and family contact data</w:t>
            </w:r>
          </w:p>
        </w:tc>
      </w:tr>
      <w:tr>
        <w:tc>
          <w:tcPr>
            <w:tcW w:type="dxa" w:w="2412"/>
            <w:shd w:val="clear" w:color="auto" w:fill="F8F9FA"/>
          </w:tcPr>
          <w:p>
            <w:r>
              <w:rPr>
                <w:color w:val="7F8C8D"/>
                <w:sz w:val="16"/>
              </w:rPr>
              <w:t>_SYS.5.2</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portfolio and work data: retention period not defined. Parent contact data: retained for duration of enrollment plus unknown period. Seesaw's data retention terms have not been reviewed.</w:t>
            </w:r>
          </w:p>
        </w:tc>
      </w:tr>
      <w:tr>
        <w:tc>
          <w:tcPr>
            <w:tcW w:type="dxa" w:w="2412"/>
            <w:shd w:val="clear" w:color="auto" w:fill="FFFFFF"/>
          </w:tcPr>
          <w:p>
            <w:r>
              <w:rPr>
                <w:color w:val="7F8C8D"/>
                <w:sz w:val="16"/>
              </w:rPr>
              <w:t>_SYS.5.3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_SYS.ID.dept</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Lower School (Kindergarten through Grade 2)</w:t>
            </w:r>
          </w:p>
        </w:tc>
      </w:tr>
      <w:tr>
        <w:tc>
          <w:tcPr>
            <w:tcW w:type="dxa" w:w="2412"/>
            <w:shd w:val="clear" w:color="auto" w:fill="FFFFFF"/>
          </w:tcPr>
          <w:p>
            <w:r>
              <w:rPr>
                <w:color w:val="7F8C8D"/>
                <w:sz w:val="16"/>
              </w:rPr>
              <w:t>_SYS.ID.name</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Seesaw</w:t>
            </w:r>
          </w:p>
        </w:tc>
      </w:tr>
      <w:tr>
        <w:tc>
          <w:tcPr>
            <w:tcW w:type="dxa" w:w="2412"/>
            <w:shd w:val="clear" w:color="auto" w:fill="F8F9FA"/>
          </w:tcPr>
          <w:p>
            <w:r>
              <w:rPr>
                <w:color w:val="7F8C8D"/>
                <w:sz w:val="16"/>
              </w:rPr>
              <w:t>_SYS.ID.status</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_SYS.ID.vendor</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Seesaw Learning, Inc.</w:t>
            </w:r>
          </w:p>
        </w:tc>
      </w:tr>
    </w:tbl>
    <w:p>
      <w:pPr>
        <w:spacing w:after="120"/>
      </w:pPr>
    </w:p>
    <w:p>
      <w:pPr>
        <w:spacing w:before="200" w:after="100"/>
      </w:pPr>
      <w:r>
        <w:rPr>
          <w:b/>
          <w:color w:val="1A5276"/>
          <w:sz w:val="26"/>
        </w:rPr>
        <w:t>4. Lightspeed Filter</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_SYS.1.1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complete list available</w:t>
            </w:r>
          </w:p>
        </w:tc>
      </w:tr>
      <w:tr>
        <w:tc>
          <w:tcPr>
            <w:tcW w:type="dxa" w:w="2412"/>
            <w:shd w:val="clear" w:color="auto" w:fill="F8F9FA"/>
          </w:tcPr>
          <w:p>
            <w:r>
              <w:rPr>
                <w:color w:val="7F8C8D"/>
                <w:sz w:val="16"/>
              </w:rPr>
              <w:t>_SYS.1.1a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_SYS.1.2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_SYS.1.2a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_SYS.1.3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_SYS.1.4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_SYS.1.5</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exist but not reviewed regularly</w:t>
            </w:r>
          </w:p>
        </w:tc>
      </w:tr>
      <w:tr>
        <w:tc>
          <w:tcPr>
            <w:tcW w:type="dxa" w:w="2412"/>
            <w:shd w:val="clear" w:color="auto" w:fill="F8F9FA"/>
          </w:tcPr>
          <w:p>
            <w:r>
              <w:rPr>
                <w:color w:val="7F8C8D"/>
                <w:sz w:val="16"/>
              </w:rPr>
              <w:t>_SYS.2.1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_SYS.2.1a</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_SYS.2.1b</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_SYS.2.5v</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 plan — school would be unable to operate without this system</w:t>
            </w:r>
          </w:p>
        </w:tc>
      </w:tr>
      <w:tr>
        <w:tc>
          <w:tcPr>
            <w:tcW w:type="dxa" w:w="2412"/>
            <w:shd w:val="clear" w:color="auto" w:fill="F8F9FA"/>
          </w:tcPr>
          <w:p>
            <w:r>
              <w:rPr>
                <w:color w:val="7F8C8D"/>
                <w:sz w:val="16"/>
              </w:rPr>
              <w:t>_SYS.3.1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User and device data enters Lightspeed via Google Workspace directory sync. No other inbound data sources.</w:t>
            </w:r>
          </w:p>
        </w:tc>
      </w:tr>
      <w:tr>
        <w:tc>
          <w:tcPr>
            <w:tcW w:type="dxa" w:w="2412"/>
            <w:shd w:val="clear" w:color="auto" w:fill="FFFFFF"/>
          </w:tcPr>
          <w:p>
            <w:r>
              <w:rPr>
                <w:color w:val="7F8C8D"/>
                <w:sz w:val="16"/>
              </w:rPr>
              <w:t>_SYS.3.2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Lightspeed does not push data outbound to other school systems. Browsing activity logs are available to admins and teachers within the Lightspeed console only.</w:t>
            </w:r>
          </w:p>
        </w:tc>
      </w:tr>
      <w:tr>
        <w:tc>
          <w:tcPr>
            <w:tcW w:type="dxa" w:w="2412"/>
            <w:shd w:val="clear" w:color="auto" w:fill="F8F9FA"/>
          </w:tcPr>
          <w:p>
            <w:r>
              <w:rPr>
                <w:color w:val="7F8C8D"/>
                <w:sz w:val="16"/>
              </w:rPr>
              <w:t>_SYS.3.2a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all outbound transfers are encrypted</w:t>
            </w:r>
          </w:p>
        </w:tc>
      </w:tr>
      <w:tr>
        <w:tc>
          <w:tcPr>
            <w:tcW w:type="dxa" w:w="2412"/>
            <w:shd w:val="clear" w:color="auto" w:fill="FFFFFF"/>
          </w:tcPr>
          <w:p>
            <w:r>
              <w:rPr>
                <w:color w:val="7F8C8D"/>
                <w:sz w:val="16"/>
              </w:rPr>
              <w:t>_SYS.3.3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_SYS.3.3a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Google Workspace → Lightspeed (identity and OU sync for policy assignment). This is the only automated connection. Set up by current IT director in 2023. Still active and needed.</w:t>
            </w:r>
          </w:p>
        </w:tc>
      </w:tr>
      <w:tr>
        <w:tc>
          <w:tcPr>
            <w:tcW w:type="dxa" w:w="2412"/>
            <w:shd w:val="clear" w:color="auto" w:fill="FFFFFF"/>
          </w:tcPr>
          <w:p>
            <w:r>
              <w:rPr>
                <w:color w:val="7F8C8D"/>
                <w:sz w:val="16"/>
              </w:rPr>
              <w:t>_SYS.3.4</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_SYS.3.5</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_SYS.4.1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signed DPA on file</w:t>
            </w:r>
          </w:p>
        </w:tc>
      </w:tr>
      <w:tr>
        <w:tc>
          <w:tcPr>
            <w:tcW w:type="dxa" w:w="2412"/>
            <w:shd w:val="clear" w:color="auto" w:fill="F8F9FA"/>
          </w:tcPr>
          <w:p>
            <w:r>
              <w:rPr>
                <w:color w:val="7F8C8D"/>
                <w:sz w:val="16"/>
              </w:rPr>
              <w:t>_SYS.4.2</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timeframe not specified</w:t>
            </w:r>
          </w:p>
        </w:tc>
      </w:tr>
      <w:tr>
        <w:tc>
          <w:tcPr>
            <w:tcW w:type="dxa" w:w="2412"/>
            <w:shd w:val="clear" w:color="auto" w:fill="FFFFFF"/>
          </w:tcPr>
          <w:p>
            <w:r>
              <w:rPr>
                <w:color w:val="7F8C8D"/>
                <w:sz w:val="16"/>
              </w:rPr>
              <w:t>_SYS.4.3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deletion required with written confirmation</w:t>
            </w:r>
          </w:p>
        </w:tc>
      </w:tr>
      <w:tr>
        <w:tc>
          <w:tcPr>
            <w:tcW w:type="dxa" w:w="2412"/>
            <w:shd w:val="clear" w:color="auto" w:fill="F8F9FA"/>
          </w:tcPr>
          <w:p>
            <w:r>
              <w:rPr>
                <w:color w:val="7F8C8D"/>
                <w:sz w:val="16"/>
              </w:rPr>
              <w:t>_SYS.4.4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reviewed published documentation only</w:t>
            </w:r>
          </w:p>
        </w:tc>
      </w:tr>
      <w:tr>
        <w:tc>
          <w:tcPr>
            <w:tcW w:type="dxa" w:w="2412"/>
            <w:shd w:val="clear" w:color="auto" w:fill="FFFFFF"/>
          </w:tcPr>
          <w:p>
            <w:r>
              <w:rPr>
                <w:color w:val="7F8C8D"/>
                <w:sz w:val="16"/>
              </w:rPr>
              <w:t>_SYS.5.1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Security and audit logs, Student academic records (grades, transcripts, reports)</w:t>
            </w:r>
          </w:p>
        </w:tc>
      </w:tr>
      <w:tr>
        <w:tc>
          <w:tcPr>
            <w:tcW w:type="dxa" w:w="2412"/>
            <w:shd w:val="clear" w:color="auto" w:fill="F8F9FA"/>
          </w:tcPr>
          <w:p>
            <w:r>
              <w:rPr>
                <w:color w:val="7F8C8D"/>
                <w:sz w:val="16"/>
              </w:rPr>
              <w:t>_SYS.5.2</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Browsing activity logs: retention period not formally defined by school policy. Lightspeed's default retention is unknown. This should be reviewed with the vendor.</w:t>
            </w:r>
          </w:p>
        </w:tc>
      </w:tr>
      <w:tr>
        <w:tc>
          <w:tcPr>
            <w:tcW w:type="dxa" w:w="2412"/>
            <w:shd w:val="clear" w:color="auto" w:fill="FFFFFF"/>
          </w:tcPr>
          <w:p>
            <w:r>
              <w:rPr>
                <w:color w:val="7F8C8D"/>
                <w:sz w:val="16"/>
              </w:rPr>
              <w:t>_SYS.5.3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Vendor handles deletion — not confirmed</w:t>
            </w:r>
          </w:p>
        </w:tc>
      </w:tr>
      <w:tr>
        <w:tc>
          <w:tcPr>
            <w:tcW w:type="dxa" w:w="2412"/>
            <w:shd w:val="clear" w:color="auto" w:fill="F8F9FA"/>
          </w:tcPr>
          <w:p>
            <w:r>
              <w:rPr>
                <w:color w:val="7F8C8D"/>
                <w:sz w:val="16"/>
              </w:rPr>
              <w:t>_SYS.ID.dept</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IT — student content filtering across all school-managed devices</w:t>
            </w:r>
          </w:p>
        </w:tc>
      </w:tr>
      <w:tr>
        <w:tc>
          <w:tcPr>
            <w:tcW w:type="dxa" w:w="2412"/>
            <w:shd w:val="clear" w:color="auto" w:fill="FFFFFF"/>
          </w:tcPr>
          <w:p>
            <w:r>
              <w:rPr>
                <w:color w:val="7F8C8D"/>
                <w:sz w:val="16"/>
              </w:rPr>
              <w:t>_SYS.ID.name</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Lightspeed Filter</w:t>
            </w:r>
          </w:p>
        </w:tc>
      </w:tr>
      <w:tr>
        <w:tc>
          <w:tcPr>
            <w:tcW w:type="dxa" w:w="2412"/>
            <w:shd w:val="clear" w:color="auto" w:fill="F8F9FA"/>
          </w:tcPr>
          <w:p>
            <w:r>
              <w:rPr>
                <w:color w:val="7F8C8D"/>
                <w:sz w:val="16"/>
              </w:rPr>
              <w:t>_SYS.ID.status</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_SYS.ID.vendor</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Lightspeed Systems</w:t>
            </w:r>
          </w:p>
        </w:tc>
      </w:tr>
    </w:tbl>
    <w:p>
      <w:pPr>
        <w:spacing w:after="120"/>
      </w:pPr>
    </w:p>
    <w:p>
      <w:pPr>
        <w:spacing w:before="200" w:after="100"/>
      </w:pPr>
      <w:r>
        <w:rPr>
          <w:b/>
          <w:color w:val="1A5276"/>
          <w:sz w:val="26"/>
        </w:rPr>
        <w:t>5. Bark for Schools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_SYS.1.1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_SYS.1.1a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_SYS.1.2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_SYS.1.2a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_SYS.1.3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_SYS.1.4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_SYS.1.5</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_SYS.2.1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_SYS.2.1a</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_SYS.2.1b</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_SYS.2.5v</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Informal plan — relies on memory or ad-hoc decisions</w:t>
            </w:r>
          </w:p>
        </w:tc>
      </w:tr>
      <w:tr>
        <w:tc>
          <w:tcPr>
            <w:tcW w:type="dxa" w:w="2412"/>
            <w:shd w:val="clear" w:color="auto" w:fill="F8F9FA"/>
          </w:tcPr>
          <w:p>
            <w:r>
              <w:rPr>
                <w:color w:val="7F8C8D"/>
                <w:sz w:val="16"/>
              </w:rPr>
              <w:t>_SYS.3.1</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connects to student Google Workspace accounts via OAuth. It reads email, Drive activity metadata, and Google Chat messages for safety signal analysis. No other inbound data sources.</w:t>
            </w:r>
          </w:p>
        </w:tc>
      </w:tr>
      <w:tr>
        <w:tc>
          <w:tcPr>
            <w:tcW w:type="dxa" w:w="2412"/>
            <w:shd w:val="clear" w:color="auto" w:fill="FFFFFF"/>
          </w:tcPr>
          <w:p>
            <w:r>
              <w:rPr>
                <w:color w:val="7F8C8D"/>
                <w:sz w:val="16"/>
              </w:rPr>
              <w:t>_SYS.3.2</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Bark sends email and push notification alerts to designated school staff (IT director, Head Counselor) when safety signals are detected. Alert content includes excerpts of student communications. No o</w:t>
            </w:r>
          </w:p>
        </w:tc>
      </w:tr>
      <w:tr>
        <w:tc>
          <w:tcPr>
            <w:tcW w:type="dxa" w:w="2412"/>
            <w:shd w:val="clear" w:color="auto" w:fill="F8F9FA"/>
          </w:tcPr>
          <w:p>
            <w:r>
              <w:rPr>
                <w:color w:val="7F8C8D"/>
                <w:sz w:val="16"/>
              </w:rPr>
              <w:t>_SYS.3.2a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all outbound transfers are encrypted</w:t>
            </w:r>
          </w:p>
        </w:tc>
      </w:tr>
      <w:tr>
        <w:tc>
          <w:tcPr>
            <w:tcW w:type="dxa" w:w="2412"/>
            <w:shd w:val="clear" w:color="auto" w:fill="FFFFFF"/>
          </w:tcPr>
          <w:p>
            <w:r>
              <w:rPr>
                <w:color w:val="7F8C8D"/>
                <w:sz w:val="16"/>
              </w:rPr>
              <w:t>_SYS.3.3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_SYS.3.3a</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Google Workspace → Bark (OAuth connection reading student email, Drive, and Chat). Set up by current IT director in 2023. Active and needed. OAuth scopes should be reviewed annually — last reviewed at</w:t>
            </w:r>
          </w:p>
        </w:tc>
      </w:tr>
      <w:tr>
        <w:tc>
          <w:tcPr>
            <w:tcW w:type="dxa" w:w="2412"/>
            <w:shd w:val="clear" w:color="auto" w:fill="FFFFFF"/>
          </w:tcPr>
          <w:p>
            <w:r>
              <w:rPr>
                <w:color w:val="7F8C8D"/>
                <w:sz w:val="16"/>
              </w:rPr>
              <w:t>_SYS.3.4</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_SYS.3.5</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_SYS.4.1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signed DPA on file</w:t>
            </w:r>
          </w:p>
        </w:tc>
      </w:tr>
      <w:tr>
        <w:tc>
          <w:tcPr>
            <w:tcW w:type="dxa" w:w="2412"/>
            <w:shd w:val="clear" w:color="auto" w:fill="F8F9FA"/>
          </w:tcPr>
          <w:p>
            <w:r>
              <w:rPr>
                <w:color w:val="7F8C8D"/>
                <w:sz w:val="16"/>
              </w:rPr>
              <w:t>_SYS.4.2</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72 hours or less</w:t>
            </w:r>
          </w:p>
        </w:tc>
      </w:tr>
      <w:tr>
        <w:tc>
          <w:tcPr>
            <w:tcW w:type="dxa" w:w="2412"/>
            <w:shd w:val="clear" w:color="auto" w:fill="FFFFFF"/>
          </w:tcPr>
          <w:p>
            <w:r>
              <w:rPr>
                <w:color w:val="7F8C8D"/>
                <w:sz w:val="16"/>
              </w:rPr>
              <w:t>_SYS.4.3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deletion required with written confirmation</w:t>
            </w:r>
          </w:p>
        </w:tc>
      </w:tr>
      <w:tr>
        <w:tc>
          <w:tcPr>
            <w:tcW w:type="dxa" w:w="2412"/>
            <w:shd w:val="clear" w:color="auto" w:fill="F8F9FA"/>
          </w:tcPr>
          <w:p>
            <w:r>
              <w:rPr>
                <w:color w:val="7F8C8D"/>
                <w:sz w:val="16"/>
              </w:rPr>
              <w:t>_SYS.4.4</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reviewed published documentation only</w:t>
            </w:r>
          </w:p>
        </w:tc>
      </w:tr>
      <w:tr>
        <w:tc>
          <w:tcPr>
            <w:tcW w:type="dxa" w:w="2412"/>
            <w:shd w:val="clear" w:color="auto" w:fill="FFFFFF"/>
          </w:tcPr>
          <w:p>
            <w:r>
              <w:rPr>
                <w:color w:val="7F8C8D"/>
                <w:sz w:val="16"/>
              </w:rPr>
              <w:t>_SYS.5.1</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behavioral records (discipline, incidents), Communications (email, messages, chat)</w:t>
            </w:r>
          </w:p>
        </w:tc>
      </w:tr>
      <w:tr>
        <w:tc>
          <w:tcPr>
            <w:tcW w:type="dxa" w:w="2412"/>
            <w:shd w:val="clear" w:color="auto" w:fill="F8F9FA"/>
          </w:tcPr>
          <w:p>
            <w:r>
              <w:rPr>
                <w:color w:val="7F8C8D"/>
                <w:sz w:val="16"/>
              </w:rPr>
              <w:t>_SYS.5.2</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Alert records: retained within Bark for an unknown period. The school does not export alert records to a separate system. No retention schedule has been defined for Bark alert data.</w:t>
            </w:r>
          </w:p>
        </w:tc>
      </w:tr>
      <w:tr>
        <w:tc>
          <w:tcPr>
            <w:tcW w:type="dxa" w:w="2412"/>
            <w:shd w:val="clear" w:color="auto" w:fill="FFFFFF"/>
          </w:tcPr>
          <w:p>
            <w:r>
              <w:rPr>
                <w:color w:val="7F8C8D"/>
                <w:sz w:val="16"/>
              </w:rPr>
              <w:t>_SYS.5.3</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Vendor handles deletion — not confirmed</w:t>
            </w:r>
          </w:p>
        </w:tc>
      </w:tr>
      <w:tr>
        <w:tc>
          <w:tcPr>
            <w:tcW w:type="dxa" w:w="2412"/>
            <w:shd w:val="clear" w:color="auto" w:fill="F8F9FA"/>
          </w:tcPr>
          <w:p>
            <w:r>
              <w:rPr>
                <w:color w:val="7F8C8D"/>
                <w:sz w:val="16"/>
              </w:rPr>
              <w:t>_SYS.ID.dept</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IT and School Counseling — student safety monitoring</w:t>
            </w:r>
          </w:p>
        </w:tc>
      </w:tr>
      <w:tr>
        <w:tc>
          <w:tcPr>
            <w:tcW w:type="dxa" w:w="2412"/>
            <w:shd w:val="clear" w:color="auto" w:fill="FFFFFF"/>
          </w:tcPr>
          <w:p>
            <w:r>
              <w:rPr>
                <w:color w:val="7F8C8D"/>
                <w:sz w:val="16"/>
              </w:rPr>
              <w:t>_SYS.ID.name</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Bark for Schools</w:t>
            </w:r>
          </w:p>
        </w:tc>
      </w:tr>
      <w:tr>
        <w:tc>
          <w:tcPr>
            <w:tcW w:type="dxa" w:w="2412"/>
            <w:shd w:val="clear" w:color="auto" w:fill="F8F9FA"/>
          </w:tcPr>
          <w:p>
            <w:r>
              <w:rPr>
                <w:color w:val="7F8C8D"/>
                <w:sz w:val="16"/>
              </w:rPr>
              <w:t>_SYS.ID.status</w:t>
            </w:r>
          </w:p>
        </w:tc>
        <w:tc>
          <w:tcPr>
            <w:tcW w:type="dxa" w:w="2412"/>
            <w:shd w:val="clear" w:color="auto" w:fill="F8F9FA"/>
          </w:tcPr>
          <w:p>
            <w:r>
              <w:rPr>
                <w:color w:val="7F8C8D"/>
                <w:sz w:val="16"/>
              </w:rPr>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_SYS.ID.vendor</w:t>
            </w:r>
          </w:p>
        </w:tc>
        <w:tc>
          <w:tcPr>
            <w:tcW w:type="dxa" w:w="2412"/>
            <w:shd w:val="clear" w:color="auto" w:fill="FFFFFF"/>
          </w:tcPr>
          <w:p>
            <w:r>
              <w:rPr>
                <w:color w:val="7F8C8D"/>
                <w:sz w:val="16"/>
              </w:rPr>
            </w:r>
          </w:p>
        </w:tc>
        <w:tc>
          <w:tcPr>
            <w:tcW w:type="dxa" w:w="2412"/>
            <w:shd w:val="clear" w:color="auto" w:fill="FFFFFF"/>
          </w:tcPr>
          <w:p>
            <w:r>
              <w:rPr>
                <w:color w:val="2C3E50"/>
                <w:sz w:val="16"/>
              </w:rPr>
              <w:t>answered</w:t>
            </w:r>
          </w:p>
        </w:tc>
        <w:tc>
          <w:tcPr>
            <w:tcW w:type="dxa" w:w="2412"/>
            <w:shd w:val="clear" w:color="auto" w:fill="FFFFFF"/>
          </w:tcPr>
          <w:p>
            <w:r>
              <w:rPr>
                <w:color w:val="2C3E50"/>
                <w:sz w:val="16"/>
              </w:rPr>
              <w:t>Bark Technologies, Inc.</w:t>
            </w:r>
          </w:p>
        </w:tc>
      </w:tr>
    </w:tbl>
    <w:p>
      <w:pPr>
        <w:spacing w:after="120"/>
      </w:pP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pPr>
    <w:r>
      <w:rPr>
        <w:b w:val="0"/>
        <w:i w:val="0"/>
        <w:color w:val="7F8C8D"/>
        <w:sz w:val="16"/>
      </w:rPr>
      <w:t xml:space="preserve">2026-05-14    Page </w:t>
    </w:r>
    <w:r>
      <w:rPr>
        <w:color w:val="7F8C8D"/>
        <w:sz w:val="16"/>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BDC3C7"/>
      </w:pBdr>
    </w:pPr>
    <w:r>
      <w:rPr>
        <w:b w:val="0"/>
        <w:i w:val="0"/>
        <w:color w:val="7F8C8D"/>
        <w:sz w:val="16"/>
      </w:rPr>
      <w:t>Bit-By-Bit Academy  ·  Data Governance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