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85E" w:rsidRPr="00234472" w:rsidRDefault="00234472" w:rsidP="00C57181">
      <w:pPr>
        <w:shd w:val="clear" w:color="auto" w:fill="FFFFFF"/>
        <w:spacing w:before="180" w:after="180" w:line="240" w:lineRule="auto"/>
        <w:rPr>
          <w:rFonts w:ascii="Open Sans" w:eastAsia="Times New Roman" w:hAnsi="Open Sans" w:cs="Times New Roman"/>
          <w:b/>
          <w:color w:val="231F20"/>
          <w:sz w:val="36"/>
          <w:szCs w:val="36"/>
        </w:rPr>
      </w:pPr>
      <w:r w:rsidRPr="00234472">
        <w:rPr>
          <w:rFonts w:ascii="Open Sans" w:eastAsia="Times New Roman" w:hAnsi="Open Sans" w:cs="Times New Roman"/>
          <w:b/>
          <w:color w:val="231F20"/>
          <w:sz w:val="36"/>
          <w:szCs w:val="36"/>
        </w:rPr>
        <w:t xml:space="preserve">Consejo de diseño </w:t>
      </w:r>
      <w:r w:rsidR="0092785E" w:rsidRPr="00234472">
        <w:rPr>
          <w:rFonts w:ascii="Open Sans" w:eastAsia="Times New Roman" w:hAnsi="Open Sans" w:cs="Times New Roman"/>
          <w:b/>
          <w:color w:val="231F20"/>
          <w:sz w:val="36"/>
          <w:szCs w:val="36"/>
        </w:rPr>
        <w:t xml:space="preserve">142 </w:t>
      </w:r>
      <w:r w:rsidRPr="00234472">
        <w:rPr>
          <w:rFonts w:ascii="Open Sans" w:eastAsia="Times New Roman" w:hAnsi="Open Sans" w:cs="Times New Roman"/>
          <w:b/>
          <w:color w:val="231F20"/>
          <w:sz w:val="36"/>
          <w:szCs w:val="36"/>
        </w:rPr>
        <w:t>Construyendo puentes</w:t>
      </w:r>
    </w:p>
    <w:p w:rsidR="00234472" w:rsidRPr="00234472" w:rsidRDefault="00234472" w:rsidP="00755F12">
      <w:pPr>
        <w:shd w:val="clear" w:color="auto" w:fill="FFFFFF"/>
        <w:spacing w:before="180" w:after="180" w:line="240" w:lineRule="auto"/>
        <w:jc w:val="both"/>
        <w:rPr>
          <w:rFonts w:ascii="Open Sans" w:eastAsia="Times New Roman" w:hAnsi="Open Sans" w:cs="Times New Roman"/>
          <w:color w:val="231F20"/>
          <w:sz w:val="19"/>
          <w:szCs w:val="19"/>
        </w:rPr>
      </w:pPr>
      <w:r w:rsidRPr="00234472">
        <w:rPr>
          <w:rFonts w:ascii="Open Sans" w:eastAsia="Times New Roman" w:hAnsi="Open Sans" w:cs="Times New Roman"/>
          <w:color w:val="231F20"/>
          <w:sz w:val="19"/>
          <w:szCs w:val="19"/>
        </w:rPr>
        <w:t>Este</w:t>
      </w:r>
      <w:r>
        <w:rPr>
          <w:rFonts w:ascii="Open Sans" w:eastAsia="Times New Roman" w:hAnsi="Open Sans" w:cs="Times New Roman"/>
          <w:color w:val="231F20"/>
          <w:sz w:val="19"/>
          <w:szCs w:val="19"/>
        </w:rPr>
        <w:t xml:space="preserve"> consejo de diseño continúa nuestras series </w:t>
      </w:r>
      <w:r>
        <w:rPr>
          <w:rFonts w:ascii="Open Sans" w:eastAsia="Times New Roman" w:hAnsi="Open Sans" w:cs="Times New Roman" w:hint="eastAsia"/>
          <w:color w:val="231F20"/>
          <w:sz w:val="19"/>
          <w:szCs w:val="19"/>
        </w:rPr>
        <w:t>de cómo</w:t>
      </w:r>
      <w:r>
        <w:rPr>
          <w:rFonts w:ascii="Open Sans" w:eastAsia="Times New Roman" w:hAnsi="Open Sans" w:cs="Times New Roman"/>
          <w:color w:val="231F20"/>
          <w:sz w:val="19"/>
          <w:szCs w:val="19"/>
        </w:rPr>
        <w:t xml:space="preserve"> implementar patrones comunes de diseño dimensional en tu sistema ETL. La relación entre una tabla de hechos y sus dimensiones es normalmente muchos a uno. Eso significa, una fila en una dimensión, como un cliente, puede tener muchas filas en la tabla de hechos, pero una fila en la tabla de hechos debe pertenecer a sólo un cliente. S</w:t>
      </w:r>
      <w:r>
        <w:rPr>
          <w:rFonts w:ascii="Open Sans" w:eastAsia="Times New Roman" w:hAnsi="Open Sans" w:cs="Times New Roman" w:hint="eastAsia"/>
          <w:color w:val="231F20"/>
          <w:sz w:val="19"/>
          <w:szCs w:val="19"/>
        </w:rPr>
        <w:t>in embargo</w:t>
      </w:r>
      <w:r>
        <w:rPr>
          <w:rFonts w:ascii="Open Sans" w:eastAsia="Times New Roman" w:hAnsi="Open Sans" w:cs="Times New Roman"/>
          <w:color w:val="231F20"/>
          <w:sz w:val="19"/>
          <w:szCs w:val="19"/>
        </w:rPr>
        <w:t>, hay veces que una fila de la tabla de hechos puede estar asociada con más de un valor en una dimensión. Utilizamos un puente para recoger esta relación muchos a muchos.</w:t>
      </w:r>
    </w:p>
    <w:p w:rsidR="00234472" w:rsidRPr="00234472" w:rsidRDefault="00234472" w:rsidP="00755F12">
      <w:pPr>
        <w:shd w:val="clear" w:color="auto" w:fill="FFFFFF"/>
        <w:spacing w:before="180" w:after="180" w:line="240" w:lineRule="auto"/>
        <w:jc w:val="both"/>
        <w:rPr>
          <w:rFonts w:ascii="Open Sans" w:eastAsia="Times New Roman" w:hAnsi="Open Sans" w:cs="Times New Roman"/>
          <w:color w:val="231F20"/>
          <w:sz w:val="19"/>
          <w:szCs w:val="19"/>
        </w:rPr>
      </w:pPr>
      <w:r w:rsidRPr="00234472">
        <w:rPr>
          <w:rFonts w:ascii="Open Sans" w:eastAsia="Times New Roman" w:hAnsi="Open Sans" w:cs="Times New Roman"/>
          <w:color w:val="231F20"/>
          <w:sz w:val="19"/>
          <w:szCs w:val="19"/>
        </w:rPr>
        <w:t xml:space="preserve">Hay dos clases principales de tablas </w:t>
      </w:r>
      <w:r>
        <w:rPr>
          <w:rFonts w:ascii="Open Sans" w:eastAsia="Times New Roman" w:hAnsi="Open Sans" w:cs="Times New Roman" w:hint="eastAsia"/>
          <w:color w:val="231F20"/>
          <w:sz w:val="19"/>
          <w:szCs w:val="19"/>
        </w:rPr>
        <w:t xml:space="preserve">puente. </w:t>
      </w:r>
      <w:r>
        <w:rPr>
          <w:rFonts w:ascii="Open Sans" w:eastAsia="Times New Roman" w:hAnsi="Open Sans" w:cs="Times New Roman"/>
          <w:color w:val="231F20"/>
          <w:sz w:val="19"/>
          <w:szCs w:val="19"/>
        </w:rPr>
        <w:t>La primera, y la más fácil de modelar, recoge conjuntos simples de valores asociados con una única fila de hechos. Por ejemplo, un registro de ingreso en la sala de emergencias puede tener uno o más diagnósticos iniciales de la enfermedad asociados. No hay variación de tiempo en esta tabla puente porque recoge el conjunto inicial de valores que estaban en vigor cuando la transacción ocurrió.</w:t>
      </w:r>
    </w:p>
    <w:p w:rsidR="00234472" w:rsidRDefault="00234472" w:rsidP="00755F12">
      <w:pPr>
        <w:shd w:val="clear" w:color="auto" w:fill="FFFFFF"/>
        <w:spacing w:before="180" w:after="180" w:line="240" w:lineRule="auto"/>
        <w:jc w:val="both"/>
        <w:rPr>
          <w:rFonts w:ascii="Open Sans" w:eastAsia="Times New Roman" w:hAnsi="Open Sans" w:cs="Times New Roman"/>
          <w:color w:val="231F20"/>
          <w:sz w:val="19"/>
          <w:szCs w:val="19"/>
        </w:rPr>
      </w:pPr>
      <w:r w:rsidRPr="00234472">
        <w:rPr>
          <w:rFonts w:ascii="Open Sans" w:eastAsia="Times New Roman" w:hAnsi="Open Sans" w:cs="Times New Roman"/>
          <w:color w:val="231F20"/>
          <w:sz w:val="19"/>
          <w:szCs w:val="19"/>
        </w:rPr>
        <w:t xml:space="preserve">El </w:t>
      </w:r>
      <w:r w:rsidRPr="00234472">
        <w:rPr>
          <w:rFonts w:ascii="Open Sans" w:eastAsia="Times New Roman" w:hAnsi="Open Sans" w:cs="Times New Roman" w:hint="eastAsia"/>
          <w:color w:val="231F20"/>
          <w:sz w:val="19"/>
          <w:szCs w:val="19"/>
        </w:rPr>
        <w:t xml:space="preserve">segundo </w:t>
      </w:r>
      <w:r w:rsidRPr="00234472">
        <w:rPr>
          <w:rFonts w:ascii="Open Sans" w:eastAsia="Times New Roman" w:hAnsi="Open Sans" w:cs="Times New Roman"/>
          <w:color w:val="231F20"/>
          <w:sz w:val="19"/>
          <w:szCs w:val="19"/>
        </w:rPr>
        <w:t xml:space="preserve">tipo de relación muchos a muchos existe independientemente de las transacciones medidas. </w:t>
      </w:r>
      <w:r>
        <w:rPr>
          <w:rFonts w:ascii="Open Sans" w:eastAsia="Times New Roman" w:hAnsi="Open Sans" w:cs="Times New Roman"/>
          <w:color w:val="231F20"/>
          <w:sz w:val="19"/>
          <w:szCs w:val="19"/>
        </w:rPr>
        <w:t>La relación entre cliente y cuenta es un buen ejemplo. Un cliente puede tener una o más cuentas, y una cuenta puede pertenecer a uno o más clientes, y esta relación puede variar en el tiempo.</w:t>
      </w:r>
    </w:p>
    <w:p w:rsidR="00C57181" w:rsidRPr="00234472" w:rsidRDefault="00234472" w:rsidP="00755F12">
      <w:pPr>
        <w:shd w:val="clear" w:color="auto" w:fill="FFFFFF"/>
        <w:spacing w:before="180" w:after="180" w:line="240" w:lineRule="auto"/>
        <w:jc w:val="both"/>
        <w:rPr>
          <w:rFonts w:ascii="Open Sans" w:eastAsia="Times New Roman" w:hAnsi="Open Sans" w:cs="Times New Roman"/>
          <w:color w:val="231F20"/>
          <w:sz w:val="19"/>
          <w:szCs w:val="19"/>
        </w:rPr>
      </w:pPr>
      <w:r>
        <w:rPr>
          <w:rFonts w:ascii="Open Sans" w:eastAsia="Times New Roman" w:hAnsi="Open Sans" w:cs="Times New Roman"/>
          <w:color w:val="231F20"/>
          <w:sz w:val="19"/>
          <w:szCs w:val="19"/>
        </w:rPr>
        <w:t xml:space="preserve">Este </w:t>
      </w:r>
      <w:r w:rsidR="00904526">
        <w:rPr>
          <w:rFonts w:ascii="Open Sans" w:eastAsia="Times New Roman" w:hAnsi="Open Sans" w:cs="Times New Roman"/>
          <w:color w:val="231F20"/>
          <w:sz w:val="19"/>
          <w:szCs w:val="19"/>
        </w:rPr>
        <w:t xml:space="preserve">consejo de diseño indica los pasos para crear una tabla puente simple y estática, este enfoque puede extenderse para dar apoyo a una tabla puente más compleja que incluya la variable tiempo. </w:t>
      </w:r>
    </w:p>
    <w:p w:rsidR="00755F12" w:rsidRPr="00755F12" w:rsidRDefault="00755F12" w:rsidP="00C57181">
      <w:pPr>
        <w:shd w:val="clear" w:color="auto" w:fill="FFFFFF"/>
        <w:spacing w:before="180" w:after="180" w:line="240" w:lineRule="auto"/>
        <w:rPr>
          <w:rFonts w:ascii="Open Sans" w:eastAsia="Times New Roman" w:hAnsi="Open Sans" w:cs="Times New Roman"/>
          <w:b/>
          <w:bCs/>
          <w:color w:val="231F20"/>
          <w:sz w:val="19"/>
        </w:rPr>
      </w:pPr>
      <w:r w:rsidRPr="00755F12">
        <w:rPr>
          <w:rFonts w:ascii="Open Sans" w:eastAsia="Times New Roman" w:hAnsi="Open Sans" w:cs="Times New Roman"/>
          <w:b/>
          <w:bCs/>
          <w:color w:val="231F20"/>
          <w:sz w:val="19"/>
        </w:rPr>
        <w:t>Carga histórica</w:t>
      </w:r>
    </w:p>
    <w:p w:rsidR="00755F12" w:rsidRPr="00755F12" w:rsidRDefault="00C57181" w:rsidP="00755F12">
      <w:pPr>
        <w:shd w:val="clear" w:color="auto" w:fill="FFFFFF"/>
        <w:spacing w:before="180" w:after="180" w:line="240" w:lineRule="auto"/>
        <w:jc w:val="both"/>
        <w:rPr>
          <w:rFonts w:ascii="Open Sans" w:eastAsia="Times New Roman" w:hAnsi="Open Sans" w:cs="Times New Roman"/>
          <w:color w:val="231F20"/>
          <w:sz w:val="19"/>
          <w:szCs w:val="19"/>
        </w:rPr>
      </w:pPr>
      <w:r w:rsidRPr="00755F12">
        <w:rPr>
          <w:rFonts w:ascii="Open Sans" w:eastAsia="Times New Roman" w:hAnsi="Open Sans" w:cs="Times New Roman"/>
          <w:color w:val="231F20"/>
          <w:sz w:val="19"/>
          <w:szCs w:val="19"/>
        </w:rPr>
        <w:br/>
      </w:r>
      <w:r w:rsidR="00755F12" w:rsidRPr="00755F12">
        <w:rPr>
          <w:rFonts w:ascii="Open Sans" w:eastAsia="Times New Roman" w:hAnsi="Open Sans" w:cs="Times New Roman"/>
          <w:color w:val="231F20"/>
          <w:sz w:val="19"/>
          <w:szCs w:val="19"/>
        </w:rPr>
        <w:t>Los pasos involucrados en crear la</w:t>
      </w:r>
      <w:r w:rsidR="00755F12">
        <w:rPr>
          <w:rFonts w:ascii="Open Sans" w:eastAsia="Times New Roman" w:hAnsi="Open Sans" w:cs="Times New Roman"/>
          <w:color w:val="231F20"/>
          <w:sz w:val="19"/>
          <w:szCs w:val="19"/>
        </w:rPr>
        <w:t xml:space="preserve"> tabla puente histórica dependen en cómo se recogen los  datos del sistema fuente. </w:t>
      </w:r>
      <w:r w:rsidR="00755F12" w:rsidRPr="00755F12">
        <w:rPr>
          <w:rFonts w:ascii="Open Sans" w:eastAsia="Times New Roman" w:hAnsi="Open Sans" w:cs="Times New Roman"/>
          <w:color w:val="231F20"/>
          <w:sz w:val="19"/>
          <w:szCs w:val="19"/>
        </w:rPr>
        <w:t>Suponemos que la fuente recoge los datos que asocian el conjunto de dimensión IDs  multivalorado</w:t>
      </w:r>
      <w:r w:rsidR="00755F12">
        <w:rPr>
          <w:rFonts w:ascii="Open Sans" w:eastAsia="Times New Roman" w:hAnsi="Open Sans" w:cs="Times New Roman"/>
          <w:color w:val="231F20"/>
          <w:sz w:val="19"/>
          <w:szCs w:val="19"/>
        </w:rPr>
        <w:t xml:space="preserve"> co</w:t>
      </w:r>
      <w:r w:rsidR="00755F12" w:rsidRPr="00755F12">
        <w:rPr>
          <w:rFonts w:ascii="Open Sans" w:eastAsia="Times New Roman" w:hAnsi="Open Sans" w:cs="Times New Roman"/>
          <w:color w:val="231F20"/>
          <w:sz w:val="19"/>
          <w:szCs w:val="19"/>
        </w:rPr>
        <w:t>n cada transacci</w:t>
      </w:r>
      <w:r w:rsidR="00755F12">
        <w:rPr>
          <w:rFonts w:ascii="Open Sans" w:eastAsia="Times New Roman" w:hAnsi="Open Sans" w:cs="Times New Roman"/>
          <w:color w:val="231F20"/>
          <w:sz w:val="19"/>
          <w:szCs w:val="19"/>
        </w:rPr>
        <w:t>ón ID. En el ejemplo de diagnóstico, esto sería una tabla con una fila para cada registro de admisión ID y diagnóstico ID. Observa que esta tabla tendrá más filas que el número de admisiones individuales.</w:t>
      </w:r>
    </w:p>
    <w:p w:rsidR="00755F12" w:rsidRPr="00755F12" w:rsidRDefault="00C57181" w:rsidP="00755F12">
      <w:pPr>
        <w:shd w:val="clear" w:color="auto" w:fill="FFFFFF"/>
        <w:spacing w:before="180" w:after="180" w:line="240" w:lineRule="auto"/>
        <w:jc w:val="both"/>
        <w:rPr>
          <w:rFonts w:ascii="Open Sans" w:eastAsia="Times New Roman" w:hAnsi="Open Sans" w:cs="Times New Roman"/>
          <w:b/>
          <w:bCs/>
          <w:color w:val="231F20"/>
          <w:sz w:val="19"/>
        </w:rPr>
      </w:pPr>
      <w:r w:rsidRPr="00755F12">
        <w:rPr>
          <w:rFonts w:ascii="Open Sans" w:eastAsia="Times New Roman" w:hAnsi="Open Sans" w:cs="Times New Roman"/>
          <w:b/>
          <w:bCs/>
          <w:color w:val="231F20"/>
          <w:sz w:val="19"/>
        </w:rPr>
        <w:t>Crea</w:t>
      </w:r>
      <w:r w:rsidR="00755F12" w:rsidRPr="00755F12">
        <w:rPr>
          <w:rFonts w:ascii="Open Sans" w:eastAsia="Times New Roman" w:hAnsi="Open Sans" w:cs="Times New Roman"/>
          <w:b/>
          <w:bCs/>
          <w:color w:val="231F20"/>
          <w:sz w:val="19"/>
        </w:rPr>
        <w:t>r la lista de grupos inicial</w:t>
      </w:r>
    </w:p>
    <w:p w:rsidR="00755F12" w:rsidRPr="00755F12" w:rsidRDefault="00755F12" w:rsidP="00755F12">
      <w:pPr>
        <w:shd w:val="clear" w:color="auto" w:fill="FFFFFF"/>
        <w:spacing w:before="180" w:after="180" w:line="240" w:lineRule="auto"/>
        <w:jc w:val="both"/>
        <w:rPr>
          <w:rFonts w:ascii="Open Sans" w:eastAsia="Times New Roman" w:hAnsi="Open Sans" w:cs="Times New Roman"/>
          <w:color w:val="231F20"/>
          <w:sz w:val="19"/>
          <w:szCs w:val="19"/>
        </w:rPr>
      </w:pPr>
      <w:r w:rsidRPr="00755F12">
        <w:rPr>
          <w:rFonts w:ascii="Open Sans" w:eastAsia="Times New Roman" w:hAnsi="Open Sans" w:cs="Times New Roman"/>
          <w:color w:val="231F20"/>
          <w:sz w:val="19"/>
          <w:szCs w:val="19"/>
        </w:rPr>
        <w:t xml:space="preserve">Desde que la </w:t>
      </w:r>
      <w:r w:rsidR="00A110D3" w:rsidRPr="00755F12">
        <w:rPr>
          <w:rFonts w:ascii="Open Sans" w:eastAsia="Times New Roman" w:hAnsi="Open Sans" w:cs="Times New Roman"/>
          <w:color w:val="231F20"/>
          <w:sz w:val="19"/>
          <w:szCs w:val="19"/>
        </w:rPr>
        <w:t>fuente</w:t>
      </w:r>
      <w:r w:rsidRPr="00755F12">
        <w:rPr>
          <w:rFonts w:ascii="Open Sans" w:eastAsia="Times New Roman" w:hAnsi="Open Sans" w:cs="Times New Roman"/>
          <w:color w:val="231F20"/>
          <w:sz w:val="19"/>
          <w:szCs w:val="19"/>
        </w:rPr>
        <w:t xml:space="preserve"> se </w:t>
      </w:r>
      <w:r w:rsidR="00A110D3" w:rsidRPr="00755F12">
        <w:rPr>
          <w:rFonts w:ascii="Open Sans" w:eastAsia="Times New Roman" w:hAnsi="Open Sans" w:cs="Times New Roman"/>
          <w:color w:val="231F20"/>
          <w:sz w:val="19"/>
          <w:szCs w:val="19"/>
        </w:rPr>
        <w:t>normalice</w:t>
      </w:r>
      <w:r>
        <w:rPr>
          <w:rFonts w:ascii="Open Sans" w:eastAsia="Times New Roman" w:hAnsi="Open Sans" w:cs="Times New Roman"/>
          <w:color w:val="231F20"/>
          <w:sz w:val="19"/>
          <w:szCs w:val="19"/>
        </w:rPr>
        <w:t xml:space="preserve"> y tiene una fila por valor dimensional, el primer paso es crear una lista única del grupo de diagnóstico que tiene lugar en la tabla de transacciones. Esto implica agrupar los conjuntos de diagnósticos, </w:t>
      </w:r>
      <w:r w:rsidR="00A110D3">
        <w:rPr>
          <w:rFonts w:ascii="Open Sans" w:eastAsia="Times New Roman" w:hAnsi="Open Sans" w:cs="Times New Roman"/>
          <w:color w:val="231F20"/>
          <w:sz w:val="19"/>
          <w:szCs w:val="19"/>
        </w:rPr>
        <w:t>decuplicar</w:t>
      </w:r>
      <w:r>
        <w:rPr>
          <w:rFonts w:ascii="Open Sans" w:eastAsia="Times New Roman" w:hAnsi="Open Sans" w:cs="Times New Roman"/>
          <w:color w:val="231F20"/>
          <w:sz w:val="19"/>
          <w:szCs w:val="19"/>
        </w:rPr>
        <w:t xml:space="preserve"> la lista de grupo, y asignar una clave única a cada grupo. Normalmente esto es más fácil de hacer en SQL creando una nueva tabla que soporte la lista de grupos. Utilizando el ejemplo de </w:t>
      </w:r>
      <w:r w:rsidR="00A110D3">
        <w:rPr>
          <w:rFonts w:ascii="Open Sans" w:eastAsia="Times New Roman" w:hAnsi="Open Sans" w:cs="Times New Roman"/>
          <w:color w:val="231F20"/>
          <w:sz w:val="19"/>
          <w:szCs w:val="19"/>
        </w:rPr>
        <w:t>diagnostico</w:t>
      </w:r>
      <w:r>
        <w:rPr>
          <w:rFonts w:ascii="Open Sans" w:eastAsia="Times New Roman" w:hAnsi="Open Sans" w:cs="Times New Roman"/>
          <w:color w:val="231F20"/>
          <w:sz w:val="19"/>
          <w:szCs w:val="19"/>
        </w:rPr>
        <w:t>, la  Figura 1 muestra como las primeras filas del sistema transaccional se agruparán y deduplicarán en la tabla Grupo de diagnóstico.</w:t>
      </w:r>
    </w:p>
    <w:p w:rsidR="00C57181" w:rsidRPr="00C57181" w:rsidRDefault="00C57181" w:rsidP="00C57181">
      <w:pPr>
        <w:shd w:val="clear" w:color="auto" w:fill="FFFFFF"/>
        <w:spacing w:before="180" w:after="180" w:line="240" w:lineRule="auto"/>
        <w:rPr>
          <w:rFonts w:ascii="Open Sans" w:eastAsia="Times New Roman" w:hAnsi="Open Sans" w:cs="Times New Roman"/>
          <w:color w:val="231F20"/>
          <w:sz w:val="19"/>
          <w:szCs w:val="19"/>
          <w:lang w:val="en-US"/>
        </w:rPr>
      </w:pPr>
      <w:r w:rsidRPr="00755F12">
        <w:rPr>
          <w:rFonts w:ascii="Open Sans" w:eastAsia="Times New Roman" w:hAnsi="Open Sans" w:cs="Times New Roman"/>
          <w:color w:val="231F20"/>
          <w:sz w:val="19"/>
          <w:szCs w:val="19"/>
        </w:rPr>
        <w:t xml:space="preserve"> </w:t>
      </w:r>
    </w:p>
    <w:p w:rsidR="00C57181" w:rsidRPr="00C57181" w:rsidRDefault="00C57181" w:rsidP="00C57181">
      <w:pPr>
        <w:shd w:val="clear" w:color="auto" w:fill="FFFFFF"/>
        <w:spacing w:after="120" w:line="240" w:lineRule="atLeast"/>
        <w:rPr>
          <w:rFonts w:ascii="Open Sans" w:eastAsia="Times New Roman" w:hAnsi="Open Sans" w:cs="Times New Roman"/>
          <w:color w:val="231F20"/>
          <w:sz w:val="19"/>
          <w:szCs w:val="19"/>
        </w:rPr>
      </w:pPr>
      <w:r>
        <w:rPr>
          <w:rFonts w:ascii="Open Sans" w:eastAsia="Times New Roman" w:hAnsi="Open Sans" w:cs="Times New Roman"/>
          <w:noProof/>
          <w:color w:val="231F20"/>
          <w:sz w:val="19"/>
          <w:szCs w:val="19"/>
        </w:rPr>
        <w:drawing>
          <wp:inline distT="0" distB="0" distL="0" distR="0">
            <wp:extent cx="5437677" cy="2400300"/>
            <wp:effectExtent l="19050" t="0" r="0" b="0"/>
            <wp:docPr id="5" name="Imagen 5" descr="http://www.kimballgroup.com/wp-content/uploads/2012/02/DT-142-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kimballgroup.com/wp-content/uploads/2012/02/DT-142-Figure-1.png"/>
                    <pic:cNvPicPr>
                      <a:picLocks noChangeAspect="1" noChangeArrowheads="1"/>
                    </pic:cNvPicPr>
                  </pic:nvPicPr>
                  <pic:blipFill>
                    <a:blip r:embed="rId5" cstate="print"/>
                    <a:srcRect/>
                    <a:stretch>
                      <a:fillRect/>
                    </a:stretch>
                  </pic:blipFill>
                  <pic:spPr bwMode="auto">
                    <a:xfrm>
                      <a:off x="0" y="0"/>
                      <a:ext cx="5437677" cy="2400300"/>
                    </a:xfrm>
                    <a:prstGeom prst="rect">
                      <a:avLst/>
                    </a:prstGeom>
                    <a:noFill/>
                    <a:ln w="9525">
                      <a:noFill/>
                      <a:miter lim="800000"/>
                      <a:headEnd/>
                      <a:tailEnd/>
                    </a:ln>
                  </pic:spPr>
                </pic:pic>
              </a:graphicData>
            </a:graphic>
          </wp:inline>
        </w:drawing>
      </w:r>
    </w:p>
    <w:p w:rsidR="00530917" w:rsidRDefault="00530917" w:rsidP="00C57181">
      <w:pPr>
        <w:shd w:val="clear" w:color="auto" w:fill="FFFFFF"/>
        <w:spacing w:before="180" w:after="180" w:line="240" w:lineRule="auto"/>
        <w:rPr>
          <w:rFonts w:ascii="Open Sans" w:eastAsia="Times New Roman" w:hAnsi="Open Sans" w:cs="Times New Roman"/>
          <w:color w:val="231F20"/>
          <w:sz w:val="19"/>
          <w:szCs w:val="19"/>
        </w:rPr>
      </w:pPr>
      <w:r w:rsidRPr="00530917">
        <w:rPr>
          <w:rFonts w:ascii="Open Sans" w:eastAsia="Times New Roman" w:hAnsi="Open Sans" w:cs="Times New Roman"/>
          <w:color w:val="231F20"/>
          <w:sz w:val="19"/>
          <w:szCs w:val="19"/>
        </w:rPr>
        <w:t>Figura</w:t>
      </w:r>
      <w:r w:rsidR="00C57181" w:rsidRPr="00530917">
        <w:rPr>
          <w:rFonts w:ascii="Open Sans" w:eastAsia="Times New Roman" w:hAnsi="Open Sans" w:cs="Times New Roman"/>
          <w:color w:val="231F20"/>
          <w:sz w:val="19"/>
          <w:szCs w:val="19"/>
        </w:rPr>
        <w:t xml:space="preserve"> 1 –</w:t>
      </w:r>
      <w:r w:rsidRPr="00530917">
        <w:rPr>
          <w:rFonts w:ascii="Open Sans" w:eastAsia="Times New Roman" w:hAnsi="Open Sans" w:cs="Times New Roman"/>
          <w:color w:val="231F20"/>
          <w:sz w:val="19"/>
          <w:szCs w:val="19"/>
        </w:rPr>
        <w:t xml:space="preserve"> Datos de transacción </w:t>
      </w:r>
      <w:r>
        <w:rPr>
          <w:rFonts w:ascii="Open Sans" w:eastAsia="Times New Roman" w:hAnsi="Open Sans" w:cs="Times New Roman"/>
          <w:color w:val="231F20"/>
          <w:sz w:val="19"/>
          <w:szCs w:val="19"/>
        </w:rPr>
        <w:t>de origen</w:t>
      </w:r>
      <w:r w:rsidRPr="00530917">
        <w:rPr>
          <w:rFonts w:ascii="Open Sans" w:eastAsia="Times New Roman" w:hAnsi="Open Sans" w:cs="Times New Roman"/>
          <w:color w:val="231F20"/>
          <w:sz w:val="19"/>
          <w:szCs w:val="19"/>
        </w:rPr>
        <w:t xml:space="preserve">  y </w:t>
      </w:r>
      <w:r w:rsidRPr="00530917">
        <w:rPr>
          <w:rFonts w:ascii="Open Sans" w:eastAsia="Times New Roman" w:hAnsi="Open Sans" w:cs="Times New Roman" w:hint="eastAsia"/>
          <w:color w:val="231F20"/>
          <w:sz w:val="19"/>
          <w:szCs w:val="19"/>
        </w:rPr>
        <w:t xml:space="preserve">tabla </w:t>
      </w:r>
      <w:r w:rsidRPr="00530917">
        <w:rPr>
          <w:rFonts w:ascii="Open Sans" w:eastAsia="Times New Roman" w:hAnsi="Open Sans" w:cs="Times New Roman"/>
          <w:color w:val="231F20"/>
          <w:sz w:val="19"/>
          <w:szCs w:val="19"/>
        </w:rPr>
        <w:t>asociada de grupo de diagn</w:t>
      </w:r>
      <w:r>
        <w:rPr>
          <w:rFonts w:ascii="Open Sans" w:eastAsia="Times New Roman" w:hAnsi="Open Sans" w:cs="Times New Roman"/>
          <w:color w:val="231F20"/>
          <w:sz w:val="19"/>
          <w:szCs w:val="19"/>
        </w:rPr>
        <w:t>óstico.</w:t>
      </w:r>
    </w:p>
    <w:p w:rsidR="00530917" w:rsidRDefault="00530917" w:rsidP="00C57181">
      <w:pPr>
        <w:shd w:val="clear" w:color="auto" w:fill="FFFFFF"/>
        <w:spacing w:before="180" w:after="180" w:line="240" w:lineRule="auto"/>
        <w:rPr>
          <w:rFonts w:ascii="Open Sans" w:eastAsia="Times New Roman" w:hAnsi="Open Sans" w:cs="Times New Roman"/>
          <w:color w:val="231F20"/>
          <w:sz w:val="19"/>
          <w:szCs w:val="19"/>
        </w:rPr>
      </w:pPr>
    </w:p>
    <w:p w:rsidR="00530917" w:rsidRDefault="00530917" w:rsidP="00C57181">
      <w:pPr>
        <w:shd w:val="clear" w:color="auto" w:fill="FFFFFF"/>
        <w:spacing w:before="180" w:after="180" w:line="240" w:lineRule="auto"/>
        <w:rPr>
          <w:rFonts w:ascii="Open Sans" w:eastAsia="Times New Roman" w:hAnsi="Open Sans" w:cs="Times New Roman"/>
          <w:color w:val="231F20"/>
          <w:sz w:val="19"/>
          <w:szCs w:val="19"/>
        </w:rPr>
      </w:pPr>
    </w:p>
    <w:p w:rsidR="00530917" w:rsidRPr="00356602" w:rsidRDefault="00530917" w:rsidP="00356602">
      <w:pPr>
        <w:shd w:val="clear" w:color="auto" w:fill="FFFFFF"/>
        <w:spacing w:before="180" w:after="180" w:line="240" w:lineRule="auto"/>
        <w:jc w:val="both"/>
        <w:rPr>
          <w:rFonts w:ascii="Open Sans" w:eastAsia="Times New Roman" w:hAnsi="Open Sans" w:cs="Times New Roman"/>
          <w:color w:val="231F20"/>
          <w:sz w:val="19"/>
          <w:szCs w:val="19"/>
        </w:rPr>
      </w:pPr>
      <w:r>
        <w:rPr>
          <w:rFonts w:ascii="Open Sans" w:eastAsia="Times New Roman" w:hAnsi="Open Sans" w:cs="Times New Roman"/>
          <w:color w:val="231F20"/>
          <w:sz w:val="19"/>
          <w:szCs w:val="19"/>
        </w:rPr>
        <w:lastRenderedPageBreak/>
        <w:t>Hay muchos modos de hacer esto en los diversos dialectos del SQL. La siguiente ve</w:t>
      </w:r>
      <w:r w:rsidR="00356602">
        <w:rPr>
          <w:rFonts w:ascii="Open Sans" w:eastAsia="Times New Roman" w:hAnsi="Open Sans" w:cs="Times New Roman"/>
          <w:color w:val="231F20"/>
          <w:sz w:val="19"/>
          <w:szCs w:val="19"/>
        </w:rPr>
        <w:t>rsión utiliza un enfoque de agre</w:t>
      </w:r>
      <w:r>
        <w:rPr>
          <w:rFonts w:ascii="Open Sans" w:eastAsia="Times New Roman" w:hAnsi="Open Sans" w:cs="Times New Roman"/>
          <w:color w:val="231F20"/>
          <w:sz w:val="19"/>
          <w:szCs w:val="19"/>
        </w:rPr>
        <w:t>gación de cadena basado en el servidor SQL</w:t>
      </w:r>
      <w:r w:rsidR="00055352">
        <w:rPr>
          <w:rFonts w:ascii="Open Sans" w:eastAsia="Times New Roman" w:hAnsi="Open Sans" w:cs="Times New Roman"/>
          <w:color w:val="231F20"/>
          <w:sz w:val="19"/>
          <w:szCs w:val="19"/>
        </w:rPr>
        <w:t xml:space="preserve">, </w:t>
      </w:r>
      <w:r w:rsidR="00356602">
        <w:rPr>
          <w:rFonts w:ascii="Open Sans" w:eastAsia="Times New Roman" w:hAnsi="Open Sans" w:cs="Times New Roman"/>
          <w:color w:val="231F20"/>
          <w:sz w:val="19"/>
          <w:szCs w:val="19"/>
        </w:rPr>
        <w:t xml:space="preserve">utilizando la función de la cadena </w:t>
      </w:r>
      <w:proofErr w:type="gramStart"/>
      <w:r w:rsidR="00356602" w:rsidRPr="00356602">
        <w:rPr>
          <w:rFonts w:ascii="Open Sans" w:eastAsia="Times New Roman" w:hAnsi="Open Sans" w:cs="Times New Roman"/>
          <w:color w:val="231F20"/>
          <w:sz w:val="19"/>
          <w:szCs w:val="19"/>
        </w:rPr>
        <w:t>STUFF(</w:t>
      </w:r>
      <w:proofErr w:type="gramEnd"/>
      <w:r w:rsidR="00356602" w:rsidRPr="00356602">
        <w:rPr>
          <w:rFonts w:ascii="Open Sans" w:eastAsia="Times New Roman" w:hAnsi="Open Sans" w:cs="Times New Roman"/>
          <w:color w:val="231F20"/>
          <w:sz w:val="19"/>
          <w:szCs w:val="19"/>
        </w:rPr>
        <w:t>)</w:t>
      </w:r>
      <w:r w:rsidR="00356602">
        <w:rPr>
          <w:rFonts w:ascii="Open Sans" w:eastAsia="Times New Roman" w:hAnsi="Open Sans" w:cs="Times New Roman"/>
          <w:color w:val="231F20"/>
          <w:sz w:val="19"/>
          <w:szCs w:val="19"/>
        </w:rPr>
        <w:t xml:space="preserve"> para hacer la concatenación, </w:t>
      </w:r>
      <w:r w:rsidR="00356602" w:rsidRPr="00356602">
        <w:rPr>
          <w:rFonts w:ascii="Open Sans" w:eastAsia="Times New Roman" w:hAnsi="Open Sans" w:cs="Times New Roman"/>
          <w:color w:val="231F20"/>
          <w:sz w:val="19"/>
          <w:szCs w:val="19"/>
        </w:rPr>
        <w:t>FOR XML PATH</w:t>
      </w:r>
      <w:r w:rsidR="00356602">
        <w:rPr>
          <w:rFonts w:ascii="Open Sans" w:eastAsia="Times New Roman" w:hAnsi="Open Sans" w:cs="Times New Roman"/>
          <w:color w:val="231F20"/>
          <w:sz w:val="19"/>
          <w:szCs w:val="19"/>
        </w:rPr>
        <w:t xml:space="preserve"> para colapsar las filas en cada conjunto de códigos de la transacción, </w:t>
      </w:r>
      <w:r w:rsidR="00356602" w:rsidRPr="00356602">
        <w:rPr>
          <w:rFonts w:ascii="Open Sans" w:eastAsia="Times New Roman" w:hAnsi="Open Sans" w:cs="Times New Roman"/>
          <w:color w:val="231F20"/>
          <w:sz w:val="19"/>
          <w:szCs w:val="19"/>
        </w:rPr>
        <w:t>SELECT DISTINCT</w:t>
      </w:r>
      <w:r w:rsidR="00356602">
        <w:rPr>
          <w:rFonts w:ascii="Open Sans" w:eastAsia="Times New Roman" w:hAnsi="Open Sans" w:cs="Times New Roman"/>
          <w:color w:val="231F20"/>
          <w:sz w:val="19"/>
          <w:szCs w:val="19"/>
        </w:rPr>
        <w:t xml:space="preserve"> para crear la lista de grupos únicos, y la función </w:t>
      </w:r>
      <w:r w:rsidR="00356602" w:rsidRPr="00356602">
        <w:rPr>
          <w:rFonts w:ascii="Open Sans" w:eastAsia="Times New Roman" w:hAnsi="Open Sans" w:cs="Times New Roman"/>
          <w:color w:val="231F20"/>
          <w:sz w:val="19"/>
          <w:szCs w:val="19"/>
        </w:rPr>
        <w:t>Row_Number()</w:t>
      </w:r>
      <w:r w:rsidR="00356602">
        <w:rPr>
          <w:rFonts w:ascii="Open Sans" w:eastAsia="Times New Roman" w:hAnsi="Open Sans" w:cs="Times New Roman"/>
          <w:color w:val="231F20"/>
          <w:sz w:val="19"/>
          <w:szCs w:val="19"/>
        </w:rPr>
        <w:t xml:space="preserve"> para asignar la clave de grupo.</w:t>
      </w:r>
    </w:p>
    <w:p w:rsidR="00C57181" w:rsidRPr="00C57181" w:rsidRDefault="00C57181" w:rsidP="00C57181">
      <w:pPr>
        <w:shd w:val="clear" w:color="auto" w:fill="FFFFFF"/>
        <w:spacing w:before="180" w:after="180" w:line="240" w:lineRule="auto"/>
        <w:rPr>
          <w:rFonts w:ascii="Open Sans" w:eastAsia="Times New Roman" w:hAnsi="Open Sans" w:cs="Times New Roman"/>
          <w:color w:val="231F20"/>
          <w:sz w:val="19"/>
          <w:szCs w:val="19"/>
          <w:lang w:val="en-US"/>
        </w:rPr>
      </w:pPr>
      <w:r w:rsidRPr="00C57181">
        <w:rPr>
          <w:rFonts w:ascii="Open Sans" w:eastAsia="Times New Roman" w:hAnsi="Open Sans" w:cs="Times New Roman"/>
          <w:color w:val="231F20"/>
          <w:sz w:val="19"/>
          <w:szCs w:val="19"/>
          <w:lang w:val="en-US"/>
        </w:rPr>
        <w:t>SELECT Row_Number() OVER ( ORDER BY Diagnosis_Code_List) AS</w:t>
      </w:r>
      <w:r w:rsidRPr="00C57181">
        <w:rPr>
          <w:rFonts w:ascii="Open Sans" w:eastAsia="Times New Roman" w:hAnsi="Open Sans" w:cs="Times New Roman"/>
          <w:color w:val="231F20"/>
          <w:sz w:val="19"/>
          <w:szCs w:val="19"/>
          <w:lang w:val="en-US"/>
        </w:rPr>
        <w:br/>
        <w:t>Diagnosis_Group_Key, Diagnosis_Code_List</w:t>
      </w:r>
      <w:r w:rsidRPr="00C57181">
        <w:rPr>
          <w:rFonts w:ascii="Open Sans" w:eastAsia="Times New Roman" w:hAnsi="Open Sans" w:cs="Times New Roman"/>
          <w:color w:val="231F20"/>
          <w:sz w:val="19"/>
          <w:szCs w:val="19"/>
          <w:lang w:val="en-US"/>
        </w:rPr>
        <w:br/>
        <w:t>INTO Diagnosis_Group</w:t>
      </w:r>
      <w:r w:rsidRPr="00C57181">
        <w:rPr>
          <w:rFonts w:ascii="Open Sans" w:eastAsia="Times New Roman" w:hAnsi="Open Sans" w:cs="Times New Roman"/>
          <w:color w:val="231F20"/>
          <w:sz w:val="19"/>
          <w:szCs w:val="19"/>
          <w:lang w:val="en-US"/>
        </w:rPr>
        <w:br/>
        <w:t>FROM(</w:t>
      </w:r>
      <w:r w:rsidRPr="00C57181">
        <w:rPr>
          <w:rFonts w:ascii="Open Sans" w:eastAsia="Times New Roman" w:hAnsi="Open Sans" w:cs="Times New Roman"/>
          <w:color w:val="231F20"/>
          <w:sz w:val="19"/>
          <w:szCs w:val="19"/>
          <w:lang w:val="en-US"/>
        </w:rPr>
        <w:br/>
        <w:t>SELECT DISTINCT Diagnosis_Code_List</w:t>
      </w:r>
      <w:r w:rsidRPr="00C57181">
        <w:rPr>
          <w:rFonts w:ascii="Open Sans" w:eastAsia="Times New Roman" w:hAnsi="Open Sans" w:cs="Times New Roman"/>
          <w:color w:val="231F20"/>
          <w:sz w:val="19"/>
          <w:szCs w:val="19"/>
          <w:lang w:val="en-US"/>
        </w:rPr>
        <w:br/>
        <w:t>FROM</w:t>
      </w:r>
      <w:r w:rsidRPr="00C57181">
        <w:rPr>
          <w:rFonts w:ascii="Open Sans" w:eastAsia="Times New Roman" w:hAnsi="Open Sans" w:cs="Times New Roman"/>
          <w:color w:val="231F20"/>
          <w:sz w:val="19"/>
          <w:szCs w:val="19"/>
          <w:lang w:val="en-US"/>
        </w:rPr>
        <w:br/>
        <w:t>(SELECT DISTINCT OuterTrans.ER_Admittance_ID,</w:t>
      </w:r>
      <w:r w:rsidRPr="00C57181">
        <w:rPr>
          <w:rFonts w:ascii="Open Sans" w:eastAsia="Times New Roman" w:hAnsi="Open Sans" w:cs="Times New Roman"/>
          <w:color w:val="231F20"/>
          <w:sz w:val="19"/>
          <w:szCs w:val="19"/>
          <w:lang w:val="en-US"/>
        </w:rPr>
        <w:br/>
      </w:r>
      <w:proofErr w:type="gramStart"/>
      <w:r w:rsidRPr="00C57181">
        <w:rPr>
          <w:rFonts w:ascii="Open Sans" w:eastAsia="Times New Roman" w:hAnsi="Open Sans" w:cs="Times New Roman"/>
          <w:color w:val="231F20"/>
          <w:sz w:val="19"/>
          <w:szCs w:val="19"/>
          <w:lang w:val="en-US"/>
        </w:rPr>
        <w:t>STUFF(</w:t>
      </w:r>
      <w:proofErr w:type="gramEnd"/>
      <w:r w:rsidRPr="00C57181">
        <w:rPr>
          <w:rFonts w:ascii="Open Sans" w:eastAsia="Times New Roman" w:hAnsi="Open Sans" w:cs="Times New Roman"/>
          <w:color w:val="231F20"/>
          <w:sz w:val="19"/>
          <w:szCs w:val="19"/>
          <w:lang w:val="en-US"/>
        </w:rPr>
        <w:t>(SELECT ‘, ‘ + CAST(Diagnosis_Code AS VARCHAR(1024))</w:t>
      </w:r>
      <w:r w:rsidRPr="00C57181">
        <w:rPr>
          <w:rFonts w:ascii="Open Sans" w:eastAsia="Times New Roman" w:hAnsi="Open Sans" w:cs="Times New Roman"/>
          <w:color w:val="231F20"/>
          <w:sz w:val="19"/>
          <w:szCs w:val="19"/>
          <w:lang w:val="en-US"/>
        </w:rPr>
        <w:br/>
        <w:t>FROM ER_Admittance_Transactions InnerTrans</w:t>
      </w:r>
      <w:r w:rsidRPr="00C57181">
        <w:rPr>
          <w:rFonts w:ascii="Open Sans" w:eastAsia="Times New Roman" w:hAnsi="Open Sans" w:cs="Times New Roman"/>
          <w:color w:val="231F20"/>
          <w:sz w:val="19"/>
          <w:szCs w:val="19"/>
          <w:lang w:val="en-US"/>
        </w:rPr>
        <w:br/>
        <w:t>WHERE InnerTrans.ER_Admittance_ID = OuterTrans.ER_Admittance_ID</w:t>
      </w:r>
      <w:r w:rsidRPr="00C57181">
        <w:rPr>
          <w:rFonts w:ascii="Open Sans" w:eastAsia="Times New Roman" w:hAnsi="Open Sans" w:cs="Times New Roman"/>
          <w:color w:val="231F20"/>
          <w:sz w:val="19"/>
          <w:szCs w:val="19"/>
          <w:lang w:val="en-US"/>
        </w:rPr>
        <w:br/>
        <w:t>ORDER BY InnerTrans.Diagnosis_Code</w:t>
      </w:r>
      <w:r w:rsidRPr="00C57181">
        <w:rPr>
          <w:rFonts w:ascii="Open Sans" w:eastAsia="Times New Roman" w:hAnsi="Open Sans" w:cs="Times New Roman"/>
          <w:color w:val="231F20"/>
          <w:sz w:val="19"/>
          <w:szCs w:val="19"/>
          <w:lang w:val="en-US"/>
        </w:rPr>
        <w:br/>
        <w:t>FOR XML PATH(”)),1,2,”) AS Diagnosis_Code_List</w:t>
      </w:r>
      <w:r w:rsidRPr="00C57181">
        <w:rPr>
          <w:rFonts w:ascii="Open Sans" w:eastAsia="Times New Roman" w:hAnsi="Open Sans" w:cs="Times New Roman"/>
          <w:color w:val="231F20"/>
          <w:sz w:val="19"/>
          <w:szCs w:val="19"/>
          <w:lang w:val="en-US"/>
        </w:rPr>
        <w:br/>
        <w:t>FROM ER_Admittance_Transactions OuterTrans</w:t>
      </w:r>
      <w:r w:rsidRPr="00C57181">
        <w:rPr>
          <w:rFonts w:ascii="Open Sans" w:eastAsia="Times New Roman" w:hAnsi="Open Sans" w:cs="Times New Roman"/>
          <w:color w:val="231F20"/>
          <w:sz w:val="19"/>
          <w:szCs w:val="19"/>
          <w:lang w:val="en-US"/>
        </w:rPr>
        <w:br/>
        <w:t>) OuterList</w:t>
      </w:r>
      <w:r w:rsidRPr="00C57181">
        <w:rPr>
          <w:rFonts w:ascii="Open Sans" w:eastAsia="Times New Roman" w:hAnsi="Open Sans" w:cs="Times New Roman"/>
          <w:color w:val="231F20"/>
          <w:sz w:val="19"/>
          <w:szCs w:val="19"/>
          <w:lang w:val="en-US"/>
        </w:rPr>
        <w:br/>
        <w:t>) FinalList;</w:t>
      </w:r>
    </w:p>
    <w:p w:rsidR="00356602" w:rsidRPr="00356602" w:rsidRDefault="00356602" w:rsidP="00677331">
      <w:pPr>
        <w:shd w:val="clear" w:color="auto" w:fill="FFFFFF"/>
        <w:spacing w:before="180" w:after="180" w:line="240" w:lineRule="auto"/>
        <w:jc w:val="both"/>
        <w:rPr>
          <w:rFonts w:ascii="Open Sans" w:eastAsia="Times New Roman" w:hAnsi="Open Sans" w:cs="Times New Roman"/>
          <w:color w:val="231F20"/>
          <w:sz w:val="19"/>
          <w:szCs w:val="19"/>
        </w:rPr>
      </w:pPr>
      <w:r w:rsidRPr="00356602">
        <w:rPr>
          <w:rFonts w:ascii="Open Sans" w:eastAsia="Times New Roman" w:hAnsi="Open Sans" w:cs="Times New Roman"/>
          <w:color w:val="231F20"/>
          <w:sz w:val="19"/>
          <w:szCs w:val="19"/>
        </w:rPr>
        <w:t xml:space="preserve">Asegúrate de que tu </w:t>
      </w:r>
      <w:r w:rsidRPr="00356602">
        <w:rPr>
          <w:rFonts w:ascii="Open Sans" w:eastAsia="Times New Roman" w:hAnsi="Open Sans" w:cs="Times New Roman" w:hint="eastAsia"/>
          <w:color w:val="231F20"/>
          <w:sz w:val="19"/>
          <w:szCs w:val="19"/>
        </w:rPr>
        <w:t>version</w:t>
      </w:r>
      <w:r w:rsidRPr="00356602">
        <w:rPr>
          <w:rFonts w:ascii="Open Sans" w:eastAsia="Times New Roman" w:hAnsi="Open Sans" w:cs="Times New Roman"/>
          <w:color w:val="231F20"/>
          <w:sz w:val="19"/>
          <w:szCs w:val="19"/>
        </w:rPr>
        <w:t xml:space="preserve"> de este c</w:t>
      </w:r>
      <w:r>
        <w:rPr>
          <w:rFonts w:ascii="Open Sans" w:eastAsia="Times New Roman" w:hAnsi="Open Sans" w:cs="Times New Roman"/>
          <w:color w:val="231F20"/>
          <w:sz w:val="19"/>
          <w:szCs w:val="19"/>
        </w:rPr>
        <w:t xml:space="preserve">ódigo mantiene la lista de grupos en un orden consistente; en algunos casos el grupo </w:t>
      </w:r>
      <w:r w:rsidRPr="00356602">
        <w:rPr>
          <w:rFonts w:ascii="Open Sans" w:eastAsia="Times New Roman" w:hAnsi="Open Sans" w:cs="Times New Roman"/>
          <w:color w:val="231F20"/>
          <w:sz w:val="19"/>
          <w:szCs w:val="19"/>
        </w:rPr>
        <w:t>‘T41.201, Z77.22’</w:t>
      </w:r>
      <w:r>
        <w:rPr>
          <w:rFonts w:ascii="Open Sans" w:eastAsia="Times New Roman" w:hAnsi="Open Sans" w:cs="Times New Roman"/>
          <w:color w:val="231F20"/>
          <w:sz w:val="19"/>
          <w:szCs w:val="19"/>
        </w:rPr>
        <w:t xml:space="preserve"> es la misma que el grupo </w:t>
      </w:r>
      <w:r w:rsidRPr="00356602">
        <w:rPr>
          <w:rFonts w:ascii="Open Sans" w:eastAsia="Times New Roman" w:hAnsi="Open Sans" w:cs="Times New Roman"/>
          <w:color w:val="231F20"/>
          <w:sz w:val="19"/>
          <w:szCs w:val="19"/>
        </w:rPr>
        <w:t>‘Z77.22, T41.20’</w:t>
      </w:r>
      <w:r>
        <w:rPr>
          <w:rFonts w:ascii="Open Sans" w:eastAsia="Times New Roman" w:hAnsi="Open Sans" w:cs="Times New Roman"/>
          <w:color w:val="231F20"/>
          <w:sz w:val="19"/>
          <w:szCs w:val="19"/>
        </w:rPr>
        <w:t xml:space="preserve">. En sanidad, el orden normalmente importante y ambos grupos serán creados, el sistema fuente proporcionará un número de secuencia que deberá ser </w:t>
      </w:r>
      <w:r w:rsidR="00A110D3">
        <w:rPr>
          <w:rFonts w:ascii="Open Sans" w:eastAsia="Times New Roman" w:hAnsi="Open Sans" w:cs="Times New Roman"/>
          <w:color w:val="231F20"/>
          <w:sz w:val="19"/>
          <w:szCs w:val="19"/>
        </w:rPr>
        <w:t>incluido</w:t>
      </w:r>
      <w:r>
        <w:rPr>
          <w:rFonts w:ascii="Open Sans" w:eastAsia="Times New Roman" w:hAnsi="Open Sans" w:cs="Times New Roman"/>
          <w:color w:val="231F20"/>
          <w:sz w:val="19"/>
          <w:szCs w:val="19"/>
        </w:rPr>
        <w:t xml:space="preserve"> en el orden interno y pasado a través de la tabla puente. Observa que la tabla de grupos de diagnóstico es más corta que la tabla fuente original. Esto se debe en parte a que hemos reducido el conjunto de filas, pero también </w:t>
      </w:r>
      <w:r>
        <w:rPr>
          <w:rFonts w:ascii="Open Sans" w:eastAsia="Times New Roman" w:hAnsi="Open Sans" w:cs="Times New Roman" w:hint="eastAsia"/>
          <w:color w:val="231F20"/>
          <w:sz w:val="19"/>
          <w:szCs w:val="19"/>
        </w:rPr>
        <w:t>porque el</w:t>
      </w:r>
      <w:r>
        <w:rPr>
          <w:rFonts w:ascii="Open Sans" w:eastAsia="Times New Roman" w:hAnsi="Open Sans" w:cs="Times New Roman"/>
          <w:color w:val="231F20"/>
          <w:sz w:val="19"/>
          <w:szCs w:val="19"/>
        </w:rPr>
        <w:t xml:space="preserve"> número de combinaciones de valores utilizado en la vida real es normalmente menor que las combinaciones teóricas posibles.</w:t>
      </w:r>
    </w:p>
    <w:p w:rsidR="00356602" w:rsidRPr="00356602" w:rsidRDefault="00356602" w:rsidP="00677331">
      <w:pPr>
        <w:shd w:val="clear" w:color="auto" w:fill="FFFFFF"/>
        <w:spacing w:before="180" w:after="180" w:line="240" w:lineRule="auto"/>
        <w:jc w:val="both"/>
        <w:rPr>
          <w:rFonts w:ascii="Open Sans" w:eastAsia="Times New Roman" w:hAnsi="Open Sans" w:cs="Times New Roman"/>
          <w:b/>
          <w:bCs/>
          <w:color w:val="231F20"/>
          <w:sz w:val="19"/>
        </w:rPr>
      </w:pPr>
      <w:r w:rsidRPr="00356602">
        <w:rPr>
          <w:rFonts w:ascii="Open Sans" w:eastAsia="Times New Roman" w:hAnsi="Open Sans" w:cs="Times New Roman"/>
          <w:b/>
          <w:bCs/>
          <w:color w:val="231F20"/>
          <w:sz w:val="19"/>
        </w:rPr>
        <w:t xml:space="preserve">Crear la </w:t>
      </w:r>
      <w:r w:rsidRPr="00356602">
        <w:rPr>
          <w:rFonts w:ascii="Open Sans" w:eastAsia="Times New Roman" w:hAnsi="Open Sans" w:cs="Times New Roman" w:hint="eastAsia"/>
          <w:b/>
          <w:bCs/>
          <w:color w:val="231F20"/>
          <w:sz w:val="19"/>
        </w:rPr>
        <w:t xml:space="preserve">tabla </w:t>
      </w:r>
      <w:r w:rsidRPr="00356602">
        <w:rPr>
          <w:rFonts w:ascii="Open Sans" w:eastAsia="Times New Roman" w:hAnsi="Open Sans" w:cs="Times New Roman"/>
          <w:b/>
          <w:bCs/>
          <w:color w:val="231F20"/>
          <w:sz w:val="19"/>
        </w:rPr>
        <w:t>puente</w:t>
      </w:r>
      <w:r w:rsidR="00C57181" w:rsidRPr="00356602">
        <w:rPr>
          <w:rFonts w:ascii="Open Sans" w:eastAsia="Times New Roman" w:hAnsi="Open Sans" w:cs="Times New Roman"/>
          <w:b/>
          <w:bCs/>
          <w:color w:val="231F20"/>
          <w:sz w:val="19"/>
        </w:rPr>
        <w:t xml:space="preserve"> </w:t>
      </w:r>
    </w:p>
    <w:p w:rsidR="00356602" w:rsidRPr="00677331" w:rsidRDefault="00356602" w:rsidP="00677331">
      <w:pPr>
        <w:shd w:val="clear" w:color="auto" w:fill="FFFFFF"/>
        <w:spacing w:before="180" w:after="180" w:line="240" w:lineRule="auto"/>
        <w:jc w:val="both"/>
        <w:rPr>
          <w:rFonts w:ascii="Open Sans" w:eastAsia="Times New Roman" w:hAnsi="Open Sans" w:cs="Times New Roman"/>
          <w:bCs/>
          <w:color w:val="231F20"/>
          <w:sz w:val="19"/>
        </w:rPr>
      </w:pPr>
      <w:r w:rsidRPr="00356602">
        <w:rPr>
          <w:rFonts w:ascii="Open Sans" w:eastAsia="Times New Roman" w:hAnsi="Open Sans" w:cs="Times New Roman"/>
          <w:bCs/>
          <w:color w:val="231F20"/>
          <w:sz w:val="19"/>
        </w:rPr>
        <w:t>Una vez que hemos</w:t>
      </w:r>
      <w:r>
        <w:rPr>
          <w:rFonts w:ascii="Open Sans" w:eastAsia="Times New Roman" w:hAnsi="Open Sans" w:cs="Times New Roman"/>
          <w:bCs/>
          <w:color w:val="231F20"/>
          <w:sz w:val="19"/>
        </w:rPr>
        <w:t xml:space="preserve"> hecho el trabajo de crear la tabla de Grupos de diagnóstico y asignado las claves de grupo, necesitamos no pivotar para crear la tabla puente de diagnóstico actual. Esta es la tabla que mapea cada grupo en las filas de dimensiones individuales </w:t>
      </w:r>
      <w:r w:rsidR="00677331">
        <w:rPr>
          <w:rFonts w:ascii="Open Sans" w:eastAsia="Times New Roman" w:hAnsi="Open Sans" w:cs="Times New Roman"/>
          <w:bCs/>
          <w:color w:val="231F20"/>
          <w:sz w:val="19"/>
        </w:rPr>
        <w:t xml:space="preserve">desde las cuáles se define. </w:t>
      </w:r>
      <w:r w:rsidR="00677331" w:rsidRPr="00677331">
        <w:rPr>
          <w:rFonts w:ascii="Open Sans" w:eastAsia="Times New Roman" w:hAnsi="Open Sans" w:cs="Times New Roman"/>
          <w:bCs/>
          <w:color w:val="231F20"/>
          <w:sz w:val="19"/>
        </w:rPr>
        <w:t xml:space="preserve">La figura 2 muestra la tabla puente de diagnóstico y </w:t>
      </w:r>
      <w:r w:rsidR="00677331">
        <w:rPr>
          <w:rFonts w:ascii="Open Sans" w:eastAsia="Times New Roman" w:hAnsi="Open Sans" w:cs="Times New Roman"/>
          <w:bCs/>
          <w:color w:val="231F20"/>
          <w:sz w:val="19"/>
        </w:rPr>
        <w:t xml:space="preserve">la tabla de dimensión de diagnóstico asociada </w:t>
      </w:r>
      <w:r w:rsidR="00677331" w:rsidRPr="00677331">
        <w:rPr>
          <w:rFonts w:ascii="Open Sans" w:eastAsia="Times New Roman" w:hAnsi="Open Sans" w:cs="Times New Roman"/>
          <w:color w:val="231F20"/>
          <w:sz w:val="19"/>
          <w:szCs w:val="19"/>
        </w:rPr>
        <w:t>ICD10_Diagnosis</w:t>
      </w:r>
      <w:r w:rsidR="00677331">
        <w:rPr>
          <w:rFonts w:ascii="Open Sans" w:eastAsia="Times New Roman" w:hAnsi="Open Sans" w:cs="Times New Roman"/>
          <w:color w:val="231F20"/>
          <w:sz w:val="19"/>
          <w:szCs w:val="19"/>
        </w:rPr>
        <w:t xml:space="preserve"> basada en nuestros datos de ejemplo.</w:t>
      </w:r>
    </w:p>
    <w:p w:rsidR="00C57181" w:rsidRPr="00C57181" w:rsidRDefault="00C57181" w:rsidP="00C57181">
      <w:pPr>
        <w:shd w:val="clear" w:color="auto" w:fill="FFFFFF"/>
        <w:spacing w:after="120" w:line="240" w:lineRule="atLeast"/>
        <w:rPr>
          <w:rFonts w:ascii="Open Sans" w:eastAsia="Times New Roman" w:hAnsi="Open Sans" w:cs="Times New Roman"/>
          <w:color w:val="231F20"/>
          <w:sz w:val="19"/>
          <w:szCs w:val="19"/>
        </w:rPr>
      </w:pPr>
      <w:r>
        <w:rPr>
          <w:rFonts w:ascii="Open Sans" w:eastAsia="Times New Roman" w:hAnsi="Open Sans" w:cs="Times New Roman"/>
          <w:noProof/>
          <w:color w:val="231F20"/>
          <w:sz w:val="19"/>
          <w:szCs w:val="19"/>
        </w:rPr>
        <w:drawing>
          <wp:inline distT="0" distB="0" distL="0" distR="0">
            <wp:extent cx="6120356" cy="3129872"/>
            <wp:effectExtent l="19050" t="0" r="0" b="0"/>
            <wp:docPr id="6" name="Imagen 6" descr="http://www.kimballgroup.com/wp-content/uploads/2012/02/DT-142-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kimballgroup.com/wp-content/uploads/2012/02/DT-142-Figure-2.png"/>
                    <pic:cNvPicPr>
                      <a:picLocks noChangeAspect="1" noChangeArrowheads="1"/>
                    </pic:cNvPicPr>
                  </pic:nvPicPr>
                  <pic:blipFill>
                    <a:blip r:embed="rId6" cstate="print"/>
                    <a:srcRect/>
                    <a:stretch>
                      <a:fillRect/>
                    </a:stretch>
                  </pic:blipFill>
                  <pic:spPr bwMode="auto">
                    <a:xfrm>
                      <a:off x="0" y="0"/>
                      <a:ext cx="6123526" cy="3131493"/>
                    </a:xfrm>
                    <a:prstGeom prst="rect">
                      <a:avLst/>
                    </a:prstGeom>
                    <a:noFill/>
                    <a:ln w="9525">
                      <a:noFill/>
                      <a:miter lim="800000"/>
                      <a:headEnd/>
                      <a:tailEnd/>
                    </a:ln>
                  </pic:spPr>
                </pic:pic>
              </a:graphicData>
            </a:graphic>
          </wp:inline>
        </w:drawing>
      </w:r>
    </w:p>
    <w:p w:rsidR="00D66CCD" w:rsidRDefault="00D66CCD" w:rsidP="00C57181">
      <w:pPr>
        <w:shd w:val="clear" w:color="auto" w:fill="FFFFFF"/>
        <w:spacing w:before="180" w:after="180" w:line="240" w:lineRule="auto"/>
        <w:rPr>
          <w:rFonts w:ascii="Open Sans" w:eastAsia="Times New Roman" w:hAnsi="Open Sans" w:cs="Times New Roman"/>
          <w:color w:val="231F20"/>
          <w:sz w:val="19"/>
          <w:szCs w:val="19"/>
        </w:rPr>
      </w:pPr>
      <w:r w:rsidRPr="00D66CCD">
        <w:rPr>
          <w:rFonts w:ascii="Open Sans" w:eastAsia="Times New Roman" w:hAnsi="Open Sans" w:cs="Times New Roman"/>
          <w:color w:val="231F20"/>
          <w:sz w:val="19"/>
          <w:szCs w:val="19"/>
        </w:rPr>
        <w:t>Figura</w:t>
      </w:r>
      <w:r w:rsidR="00C57181" w:rsidRPr="00D66CCD">
        <w:rPr>
          <w:rFonts w:ascii="Open Sans" w:eastAsia="Times New Roman" w:hAnsi="Open Sans" w:cs="Times New Roman"/>
          <w:color w:val="231F20"/>
          <w:sz w:val="19"/>
          <w:szCs w:val="19"/>
        </w:rPr>
        <w:t xml:space="preserve"> 2 –</w:t>
      </w:r>
      <w:r w:rsidRPr="00D66CCD">
        <w:rPr>
          <w:rFonts w:ascii="Open Sans" w:eastAsia="Times New Roman" w:hAnsi="Open Sans" w:cs="Times New Roman"/>
          <w:color w:val="231F20"/>
          <w:sz w:val="19"/>
          <w:szCs w:val="19"/>
        </w:rPr>
        <w:t xml:space="preserve"> Tabla </w:t>
      </w:r>
      <w:r w:rsidRPr="00D66CCD">
        <w:rPr>
          <w:rFonts w:ascii="Open Sans" w:eastAsia="Times New Roman" w:hAnsi="Open Sans" w:cs="Times New Roman" w:hint="eastAsia"/>
          <w:color w:val="231F20"/>
          <w:sz w:val="19"/>
          <w:szCs w:val="19"/>
        </w:rPr>
        <w:t xml:space="preserve">de </w:t>
      </w:r>
      <w:r w:rsidR="00A110D3" w:rsidRPr="00D66CCD">
        <w:rPr>
          <w:rFonts w:ascii="Open Sans" w:eastAsia="Times New Roman" w:hAnsi="Open Sans" w:cs="Times New Roman"/>
          <w:color w:val="231F20"/>
          <w:sz w:val="19"/>
          <w:szCs w:val="19"/>
        </w:rPr>
        <w:t>diagnostico</w:t>
      </w:r>
      <w:r w:rsidRPr="00D66CCD">
        <w:rPr>
          <w:rFonts w:ascii="Open Sans" w:eastAsia="Times New Roman" w:hAnsi="Open Sans" w:cs="Times New Roman"/>
          <w:color w:val="231F20"/>
          <w:sz w:val="19"/>
          <w:szCs w:val="19"/>
        </w:rPr>
        <w:t xml:space="preserve"> </w:t>
      </w:r>
      <w:r w:rsidR="00A110D3" w:rsidRPr="00D66CCD">
        <w:rPr>
          <w:rFonts w:ascii="Open Sans" w:eastAsia="Times New Roman" w:hAnsi="Open Sans" w:cs="Times New Roman"/>
          <w:color w:val="231F20"/>
          <w:sz w:val="19"/>
          <w:szCs w:val="19"/>
        </w:rPr>
        <w:t>puente</w:t>
      </w:r>
      <w:r w:rsidRPr="00D66CCD">
        <w:rPr>
          <w:rFonts w:ascii="Open Sans" w:eastAsia="Times New Roman" w:hAnsi="Open Sans" w:cs="Times New Roman"/>
          <w:color w:val="231F20"/>
          <w:sz w:val="19"/>
          <w:szCs w:val="19"/>
        </w:rPr>
        <w:t xml:space="preserve"> y dimensi</w:t>
      </w:r>
      <w:r>
        <w:rPr>
          <w:rFonts w:ascii="Open Sans" w:eastAsia="Times New Roman" w:hAnsi="Open Sans" w:cs="Times New Roman"/>
          <w:color w:val="231F20"/>
          <w:sz w:val="19"/>
          <w:szCs w:val="19"/>
        </w:rPr>
        <w:t xml:space="preserve">ón de diagnóstico asociada </w:t>
      </w:r>
      <w:r w:rsidR="00C57181" w:rsidRPr="00D66CCD">
        <w:rPr>
          <w:rFonts w:ascii="Open Sans" w:eastAsia="Times New Roman" w:hAnsi="Open Sans" w:cs="Times New Roman"/>
          <w:color w:val="231F20"/>
          <w:sz w:val="19"/>
          <w:szCs w:val="19"/>
        </w:rPr>
        <w:t xml:space="preserve">ICD10_Diagnosis </w:t>
      </w:r>
    </w:p>
    <w:p w:rsidR="00D66CCD" w:rsidRDefault="00D66CCD" w:rsidP="00C57181">
      <w:pPr>
        <w:shd w:val="clear" w:color="auto" w:fill="FFFFFF"/>
        <w:spacing w:before="180" w:after="180" w:line="240" w:lineRule="auto"/>
        <w:rPr>
          <w:rFonts w:ascii="Open Sans" w:eastAsia="Times New Roman" w:hAnsi="Open Sans" w:cs="Times New Roman"/>
          <w:color w:val="231F20"/>
          <w:sz w:val="19"/>
          <w:szCs w:val="19"/>
        </w:rPr>
      </w:pPr>
    </w:p>
    <w:p w:rsidR="00D66CCD" w:rsidRPr="00D66CCD" w:rsidRDefault="00D66CCD" w:rsidP="00D66CCD">
      <w:pPr>
        <w:shd w:val="clear" w:color="auto" w:fill="FFFFFF"/>
        <w:spacing w:before="180" w:after="180" w:line="240" w:lineRule="auto"/>
        <w:jc w:val="both"/>
        <w:rPr>
          <w:rFonts w:ascii="Open Sans" w:eastAsia="Times New Roman" w:hAnsi="Open Sans" w:cs="Times New Roman"/>
          <w:color w:val="231F20"/>
          <w:sz w:val="19"/>
          <w:szCs w:val="19"/>
        </w:rPr>
      </w:pPr>
      <w:r>
        <w:rPr>
          <w:rFonts w:ascii="Open Sans" w:eastAsia="Times New Roman" w:hAnsi="Open Sans" w:cs="Times New Roman"/>
          <w:color w:val="231F20"/>
          <w:sz w:val="19"/>
          <w:szCs w:val="19"/>
        </w:rPr>
        <w:lastRenderedPageBreak/>
        <w:t xml:space="preserve">Otra vez, </w:t>
      </w:r>
      <w:r>
        <w:rPr>
          <w:rFonts w:ascii="Open Sans" w:eastAsia="Times New Roman" w:hAnsi="Open Sans" w:cs="Times New Roman" w:hint="eastAsia"/>
          <w:color w:val="231F20"/>
          <w:sz w:val="19"/>
          <w:szCs w:val="19"/>
        </w:rPr>
        <w:t>hay</w:t>
      </w:r>
      <w:r>
        <w:rPr>
          <w:rFonts w:ascii="Open Sans" w:eastAsia="Times New Roman" w:hAnsi="Open Sans" w:cs="Times New Roman"/>
          <w:color w:val="231F20"/>
          <w:sz w:val="19"/>
          <w:szCs w:val="19"/>
        </w:rPr>
        <w:t xml:space="preserve"> muchos </w:t>
      </w:r>
      <w:proofErr w:type="gramStart"/>
      <w:r>
        <w:rPr>
          <w:rFonts w:ascii="Open Sans" w:eastAsia="Times New Roman" w:hAnsi="Open Sans" w:cs="Times New Roman"/>
          <w:color w:val="231F20"/>
          <w:sz w:val="19"/>
          <w:szCs w:val="19"/>
        </w:rPr>
        <w:t>modo</w:t>
      </w:r>
      <w:proofErr w:type="gramEnd"/>
      <w:r>
        <w:rPr>
          <w:rFonts w:ascii="Open Sans" w:eastAsia="Times New Roman" w:hAnsi="Open Sans" w:cs="Times New Roman"/>
          <w:color w:val="231F20"/>
          <w:sz w:val="19"/>
          <w:szCs w:val="19"/>
        </w:rPr>
        <w:t xml:space="preserve"> de realizar esto en SQL. La siguiente versión en servidor </w:t>
      </w:r>
      <w:r w:rsidRPr="00D66CCD">
        <w:rPr>
          <w:rFonts w:ascii="Open Sans" w:eastAsia="Times New Roman" w:hAnsi="Open Sans" w:cs="Times New Roman"/>
          <w:color w:val="231F20"/>
          <w:sz w:val="19"/>
          <w:szCs w:val="19"/>
        </w:rPr>
        <w:t xml:space="preserve">SQL T-SQL </w:t>
      </w:r>
      <w:r>
        <w:rPr>
          <w:rFonts w:ascii="Open Sans" w:eastAsia="Times New Roman" w:hAnsi="Open Sans" w:cs="Times New Roman"/>
          <w:color w:val="231F20"/>
          <w:sz w:val="19"/>
          <w:szCs w:val="19"/>
        </w:rPr>
        <w:t xml:space="preserve">utiliza un proceso de dos pasos para no pivotar la tabla de grupo. El primer paso concatena las etiquetas XML </w:t>
      </w:r>
      <w:r w:rsidRPr="00D66CCD">
        <w:rPr>
          <w:rFonts w:ascii="Open Sans" w:eastAsia="Times New Roman" w:hAnsi="Open Sans" w:cs="Times New Roman"/>
          <w:color w:val="231F20"/>
          <w:sz w:val="19"/>
          <w:szCs w:val="19"/>
        </w:rPr>
        <w:t>(&lt;I&gt; &lt;/I&gt;) en el Diagnosis_Code_List</w:t>
      </w:r>
      <w:r>
        <w:rPr>
          <w:rFonts w:ascii="Open Sans" w:eastAsia="Times New Roman" w:hAnsi="Open Sans" w:cs="Times New Roman"/>
          <w:color w:val="231F20"/>
          <w:sz w:val="19"/>
          <w:szCs w:val="19"/>
        </w:rPr>
        <w:t xml:space="preserve"> y lo convierte en un tipo de datos XML como parte de una tabla de expresión común. El segundo paso utiliza el comando </w:t>
      </w:r>
      <w:r w:rsidRPr="00D66CCD">
        <w:rPr>
          <w:rFonts w:ascii="Open Sans" w:eastAsia="Times New Roman" w:hAnsi="Open Sans" w:cs="Times New Roman"/>
          <w:color w:val="231F20"/>
          <w:sz w:val="19"/>
          <w:szCs w:val="19"/>
        </w:rPr>
        <w:t>CROSS APPLY par</w:t>
      </w:r>
      <w:r>
        <w:rPr>
          <w:rFonts w:ascii="Open Sans" w:eastAsia="Times New Roman" w:hAnsi="Open Sans" w:cs="Times New Roman"/>
          <w:color w:val="231F20"/>
          <w:sz w:val="19"/>
          <w:szCs w:val="19"/>
        </w:rPr>
        <w:t>a analizar las etiquetas XML y enumerar</w:t>
      </w:r>
      <w:r w:rsidRPr="00D66CCD">
        <w:rPr>
          <w:rFonts w:ascii="Open Sans" w:eastAsia="Times New Roman" w:hAnsi="Open Sans" w:cs="Times New Roman"/>
          <w:color w:val="231F20"/>
          <w:sz w:val="19"/>
          <w:szCs w:val="19"/>
        </w:rPr>
        <w:t xml:space="preserve"> los valores en l</w:t>
      </w:r>
      <w:r>
        <w:rPr>
          <w:rFonts w:ascii="Open Sans" w:eastAsia="Times New Roman" w:hAnsi="Open Sans" w:cs="Times New Roman"/>
          <w:color w:val="231F20"/>
          <w:sz w:val="19"/>
          <w:szCs w:val="19"/>
        </w:rPr>
        <w:t>íneas separadas.</w:t>
      </w:r>
    </w:p>
    <w:p w:rsidR="00C57181" w:rsidRPr="00C57181" w:rsidRDefault="00C57181" w:rsidP="00C57181">
      <w:pPr>
        <w:shd w:val="clear" w:color="auto" w:fill="FFFFFF"/>
        <w:spacing w:before="180" w:after="180" w:line="240" w:lineRule="auto"/>
        <w:rPr>
          <w:rFonts w:ascii="Open Sans" w:eastAsia="Times New Roman" w:hAnsi="Open Sans" w:cs="Times New Roman"/>
          <w:color w:val="231F20"/>
          <w:sz w:val="19"/>
          <w:szCs w:val="19"/>
          <w:lang w:val="en-US"/>
        </w:rPr>
      </w:pPr>
      <w:r w:rsidRPr="00C57181">
        <w:rPr>
          <w:rFonts w:ascii="Open Sans" w:eastAsia="Times New Roman" w:hAnsi="Open Sans" w:cs="Times New Roman"/>
          <w:color w:val="231F20"/>
          <w:sz w:val="19"/>
          <w:szCs w:val="19"/>
          <w:lang w:val="en-US"/>
        </w:rPr>
        <w:t>WITH XMLTaggedList AS (</w:t>
      </w:r>
      <w:r w:rsidRPr="00C57181">
        <w:rPr>
          <w:rFonts w:ascii="Open Sans" w:eastAsia="Times New Roman" w:hAnsi="Open Sans" w:cs="Times New Roman"/>
          <w:color w:val="231F20"/>
          <w:sz w:val="19"/>
          <w:szCs w:val="19"/>
          <w:lang w:val="en-US"/>
        </w:rPr>
        <w:br/>
        <w:t>SELECT Diagnosis_Group_Key</w:t>
      </w:r>
      <w:proofErr w:type="gramStart"/>
      <w:r w:rsidRPr="00C57181">
        <w:rPr>
          <w:rFonts w:ascii="Open Sans" w:eastAsia="Times New Roman" w:hAnsi="Open Sans" w:cs="Times New Roman"/>
          <w:color w:val="231F20"/>
          <w:sz w:val="19"/>
          <w:szCs w:val="19"/>
          <w:lang w:val="en-US"/>
        </w:rPr>
        <w:t>,</w:t>
      </w:r>
      <w:proofErr w:type="gramEnd"/>
      <w:r w:rsidRPr="00C57181">
        <w:rPr>
          <w:rFonts w:ascii="Open Sans" w:eastAsia="Times New Roman" w:hAnsi="Open Sans" w:cs="Times New Roman"/>
          <w:color w:val="231F20"/>
          <w:sz w:val="19"/>
          <w:szCs w:val="19"/>
          <w:lang w:val="en-US"/>
        </w:rPr>
        <w:br/>
        <w:t>CAST(‘&lt;I&gt;’ + REPLACE(Diagnosis_Code_List, ‘, ‘, ‘&lt;/I&gt;&lt;I&gt;’) + ‘&lt;/I&gt;’ AS XML)</w:t>
      </w:r>
      <w:r w:rsidRPr="00C57181">
        <w:rPr>
          <w:rFonts w:ascii="Open Sans" w:eastAsia="Times New Roman" w:hAnsi="Open Sans" w:cs="Times New Roman"/>
          <w:color w:val="231F20"/>
          <w:sz w:val="19"/>
          <w:szCs w:val="19"/>
          <w:lang w:val="en-US"/>
        </w:rPr>
        <w:br/>
        <w:t>AS Diagnosis_Code_List</w:t>
      </w:r>
      <w:r w:rsidRPr="00C57181">
        <w:rPr>
          <w:rFonts w:ascii="Open Sans" w:eastAsia="Times New Roman" w:hAnsi="Open Sans" w:cs="Times New Roman"/>
          <w:color w:val="231F20"/>
          <w:sz w:val="19"/>
          <w:szCs w:val="19"/>
          <w:lang w:val="en-US"/>
        </w:rPr>
        <w:br/>
        <w:t>FROM Diagnosis_Group</w:t>
      </w:r>
      <w:r w:rsidRPr="00C57181">
        <w:rPr>
          <w:rFonts w:ascii="Open Sans" w:eastAsia="Times New Roman" w:hAnsi="Open Sans" w:cs="Times New Roman"/>
          <w:color w:val="231F20"/>
          <w:sz w:val="19"/>
          <w:szCs w:val="19"/>
          <w:lang w:val="en-US"/>
        </w:rPr>
        <w:br/>
        <w:t>)</w:t>
      </w:r>
      <w:r w:rsidRPr="00C57181">
        <w:rPr>
          <w:rFonts w:ascii="Open Sans" w:eastAsia="Times New Roman" w:hAnsi="Open Sans" w:cs="Times New Roman"/>
          <w:color w:val="231F20"/>
          <w:sz w:val="19"/>
          <w:szCs w:val="19"/>
          <w:lang w:val="en-US"/>
        </w:rPr>
        <w:br/>
        <w:t>SELECT Diagnosis_Group_Key,</w:t>
      </w:r>
      <w:r w:rsidRPr="00C57181">
        <w:rPr>
          <w:rFonts w:ascii="Open Sans" w:eastAsia="Times New Roman" w:hAnsi="Open Sans" w:cs="Times New Roman"/>
          <w:color w:val="231F20"/>
          <w:sz w:val="19"/>
          <w:szCs w:val="19"/>
          <w:lang w:val="en-US"/>
        </w:rPr>
        <w:br/>
        <w:t>ExtractedDiagnosisList.X.value(‘.’, ‘VARCHAR(MAX)’) AS Diagnosis_Code_List</w:t>
      </w:r>
      <w:r w:rsidRPr="00C57181">
        <w:rPr>
          <w:rFonts w:ascii="Open Sans" w:eastAsia="Times New Roman" w:hAnsi="Open Sans" w:cs="Times New Roman"/>
          <w:color w:val="231F20"/>
          <w:sz w:val="19"/>
          <w:szCs w:val="19"/>
          <w:lang w:val="en-US"/>
        </w:rPr>
        <w:br/>
        <w:t>FROM XMLTaggedList</w:t>
      </w:r>
      <w:r w:rsidRPr="00C57181">
        <w:rPr>
          <w:rFonts w:ascii="Open Sans" w:eastAsia="Times New Roman" w:hAnsi="Open Sans" w:cs="Times New Roman"/>
          <w:color w:val="231F20"/>
          <w:sz w:val="19"/>
          <w:szCs w:val="19"/>
          <w:lang w:val="en-US"/>
        </w:rPr>
        <w:br/>
        <w:t>CROSS APPLY Diagnosis_Code_List.nodes(‘//I’) AS ExtractedDiagnosisList(X);</w:t>
      </w:r>
    </w:p>
    <w:p w:rsidR="00D66CCD" w:rsidRPr="00D32410" w:rsidRDefault="00D66CCD" w:rsidP="00C57181">
      <w:pPr>
        <w:shd w:val="clear" w:color="auto" w:fill="FFFFFF"/>
        <w:spacing w:before="180" w:after="180" w:line="240" w:lineRule="auto"/>
        <w:rPr>
          <w:rFonts w:ascii="Open Sans" w:eastAsia="Times New Roman" w:hAnsi="Open Sans" w:cs="Times New Roman"/>
          <w:b/>
          <w:bCs/>
          <w:color w:val="231F20"/>
          <w:sz w:val="19"/>
        </w:rPr>
      </w:pPr>
      <w:r w:rsidRPr="00D32410">
        <w:rPr>
          <w:rFonts w:ascii="Open Sans" w:eastAsia="Times New Roman" w:hAnsi="Open Sans" w:cs="Times New Roman"/>
          <w:b/>
          <w:bCs/>
          <w:color w:val="231F20"/>
          <w:sz w:val="19"/>
        </w:rPr>
        <w:t>Procesamiento incremental</w:t>
      </w:r>
    </w:p>
    <w:p w:rsidR="00D32410" w:rsidRPr="009903D0" w:rsidRDefault="00D32410" w:rsidP="009903D0">
      <w:pPr>
        <w:shd w:val="clear" w:color="auto" w:fill="FFFFFF"/>
        <w:spacing w:before="180" w:after="180" w:line="240" w:lineRule="auto"/>
        <w:jc w:val="both"/>
        <w:rPr>
          <w:rFonts w:ascii="Open Sans" w:eastAsia="Times New Roman" w:hAnsi="Open Sans" w:cs="Times New Roman"/>
          <w:bCs/>
          <w:color w:val="231F20"/>
          <w:sz w:val="19"/>
        </w:rPr>
      </w:pPr>
      <w:r w:rsidRPr="00D32410">
        <w:rPr>
          <w:rFonts w:ascii="Open Sans" w:eastAsia="Times New Roman" w:hAnsi="Open Sans" w:cs="Times New Roman"/>
          <w:bCs/>
          <w:color w:val="231F20"/>
          <w:sz w:val="19"/>
        </w:rPr>
        <w:t>El proceso incremental de carga aplica esencialmente el mismo c</w:t>
      </w:r>
      <w:r>
        <w:rPr>
          <w:rFonts w:ascii="Open Sans" w:eastAsia="Times New Roman" w:hAnsi="Open Sans" w:cs="Times New Roman"/>
          <w:bCs/>
          <w:color w:val="231F20"/>
          <w:sz w:val="19"/>
        </w:rPr>
        <w:t xml:space="preserve">ódigo para las filas de hechos entrantes. El primer paso genera una lista </w:t>
      </w:r>
      <w:r w:rsidRPr="00D32410">
        <w:rPr>
          <w:rFonts w:ascii="Open Sans" w:eastAsia="Times New Roman" w:hAnsi="Open Sans" w:cs="Times New Roman"/>
          <w:color w:val="231F20"/>
          <w:sz w:val="19"/>
          <w:szCs w:val="19"/>
        </w:rPr>
        <w:t>Diagnosis_Code_List</w:t>
      </w:r>
      <w:r>
        <w:rPr>
          <w:rFonts w:ascii="Open Sans" w:eastAsia="Times New Roman" w:hAnsi="Open Sans" w:cs="Times New Roman"/>
          <w:color w:val="231F20"/>
          <w:sz w:val="19"/>
          <w:szCs w:val="19"/>
        </w:rPr>
        <w:t xml:space="preserve"> para cada grupo de </w:t>
      </w:r>
      <w:r w:rsidR="009903D0">
        <w:rPr>
          <w:rFonts w:ascii="Open Sans" w:eastAsia="Times New Roman" w:hAnsi="Open Sans" w:cs="Times New Roman"/>
          <w:color w:val="231F20"/>
          <w:sz w:val="19"/>
          <w:szCs w:val="19"/>
        </w:rPr>
        <w:t xml:space="preserve">filas de </w:t>
      </w:r>
      <w:r w:rsidR="009903D0">
        <w:rPr>
          <w:rFonts w:ascii="Open Sans" w:eastAsia="Times New Roman" w:hAnsi="Open Sans" w:cs="Times New Roman" w:hint="eastAsia"/>
          <w:color w:val="231F20"/>
          <w:sz w:val="19"/>
          <w:szCs w:val="19"/>
        </w:rPr>
        <w:t>hechos</w:t>
      </w:r>
      <w:r w:rsidR="009903D0">
        <w:rPr>
          <w:rFonts w:ascii="Open Sans" w:eastAsia="Times New Roman" w:hAnsi="Open Sans" w:cs="Times New Roman"/>
          <w:color w:val="231F20"/>
          <w:sz w:val="19"/>
          <w:szCs w:val="19"/>
        </w:rPr>
        <w:t xml:space="preserve"> entrantes en el granulado de la tabla de hechos. Este valor de la </w:t>
      </w:r>
      <w:r w:rsidR="009903D0" w:rsidRPr="009903D0">
        <w:rPr>
          <w:rFonts w:ascii="Open Sans" w:eastAsia="Times New Roman" w:hAnsi="Open Sans" w:cs="Times New Roman"/>
          <w:color w:val="231F20"/>
          <w:sz w:val="19"/>
          <w:szCs w:val="19"/>
        </w:rPr>
        <w:t xml:space="preserve">Diagnosis_Code_List puede ser utilizado para unir la </w:t>
      </w:r>
      <w:r w:rsidR="009903D0">
        <w:rPr>
          <w:rFonts w:ascii="Open Sans" w:eastAsia="Times New Roman" w:hAnsi="Open Sans" w:cs="Times New Roman" w:hint="eastAsia"/>
          <w:color w:val="231F20"/>
          <w:sz w:val="19"/>
          <w:szCs w:val="19"/>
        </w:rPr>
        <w:t>tabl</w:t>
      </w:r>
      <w:r w:rsidR="009903D0">
        <w:rPr>
          <w:rFonts w:ascii="Open Sans" w:eastAsia="Times New Roman" w:hAnsi="Open Sans" w:cs="Times New Roman"/>
          <w:color w:val="231F20"/>
          <w:sz w:val="19"/>
          <w:szCs w:val="19"/>
        </w:rPr>
        <w:t>a</w:t>
      </w:r>
      <w:r w:rsidR="009903D0" w:rsidRPr="009903D0">
        <w:rPr>
          <w:rFonts w:ascii="Open Sans" w:eastAsia="Times New Roman" w:hAnsi="Open Sans" w:cs="Times New Roman"/>
          <w:color w:val="231F20"/>
          <w:sz w:val="19"/>
          <w:szCs w:val="19"/>
        </w:rPr>
        <w:t xml:space="preserve"> de Diagnosis_Group</w:t>
      </w:r>
      <w:r w:rsidR="009903D0">
        <w:rPr>
          <w:rFonts w:ascii="Open Sans" w:eastAsia="Times New Roman" w:hAnsi="Open Sans" w:cs="Times New Roman"/>
          <w:color w:val="231F20"/>
          <w:sz w:val="19"/>
          <w:szCs w:val="19"/>
        </w:rPr>
        <w:t xml:space="preserve"> para mapear de filas de </w:t>
      </w:r>
      <w:r w:rsidR="009903D0">
        <w:rPr>
          <w:rFonts w:ascii="Open Sans" w:eastAsia="Times New Roman" w:hAnsi="Open Sans" w:cs="Times New Roman" w:hint="eastAsia"/>
          <w:color w:val="231F20"/>
          <w:sz w:val="19"/>
          <w:szCs w:val="19"/>
        </w:rPr>
        <w:t>hechos</w:t>
      </w:r>
      <w:r w:rsidR="009903D0">
        <w:rPr>
          <w:rFonts w:ascii="Open Sans" w:eastAsia="Times New Roman" w:hAnsi="Open Sans" w:cs="Times New Roman"/>
          <w:color w:val="231F20"/>
          <w:sz w:val="19"/>
          <w:szCs w:val="19"/>
        </w:rPr>
        <w:t xml:space="preserve"> entrantes con la clave de grupo apropiada. Si un nuevo grupo surge, el proceso ETL necesitará añadirlo  a la tabla  </w:t>
      </w:r>
      <w:r w:rsidR="009903D0" w:rsidRPr="009903D0">
        <w:rPr>
          <w:rFonts w:ascii="Open Sans" w:eastAsia="Times New Roman" w:hAnsi="Open Sans" w:cs="Times New Roman"/>
          <w:color w:val="231F20"/>
          <w:sz w:val="19"/>
          <w:szCs w:val="19"/>
        </w:rPr>
        <w:t>Diagnosis_Group</w:t>
      </w:r>
      <w:r w:rsidR="009903D0">
        <w:rPr>
          <w:rFonts w:ascii="Open Sans" w:eastAsia="Times New Roman" w:hAnsi="Open Sans" w:cs="Times New Roman"/>
          <w:color w:val="231F20"/>
          <w:sz w:val="19"/>
          <w:szCs w:val="19"/>
        </w:rPr>
        <w:t xml:space="preserve">, como lo hace para las mini-dimensiones y las dimensiones </w:t>
      </w:r>
      <w:r w:rsidR="00A110D3">
        <w:rPr>
          <w:rFonts w:ascii="Open Sans" w:eastAsia="Times New Roman" w:hAnsi="Open Sans" w:cs="Times New Roman"/>
          <w:color w:val="231F20"/>
          <w:sz w:val="19"/>
          <w:szCs w:val="19"/>
        </w:rPr>
        <w:t>superfluas</w:t>
      </w:r>
      <w:r w:rsidR="009903D0">
        <w:rPr>
          <w:rFonts w:ascii="Open Sans" w:eastAsia="Times New Roman" w:hAnsi="Open Sans" w:cs="Times New Roman"/>
          <w:color w:val="231F20"/>
          <w:sz w:val="19"/>
          <w:szCs w:val="19"/>
        </w:rPr>
        <w:t>.</w:t>
      </w:r>
    </w:p>
    <w:p w:rsidR="009903D0" w:rsidRPr="009903D0" w:rsidRDefault="009903D0" w:rsidP="009903D0">
      <w:pPr>
        <w:shd w:val="clear" w:color="auto" w:fill="FFFFFF"/>
        <w:spacing w:before="180" w:after="180" w:line="240" w:lineRule="auto"/>
        <w:jc w:val="both"/>
        <w:rPr>
          <w:rFonts w:ascii="Open Sans" w:eastAsia="Times New Roman" w:hAnsi="Open Sans" w:cs="Times New Roman"/>
          <w:color w:val="231F20"/>
          <w:sz w:val="19"/>
          <w:szCs w:val="19"/>
        </w:rPr>
      </w:pPr>
      <w:r w:rsidRPr="009903D0">
        <w:rPr>
          <w:rFonts w:ascii="Open Sans" w:eastAsia="Times New Roman" w:hAnsi="Open Sans" w:cs="Times New Roman"/>
          <w:color w:val="231F20"/>
          <w:sz w:val="19"/>
          <w:szCs w:val="19"/>
        </w:rPr>
        <w:t>Hemos utilizado SQL para ilustrar el patr</w:t>
      </w:r>
      <w:r>
        <w:rPr>
          <w:rFonts w:ascii="Open Sans" w:eastAsia="Times New Roman" w:hAnsi="Open Sans" w:cs="Times New Roman"/>
          <w:color w:val="231F20"/>
          <w:sz w:val="19"/>
          <w:szCs w:val="19"/>
        </w:rPr>
        <w:t xml:space="preserve">ón de diseño utilizado para crear una tabla puente. La misma lógica puede ser implementada en la sintaxis nativa y controlar estructuras de la mayor parte de las </w:t>
      </w:r>
      <w:r>
        <w:rPr>
          <w:rFonts w:ascii="Open Sans" w:eastAsia="Times New Roman" w:hAnsi="Open Sans" w:cs="Times New Roman" w:hint="eastAsia"/>
          <w:color w:val="231F20"/>
          <w:sz w:val="19"/>
          <w:szCs w:val="19"/>
        </w:rPr>
        <w:t>herramientas</w:t>
      </w:r>
      <w:r>
        <w:rPr>
          <w:rFonts w:ascii="Open Sans" w:eastAsia="Times New Roman" w:hAnsi="Open Sans" w:cs="Times New Roman"/>
          <w:color w:val="231F20"/>
          <w:sz w:val="19"/>
          <w:szCs w:val="19"/>
        </w:rPr>
        <w:t xml:space="preserve"> ETL. Por supuesto, sería ideal si los desarrolladores de herramientas ETL </w:t>
      </w:r>
      <w:r w:rsidR="00A110D3">
        <w:rPr>
          <w:rFonts w:ascii="Open Sans" w:eastAsia="Times New Roman" w:hAnsi="Open Sans" w:cs="Times New Roman"/>
          <w:color w:val="231F20"/>
          <w:sz w:val="19"/>
          <w:szCs w:val="19"/>
        </w:rPr>
        <w:t>incluyesen</w:t>
      </w:r>
      <w:r>
        <w:rPr>
          <w:rFonts w:ascii="Open Sans" w:eastAsia="Times New Roman" w:hAnsi="Open Sans" w:cs="Times New Roman"/>
          <w:color w:val="231F20"/>
          <w:sz w:val="19"/>
          <w:szCs w:val="19"/>
        </w:rPr>
        <w:t xml:space="preserve"> tablas puente de procesamiento en sus conjuntos de herramientas más que forzarnos a reinventar la rueda. Tal vez, lo incluyan en el próximo lanzamiento. Si te gustaría tener el script SQL de este ejemplo, mándame un mail.</w:t>
      </w:r>
    </w:p>
    <w:p w:rsidR="009903D0" w:rsidRPr="009903D0" w:rsidRDefault="009903D0" w:rsidP="009903D0">
      <w:pPr>
        <w:shd w:val="clear" w:color="auto" w:fill="FFFFFF"/>
        <w:spacing w:before="180" w:after="180" w:line="240" w:lineRule="auto"/>
        <w:jc w:val="both"/>
        <w:rPr>
          <w:rFonts w:ascii="Open Sans" w:eastAsia="Times New Roman" w:hAnsi="Open Sans" w:cs="Times New Roman"/>
          <w:color w:val="231F20"/>
          <w:sz w:val="19"/>
          <w:szCs w:val="19"/>
        </w:rPr>
      </w:pPr>
      <w:r w:rsidRPr="009903D0">
        <w:rPr>
          <w:rFonts w:ascii="Open Sans" w:eastAsia="Times New Roman" w:hAnsi="Open Sans" w:cs="Times New Roman"/>
          <w:color w:val="231F20"/>
          <w:sz w:val="19"/>
          <w:szCs w:val="19"/>
        </w:rPr>
        <w:t xml:space="preserve">Observación: Este consejo de diseño se ha actualizado del original para incluir una clave subrogada en la </w:t>
      </w:r>
      <w:r w:rsidR="00A110D3" w:rsidRPr="009903D0">
        <w:rPr>
          <w:rFonts w:ascii="Open Sans" w:eastAsia="Times New Roman" w:hAnsi="Open Sans" w:cs="Times New Roman"/>
          <w:color w:val="231F20"/>
          <w:sz w:val="19"/>
          <w:szCs w:val="19"/>
        </w:rPr>
        <w:t>tabla</w:t>
      </w:r>
      <w:r w:rsidRPr="009903D0">
        <w:rPr>
          <w:rFonts w:ascii="Open Sans" w:eastAsia="Times New Roman" w:hAnsi="Open Sans" w:cs="Times New Roman"/>
          <w:color w:val="231F20"/>
          <w:sz w:val="19"/>
          <w:szCs w:val="19"/>
        </w:rPr>
        <w:t xml:space="preserve"> ICD10_Diagnosis</w:t>
      </w:r>
    </w:p>
    <w:p w:rsidR="004137F0" w:rsidRPr="009903D0" w:rsidRDefault="00234472" w:rsidP="00C57181">
      <w:hyperlink r:id="rId7" w:history="1">
        <w:r w:rsidRPr="009903D0">
          <w:rPr>
            <w:rStyle w:val="Hipervnculo"/>
          </w:rPr>
          <w:t>http://www.kimballgroup.com/2012/02/design-tip-142-building-bridges/</w:t>
        </w:r>
      </w:hyperlink>
    </w:p>
    <w:p w:rsidR="00234472" w:rsidRPr="009903D0" w:rsidRDefault="00234472" w:rsidP="00C57181"/>
    <w:sectPr w:rsidR="00234472" w:rsidRPr="009903D0" w:rsidSect="00A31A5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94B84"/>
    <w:multiLevelType w:val="multilevel"/>
    <w:tmpl w:val="597A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9F2B61"/>
    <w:multiLevelType w:val="multilevel"/>
    <w:tmpl w:val="E26AA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08"/>
  <w:hyphenationZone w:val="425"/>
  <w:characterSpacingControl w:val="doNotCompress"/>
  <w:compat>
    <w:useFELayout/>
  </w:compat>
  <w:rsids>
    <w:rsidRoot w:val="00CA5795"/>
    <w:rsid w:val="00055352"/>
    <w:rsid w:val="000D467D"/>
    <w:rsid w:val="00234472"/>
    <w:rsid w:val="00356602"/>
    <w:rsid w:val="0038542E"/>
    <w:rsid w:val="004878EA"/>
    <w:rsid w:val="00530917"/>
    <w:rsid w:val="00677331"/>
    <w:rsid w:val="00755F12"/>
    <w:rsid w:val="007E1689"/>
    <w:rsid w:val="0083165F"/>
    <w:rsid w:val="00904526"/>
    <w:rsid w:val="0092785E"/>
    <w:rsid w:val="009903D0"/>
    <w:rsid w:val="009A2D76"/>
    <w:rsid w:val="00A110D3"/>
    <w:rsid w:val="00A31A5F"/>
    <w:rsid w:val="00C57181"/>
    <w:rsid w:val="00CA5795"/>
    <w:rsid w:val="00D32410"/>
    <w:rsid w:val="00D66CCD"/>
    <w:rsid w:val="00F51A30"/>
  </w:rsids>
  <m:mathPr>
    <m:mathFont m:val="Cambria Math"/>
    <m:brkBin m:val="before"/>
    <m:brkBinSub m:val="--"/>
    <m:smallFrac m:val="off"/>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A5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A5795"/>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CA5795"/>
    <w:rPr>
      <w:color w:val="0000FF"/>
      <w:u w:val="single"/>
    </w:rPr>
  </w:style>
  <w:style w:type="paragraph" w:styleId="Textodeglobo">
    <w:name w:val="Balloon Text"/>
    <w:basedOn w:val="Normal"/>
    <w:link w:val="TextodegloboCar"/>
    <w:uiPriority w:val="99"/>
    <w:semiHidden/>
    <w:unhideWhenUsed/>
    <w:rsid w:val="00CA57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5795"/>
    <w:rPr>
      <w:rFonts w:ascii="Tahoma" w:hAnsi="Tahoma" w:cs="Tahoma"/>
      <w:sz w:val="16"/>
      <w:szCs w:val="16"/>
    </w:rPr>
  </w:style>
  <w:style w:type="character" w:customStyle="1" w:styleId="apple-converted-space">
    <w:name w:val="apple-converted-space"/>
    <w:basedOn w:val="Fuentedeprrafopredeter"/>
    <w:rsid w:val="009A2D76"/>
  </w:style>
  <w:style w:type="character" w:styleId="Textoennegrita">
    <w:name w:val="Strong"/>
    <w:basedOn w:val="Fuentedeprrafopredeter"/>
    <w:uiPriority w:val="22"/>
    <w:qFormat/>
    <w:rsid w:val="00C57181"/>
    <w:rPr>
      <w:b/>
      <w:bCs/>
    </w:rPr>
  </w:style>
</w:styles>
</file>

<file path=word/webSettings.xml><?xml version="1.0" encoding="utf-8"?>
<w:webSettings xmlns:r="http://schemas.openxmlformats.org/officeDocument/2006/relationships" xmlns:w="http://schemas.openxmlformats.org/wordprocessingml/2006/main">
  <w:divs>
    <w:div w:id="875392832">
      <w:bodyDiv w:val="1"/>
      <w:marLeft w:val="0"/>
      <w:marRight w:val="0"/>
      <w:marTop w:val="0"/>
      <w:marBottom w:val="0"/>
      <w:divBdr>
        <w:top w:val="none" w:sz="0" w:space="0" w:color="auto"/>
        <w:left w:val="none" w:sz="0" w:space="0" w:color="auto"/>
        <w:bottom w:val="none" w:sz="0" w:space="0" w:color="auto"/>
        <w:right w:val="none" w:sz="0" w:space="0" w:color="auto"/>
      </w:divBdr>
      <w:divsChild>
        <w:div w:id="1651396242">
          <w:marLeft w:val="0"/>
          <w:marRight w:val="0"/>
          <w:marTop w:val="0"/>
          <w:marBottom w:val="120"/>
          <w:divBdr>
            <w:top w:val="none" w:sz="0" w:space="2" w:color="ABABAB"/>
            <w:left w:val="none" w:sz="0" w:space="2" w:color="ABABAB"/>
            <w:bottom w:val="none" w:sz="0" w:space="2" w:color="ABABAB"/>
            <w:right w:val="none" w:sz="0" w:space="2" w:color="ABABAB"/>
          </w:divBdr>
        </w:div>
        <w:div w:id="1425762159">
          <w:marLeft w:val="0"/>
          <w:marRight w:val="0"/>
          <w:marTop w:val="0"/>
          <w:marBottom w:val="120"/>
          <w:divBdr>
            <w:top w:val="none" w:sz="0" w:space="2" w:color="ABABAB"/>
            <w:left w:val="none" w:sz="0" w:space="2" w:color="ABABAB"/>
            <w:bottom w:val="none" w:sz="0" w:space="2" w:color="ABABAB"/>
            <w:right w:val="none" w:sz="0" w:space="2" w:color="ABABAB"/>
          </w:divBdr>
        </w:div>
      </w:divsChild>
    </w:div>
    <w:div w:id="1328288094">
      <w:bodyDiv w:val="1"/>
      <w:marLeft w:val="0"/>
      <w:marRight w:val="0"/>
      <w:marTop w:val="0"/>
      <w:marBottom w:val="0"/>
      <w:divBdr>
        <w:top w:val="none" w:sz="0" w:space="0" w:color="auto"/>
        <w:left w:val="none" w:sz="0" w:space="0" w:color="auto"/>
        <w:bottom w:val="none" w:sz="0" w:space="0" w:color="auto"/>
        <w:right w:val="none" w:sz="0" w:space="0" w:color="auto"/>
      </w:divBdr>
      <w:divsChild>
        <w:div w:id="416706079">
          <w:marLeft w:val="0"/>
          <w:marRight w:val="0"/>
          <w:marTop w:val="0"/>
          <w:marBottom w:val="0"/>
          <w:divBdr>
            <w:top w:val="none" w:sz="0" w:space="0" w:color="auto"/>
            <w:left w:val="none" w:sz="0" w:space="0" w:color="auto"/>
            <w:bottom w:val="none" w:sz="0" w:space="0" w:color="auto"/>
            <w:right w:val="none" w:sz="0" w:space="0" w:color="auto"/>
          </w:divBdr>
        </w:div>
        <w:div w:id="539635003">
          <w:marLeft w:val="0"/>
          <w:marRight w:val="0"/>
          <w:marTop w:val="600"/>
          <w:marBottom w:val="0"/>
          <w:divBdr>
            <w:top w:val="none" w:sz="0" w:space="0" w:color="auto"/>
            <w:left w:val="none" w:sz="0" w:space="0" w:color="auto"/>
            <w:bottom w:val="none" w:sz="0" w:space="0" w:color="auto"/>
            <w:right w:val="none" w:sz="0" w:space="0" w:color="auto"/>
          </w:divBdr>
          <w:divsChild>
            <w:div w:id="125740390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335567499">
      <w:bodyDiv w:val="1"/>
      <w:marLeft w:val="0"/>
      <w:marRight w:val="0"/>
      <w:marTop w:val="0"/>
      <w:marBottom w:val="0"/>
      <w:divBdr>
        <w:top w:val="none" w:sz="0" w:space="0" w:color="auto"/>
        <w:left w:val="none" w:sz="0" w:space="0" w:color="auto"/>
        <w:bottom w:val="none" w:sz="0" w:space="0" w:color="auto"/>
        <w:right w:val="none" w:sz="0" w:space="0" w:color="auto"/>
      </w:divBdr>
      <w:divsChild>
        <w:div w:id="2059358003">
          <w:marLeft w:val="0"/>
          <w:marRight w:val="0"/>
          <w:marTop w:val="0"/>
          <w:marBottom w:val="0"/>
          <w:divBdr>
            <w:top w:val="none" w:sz="0" w:space="0" w:color="auto"/>
            <w:left w:val="none" w:sz="0" w:space="0" w:color="auto"/>
            <w:bottom w:val="none" w:sz="0" w:space="0" w:color="auto"/>
            <w:right w:val="none" w:sz="0" w:space="0" w:color="auto"/>
          </w:divBdr>
        </w:div>
        <w:div w:id="1800759692">
          <w:marLeft w:val="0"/>
          <w:marRight w:val="0"/>
          <w:marTop w:val="600"/>
          <w:marBottom w:val="0"/>
          <w:divBdr>
            <w:top w:val="none" w:sz="0" w:space="0" w:color="auto"/>
            <w:left w:val="none" w:sz="0" w:space="0" w:color="auto"/>
            <w:bottom w:val="none" w:sz="0" w:space="0" w:color="auto"/>
            <w:right w:val="none" w:sz="0" w:space="0" w:color="auto"/>
          </w:divBdr>
          <w:divsChild>
            <w:div w:id="181695015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kimballgroup.com/2012/02/design-tip-142-building-brid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1096</Words>
  <Characters>6033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Nati</dc:creator>
  <cp:lastModifiedBy>Nati</cp:lastModifiedBy>
  <cp:revision>13</cp:revision>
  <dcterms:created xsi:type="dcterms:W3CDTF">2016-12-27T17:12:00Z</dcterms:created>
  <dcterms:modified xsi:type="dcterms:W3CDTF">2017-01-15T11:14:00Z</dcterms:modified>
</cp:coreProperties>
</file>