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6D" w:rsidRPr="00CC4570" w:rsidRDefault="00CC4570" w:rsidP="00F65B22">
      <w:pPr>
        <w:shd w:val="clear" w:color="auto" w:fill="FFFFFF"/>
        <w:spacing w:before="180" w:after="180"/>
        <w:jc w:val="both"/>
        <w:rPr>
          <w:rFonts w:ascii="Open Sans" w:hAnsi="Open Sans" w:hint="eastAsia"/>
          <w:b/>
          <w:color w:val="231F20"/>
          <w:sz w:val="32"/>
          <w:szCs w:val="32"/>
        </w:rPr>
      </w:pPr>
      <w:r w:rsidRPr="00CC4570">
        <w:rPr>
          <w:rFonts w:ascii="Open Sans" w:hAnsi="Open Sans"/>
          <w:b/>
          <w:color w:val="231F20"/>
          <w:sz w:val="32"/>
          <w:szCs w:val="32"/>
        </w:rPr>
        <w:t xml:space="preserve">Consejo de diseño </w:t>
      </w:r>
      <w:r w:rsidR="005C1A6D" w:rsidRPr="00CC4570">
        <w:rPr>
          <w:rFonts w:ascii="Open Sans" w:hAnsi="Open Sans"/>
          <w:b/>
          <w:color w:val="231F20"/>
          <w:sz w:val="32"/>
          <w:szCs w:val="32"/>
        </w:rPr>
        <w:t xml:space="preserve">156 </w:t>
      </w:r>
      <w:r w:rsidRPr="00CC4570">
        <w:rPr>
          <w:rFonts w:ascii="Open Sans" w:hAnsi="Open Sans"/>
          <w:b/>
          <w:color w:val="231F20"/>
          <w:sz w:val="32"/>
          <w:szCs w:val="32"/>
        </w:rPr>
        <w:t>una macro Excel para navegar.</w:t>
      </w:r>
    </w:p>
    <w:p w:rsidR="0051532F" w:rsidRDefault="0051532F" w:rsidP="00F65B22">
      <w:pPr>
        <w:shd w:val="clear" w:color="auto" w:fill="FFFFFF"/>
        <w:spacing w:before="180" w:after="180"/>
        <w:jc w:val="both"/>
        <w:rPr>
          <w:rFonts w:ascii="Open Sans" w:hAnsi="Open Sans" w:hint="eastAsia"/>
          <w:color w:val="231F20"/>
          <w:sz w:val="19"/>
          <w:szCs w:val="19"/>
        </w:rPr>
      </w:pPr>
      <w:r w:rsidRPr="0051532F">
        <w:rPr>
          <w:rFonts w:ascii="Open Sans" w:hAnsi="Open Sans"/>
          <w:color w:val="231F20"/>
          <w:sz w:val="19"/>
          <w:szCs w:val="19"/>
        </w:rPr>
        <w:t>Navegar a través de procesos empresariales separados es una de las aplicaciones m</w:t>
      </w:r>
      <w:r>
        <w:rPr>
          <w:rFonts w:ascii="Open Sans" w:hAnsi="Open Sans"/>
          <w:color w:val="231F20"/>
          <w:sz w:val="19"/>
          <w:szCs w:val="19"/>
        </w:rPr>
        <w:t xml:space="preserve">ás fuertes en el data warehouse. Frecuentemente describimos esta navegación como mágica: conexiones abiertas separadamente para el modelo dimensional en cada proceso de negocio, buscar conjuntos de respuestas para cada proceso etiquetado de manera </w:t>
      </w:r>
      <w:r>
        <w:rPr>
          <w:rFonts w:ascii="Open Sans" w:hAnsi="Open Sans" w:hint="eastAsia"/>
          <w:color w:val="231F20"/>
          <w:sz w:val="19"/>
          <w:szCs w:val="19"/>
        </w:rPr>
        <w:t>id</w:t>
      </w:r>
      <w:r>
        <w:rPr>
          <w:rFonts w:ascii="Open Sans" w:hAnsi="Open Sans"/>
          <w:color w:val="231F20"/>
          <w:sz w:val="19"/>
          <w:szCs w:val="19"/>
        </w:rPr>
        <w:t>éntica con encabezados de fila trazados desde dimensiones conformadas de modo especial, entonces proporcionan el resultado clasificando estos conjuntos de respuestas sobre los encabezados de fila. Es mágico porque los datos originales de cada proceso de negocio pueden estar profundamente distribuidos en diferentes máquinas, quizás incluso funcionando con diferentes estilos de DBMSs.</w:t>
      </w:r>
    </w:p>
    <w:p w:rsidR="0051532F" w:rsidRPr="0051532F" w:rsidRDefault="0051532F" w:rsidP="00F65B22">
      <w:pPr>
        <w:shd w:val="clear" w:color="auto" w:fill="FFFFFF"/>
        <w:spacing w:before="180" w:after="180"/>
        <w:jc w:val="both"/>
        <w:rPr>
          <w:rFonts w:ascii="Open Sans" w:hAnsi="Open Sans" w:hint="eastAsia"/>
          <w:color w:val="231F20"/>
          <w:sz w:val="19"/>
          <w:szCs w:val="19"/>
        </w:rPr>
      </w:pPr>
    </w:p>
    <w:p w:rsidR="0071024D" w:rsidRPr="0071024D" w:rsidRDefault="0051532F" w:rsidP="00F65B22">
      <w:pPr>
        <w:shd w:val="clear" w:color="auto" w:fill="FFFFFF"/>
        <w:spacing w:before="180" w:after="180"/>
        <w:jc w:val="both"/>
        <w:rPr>
          <w:rFonts w:ascii="Open Sans" w:hAnsi="Open Sans" w:hint="eastAsia"/>
          <w:color w:val="231F20"/>
          <w:sz w:val="19"/>
          <w:szCs w:val="19"/>
        </w:rPr>
      </w:pPr>
      <w:r w:rsidRPr="0051532F">
        <w:rPr>
          <w:rFonts w:ascii="Open Sans" w:hAnsi="Open Sans"/>
          <w:color w:val="231F20"/>
          <w:sz w:val="19"/>
          <w:szCs w:val="19"/>
        </w:rPr>
        <w:t>En nuestras clases introducimos la navegaci</w:t>
      </w:r>
      <w:r>
        <w:rPr>
          <w:rFonts w:ascii="Open Sans" w:hAnsi="Open Sans"/>
          <w:color w:val="231F20"/>
          <w:sz w:val="19"/>
          <w:szCs w:val="19"/>
        </w:rPr>
        <w:t xml:space="preserve">ón con el siguiente ejemplo simple. Suponemos que tenemos tres procesos: </w:t>
      </w:r>
      <w:r w:rsidR="0071024D">
        <w:rPr>
          <w:rFonts w:ascii="Open Sans" w:hAnsi="Open Sans"/>
          <w:color w:val="231F20"/>
          <w:sz w:val="19"/>
          <w:szCs w:val="19"/>
        </w:rPr>
        <w:t>envíos de fabricación, inventarios de almacén y ventas minoristas. Hemos administrado cuidadosamente la dimensión de producto asociada con cada uno de estos procesos de manera que las descripciones de producto son consistentes. Llamamos a esto una dimensión conformada. En nuestro simple ejemplo, hay tres productos nombrados; Framis, Toggle, y</w:t>
      </w:r>
      <w:r w:rsidR="0071024D" w:rsidRPr="0071024D">
        <w:rPr>
          <w:rFonts w:ascii="Open Sans" w:hAnsi="Open Sans"/>
          <w:color w:val="231F20"/>
          <w:sz w:val="19"/>
          <w:szCs w:val="19"/>
        </w:rPr>
        <w:t xml:space="preserve"> Widget.</w:t>
      </w:r>
    </w:p>
    <w:p w:rsidR="0051532F" w:rsidRPr="0051532F" w:rsidRDefault="0071024D" w:rsidP="00F65B22">
      <w:pPr>
        <w:shd w:val="clear" w:color="auto" w:fill="FFFFFF"/>
        <w:spacing w:before="180" w:after="180"/>
        <w:jc w:val="both"/>
        <w:rPr>
          <w:rFonts w:ascii="Open Sans" w:hAnsi="Open Sans" w:hint="eastAsia"/>
          <w:color w:val="231F20"/>
          <w:sz w:val="19"/>
          <w:szCs w:val="19"/>
        </w:rPr>
      </w:pPr>
      <w:r>
        <w:rPr>
          <w:rFonts w:ascii="Open Sans" w:hAnsi="Open Sans"/>
          <w:color w:val="231F20"/>
          <w:sz w:val="19"/>
          <w:szCs w:val="19"/>
        </w:rPr>
        <w:t>Cuando consultamos cada proceso separadamente, obtenemos los tres conjuntos de respuestas:</w:t>
      </w:r>
    </w:p>
    <w:p w:rsidR="005C1A6D" w:rsidRDefault="005C1A6D" w:rsidP="00F65B22">
      <w:pPr>
        <w:shd w:val="clear" w:color="auto" w:fill="FFFFFF"/>
        <w:jc w:val="both"/>
        <w:rPr>
          <w:rFonts w:ascii="Open Sans" w:hAnsi="Open Sans" w:hint="eastAsia"/>
          <w:color w:val="231F20"/>
          <w:sz w:val="19"/>
          <w:szCs w:val="19"/>
        </w:rPr>
      </w:pPr>
      <w:r>
        <w:rPr>
          <w:rFonts w:ascii="Open Sans" w:hAnsi="Open Sans"/>
          <w:noProof/>
          <w:color w:val="045A9C"/>
          <w:sz w:val="19"/>
          <w:szCs w:val="19"/>
        </w:rPr>
        <w:drawing>
          <wp:inline distT="0" distB="0" distL="0" distR="0">
            <wp:extent cx="2209800" cy="2674620"/>
            <wp:effectExtent l="19050" t="0" r="0" b="0"/>
            <wp:docPr id="4" name="Imagen 1" descr="http://www.kimballgroup.com/wp-content/uploads/2013/06/Separate-Results1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mballgroup.com/wp-content/uploads/2013/06/Separate-Results11.png">
                      <a:hlinkClick r:id="rId4"/>
                    </pic:cNvPr>
                    <pic:cNvPicPr>
                      <a:picLocks noChangeAspect="1" noChangeArrowheads="1"/>
                    </pic:cNvPicPr>
                  </pic:nvPicPr>
                  <pic:blipFill>
                    <a:blip r:embed="rId5" cstate="print"/>
                    <a:srcRect/>
                    <a:stretch>
                      <a:fillRect/>
                    </a:stretch>
                  </pic:blipFill>
                  <pic:spPr bwMode="auto">
                    <a:xfrm>
                      <a:off x="0" y="0"/>
                      <a:ext cx="2209800" cy="2674620"/>
                    </a:xfrm>
                    <a:prstGeom prst="rect">
                      <a:avLst/>
                    </a:prstGeom>
                    <a:noFill/>
                    <a:ln w="9525">
                      <a:noFill/>
                      <a:miter lim="800000"/>
                      <a:headEnd/>
                      <a:tailEnd/>
                    </a:ln>
                  </pic:spPr>
                </pic:pic>
              </a:graphicData>
            </a:graphic>
          </wp:inline>
        </w:drawing>
      </w:r>
    </w:p>
    <w:p w:rsidR="0071024D" w:rsidRPr="0071024D" w:rsidRDefault="0071024D" w:rsidP="00F65B22">
      <w:pPr>
        <w:shd w:val="clear" w:color="auto" w:fill="FFFFFF"/>
        <w:spacing w:before="180" w:after="180"/>
        <w:jc w:val="both"/>
        <w:rPr>
          <w:rFonts w:ascii="Open Sans" w:hAnsi="Open Sans" w:hint="eastAsia"/>
          <w:color w:val="231F20"/>
          <w:sz w:val="19"/>
          <w:szCs w:val="19"/>
        </w:rPr>
      </w:pPr>
      <w:r w:rsidRPr="0071024D">
        <w:rPr>
          <w:rFonts w:ascii="Open Sans" w:hAnsi="Open Sans"/>
          <w:color w:val="231F20"/>
          <w:sz w:val="19"/>
          <w:szCs w:val="19"/>
        </w:rPr>
        <w:t>El desafío de navegar es coger estos tres conjuntos de respuestas</w:t>
      </w:r>
      <w:r>
        <w:rPr>
          <w:rFonts w:ascii="Open Sans" w:hAnsi="Open Sans"/>
          <w:color w:val="231F20"/>
          <w:sz w:val="19"/>
          <w:szCs w:val="19"/>
        </w:rPr>
        <w:t xml:space="preserve"> y clasificarlos en el encabezado de fila de producto, esperamos obtener el siguiente resultado:</w:t>
      </w:r>
    </w:p>
    <w:p w:rsidR="005C1A6D" w:rsidRDefault="005C1A6D" w:rsidP="00F65B22">
      <w:pPr>
        <w:shd w:val="clear" w:color="auto" w:fill="FFFFFF"/>
        <w:jc w:val="both"/>
        <w:rPr>
          <w:rFonts w:ascii="Open Sans" w:hAnsi="Open Sans" w:hint="eastAsia"/>
          <w:color w:val="231F20"/>
          <w:sz w:val="19"/>
          <w:szCs w:val="19"/>
        </w:rPr>
      </w:pPr>
      <w:r>
        <w:rPr>
          <w:rFonts w:ascii="Open Sans" w:hAnsi="Open Sans"/>
          <w:noProof/>
          <w:color w:val="045A9C"/>
          <w:sz w:val="19"/>
          <w:szCs w:val="19"/>
        </w:rPr>
        <w:drawing>
          <wp:inline distT="0" distB="0" distL="0" distR="0">
            <wp:extent cx="4914900" cy="769620"/>
            <wp:effectExtent l="19050" t="0" r="0" b="0"/>
            <wp:docPr id="3" name="Imagen 2" descr="http://www.kimballgroup.com/wp-content/uploads/2013/06/Drill-Across3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imballgroup.com/wp-content/uploads/2013/06/Drill-Across31.png">
                      <a:hlinkClick r:id="rId6"/>
                    </pic:cNvPr>
                    <pic:cNvPicPr>
                      <a:picLocks noChangeAspect="1" noChangeArrowheads="1"/>
                    </pic:cNvPicPr>
                  </pic:nvPicPr>
                  <pic:blipFill>
                    <a:blip r:embed="rId7" cstate="print"/>
                    <a:srcRect/>
                    <a:stretch>
                      <a:fillRect/>
                    </a:stretch>
                  </pic:blipFill>
                  <pic:spPr bwMode="auto">
                    <a:xfrm>
                      <a:off x="0" y="0"/>
                      <a:ext cx="4914900" cy="769620"/>
                    </a:xfrm>
                    <a:prstGeom prst="rect">
                      <a:avLst/>
                    </a:prstGeom>
                    <a:noFill/>
                    <a:ln w="9525">
                      <a:noFill/>
                      <a:miter lim="800000"/>
                      <a:headEnd/>
                      <a:tailEnd/>
                    </a:ln>
                  </pic:spPr>
                </pic:pic>
              </a:graphicData>
            </a:graphic>
          </wp:inline>
        </w:drawing>
      </w:r>
    </w:p>
    <w:p w:rsidR="0071024D" w:rsidRPr="0071024D" w:rsidRDefault="0071024D" w:rsidP="00F65B22">
      <w:pPr>
        <w:shd w:val="clear" w:color="auto" w:fill="FFFFFF"/>
        <w:spacing w:before="180" w:after="180"/>
        <w:jc w:val="both"/>
        <w:rPr>
          <w:rFonts w:ascii="Open Sans" w:hAnsi="Open Sans" w:hint="eastAsia"/>
          <w:color w:val="231F20"/>
          <w:sz w:val="19"/>
          <w:szCs w:val="19"/>
        </w:rPr>
      </w:pPr>
      <w:r w:rsidRPr="0071024D">
        <w:rPr>
          <w:rFonts w:ascii="Open Sans" w:hAnsi="Open Sans"/>
          <w:color w:val="231F20"/>
          <w:sz w:val="19"/>
          <w:szCs w:val="19"/>
        </w:rPr>
        <w:t>Parece simpe, ¿verdad? Pero en la vida real, si los tres procesos de negocio est</w:t>
      </w:r>
      <w:r>
        <w:rPr>
          <w:rFonts w:ascii="Open Sans" w:hAnsi="Open Sans"/>
          <w:color w:val="231F20"/>
          <w:sz w:val="19"/>
          <w:szCs w:val="19"/>
        </w:rPr>
        <w:t>án en máquinas diferentes, ¿dónde llevas a cabo la navegación? Cognos, objetos de negocio y la capa del servidor OBIEE todos pueden realizar su propia versión de navegación ¡si puedes encontrar la característica bajo un nombre diferente! Pero ¿como abres conexiones arbitrarias hacia fuentes de datos remotas aleatorias y realizar esta clasificación, especialmente si no tienes una de estas herramientas?</w:t>
      </w:r>
    </w:p>
    <w:p w:rsidR="0071024D" w:rsidRPr="0071024D" w:rsidRDefault="0071024D" w:rsidP="00F65B22">
      <w:pPr>
        <w:shd w:val="clear" w:color="auto" w:fill="FFFFFF"/>
        <w:spacing w:before="180" w:after="180"/>
        <w:jc w:val="both"/>
        <w:rPr>
          <w:rFonts w:ascii="Open Sans" w:hAnsi="Open Sans" w:hint="eastAsia"/>
          <w:color w:val="231F20"/>
          <w:sz w:val="19"/>
          <w:szCs w:val="19"/>
        </w:rPr>
      </w:pPr>
      <w:r w:rsidRPr="0071024D">
        <w:rPr>
          <w:rFonts w:ascii="Open Sans" w:hAnsi="Open Sans"/>
          <w:color w:val="231F20"/>
          <w:sz w:val="19"/>
          <w:szCs w:val="19"/>
        </w:rPr>
        <w:t xml:space="preserve">Anteriormente, les decía a mis </w:t>
      </w:r>
      <w:r w:rsidRPr="0071024D">
        <w:rPr>
          <w:rFonts w:ascii="Open Sans" w:hAnsi="Open Sans" w:hint="eastAsia"/>
          <w:color w:val="231F20"/>
          <w:sz w:val="19"/>
          <w:szCs w:val="19"/>
        </w:rPr>
        <w:t xml:space="preserve">alumnos </w:t>
      </w:r>
      <w:r w:rsidRPr="0071024D">
        <w:rPr>
          <w:rFonts w:ascii="Open Sans" w:hAnsi="Open Sans"/>
          <w:color w:val="231F20"/>
          <w:sz w:val="19"/>
          <w:szCs w:val="19"/>
        </w:rPr>
        <w:t xml:space="preserve">que estudiasen sus aplicaciones BI y </w:t>
      </w:r>
      <w:r>
        <w:rPr>
          <w:rFonts w:ascii="Open Sans" w:hAnsi="Open Sans"/>
          <w:color w:val="231F20"/>
          <w:sz w:val="19"/>
          <w:szCs w:val="19"/>
        </w:rPr>
        <w:t>descifraran que hacer. Esto es insatisfactorio y sospecho que muchos estudiantes nunca han implementado aplicaciones para navegar.</w:t>
      </w:r>
    </w:p>
    <w:p w:rsidR="0071024D" w:rsidRPr="00CC4570" w:rsidRDefault="0071024D" w:rsidP="00F65B22">
      <w:pPr>
        <w:shd w:val="clear" w:color="auto" w:fill="FFFFFF"/>
        <w:spacing w:before="180" w:after="180"/>
        <w:jc w:val="both"/>
        <w:rPr>
          <w:rFonts w:ascii="Open Sans" w:hAnsi="Open Sans" w:hint="eastAsia"/>
          <w:color w:val="231F20"/>
          <w:sz w:val="19"/>
          <w:szCs w:val="19"/>
        </w:rPr>
      </w:pPr>
    </w:p>
    <w:p w:rsidR="0071024D" w:rsidRPr="0071024D" w:rsidRDefault="0071024D" w:rsidP="00F65B22">
      <w:pPr>
        <w:shd w:val="clear" w:color="auto" w:fill="FFFFFF"/>
        <w:spacing w:before="180" w:after="180"/>
        <w:jc w:val="both"/>
        <w:rPr>
          <w:rFonts w:ascii="Open Sans" w:hAnsi="Open Sans" w:hint="eastAsia"/>
          <w:color w:val="231F20"/>
          <w:sz w:val="19"/>
          <w:szCs w:val="19"/>
        </w:rPr>
      </w:pPr>
      <w:r w:rsidRPr="0071024D">
        <w:rPr>
          <w:rFonts w:ascii="Open Sans" w:hAnsi="Open Sans"/>
          <w:color w:val="231F20"/>
          <w:sz w:val="19"/>
          <w:szCs w:val="19"/>
        </w:rPr>
        <w:lastRenderedPageBreak/>
        <w:t xml:space="preserve">Decidí intentar implementar la </w:t>
      </w:r>
      <w:r w:rsidR="00536CFA">
        <w:rPr>
          <w:rFonts w:ascii="Open Sans" w:hAnsi="Open Sans"/>
          <w:color w:val="231F20"/>
          <w:sz w:val="19"/>
          <w:szCs w:val="19"/>
        </w:rPr>
        <w:t>navegación</w:t>
      </w:r>
      <w:r w:rsidRPr="0071024D">
        <w:rPr>
          <w:rFonts w:ascii="Open Sans" w:hAnsi="Open Sans"/>
          <w:color w:val="231F20"/>
          <w:sz w:val="19"/>
          <w:szCs w:val="19"/>
        </w:rPr>
        <w:t xml:space="preserve"> en Excel, donde </w:t>
      </w:r>
      <w:r>
        <w:rPr>
          <w:rFonts w:ascii="Open Sans" w:hAnsi="Open Sans"/>
          <w:color w:val="231F20"/>
          <w:sz w:val="19"/>
          <w:szCs w:val="19"/>
        </w:rPr>
        <w:t xml:space="preserve">dentro de una única hoja de cálculo maestra, cada resultado del proceso  sería almacenado en una hoja de trabajo separada. </w:t>
      </w:r>
      <w:r w:rsidR="0077772E">
        <w:rPr>
          <w:rFonts w:ascii="Open Sans" w:hAnsi="Open Sans"/>
          <w:color w:val="231F20"/>
          <w:sz w:val="19"/>
          <w:szCs w:val="19"/>
        </w:rPr>
        <w:t>Esperaba poder utilizar el comando Pivote para cumplir la clasificación, pero el Pivote no era suficientemente potente. La clasificación a través de muchas fuentes de datos simultáneas es actualmente una serie sofisticada de pasos, las cuáles en un lenguaje relacional es una unión externa simétrica completa altamente paralelizada entre todas las fuentes. Pero en general no podemos usar un RDBMS porque estamos empujando desde múltiples diversas fuentes, quizás incluyendo sistemas OLAP o herramientas Hive en entornos Hadoop. Actualmente, cualquier conjunto de resultados que tenga el formato  requerido es un juego justo para navegar.</w:t>
      </w:r>
    </w:p>
    <w:p w:rsidR="0077772E" w:rsidRPr="0077772E" w:rsidRDefault="0077772E" w:rsidP="00F65B22">
      <w:pPr>
        <w:shd w:val="clear" w:color="auto" w:fill="FFFFFF"/>
        <w:spacing w:before="180" w:after="180"/>
        <w:jc w:val="both"/>
        <w:rPr>
          <w:rFonts w:ascii="Open Sans" w:hAnsi="Open Sans" w:hint="eastAsia"/>
          <w:color w:val="231F20"/>
          <w:sz w:val="19"/>
          <w:szCs w:val="19"/>
        </w:rPr>
      </w:pPr>
      <w:r w:rsidRPr="0077772E">
        <w:rPr>
          <w:rFonts w:ascii="Open Sans" w:hAnsi="Open Sans"/>
          <w:color w:val="231F20"/>
          <w:sz w:val="19"/>
          <w:szCs w:val="19"/>
        </w:rPr>
        <w:t>Afortunadamente me siento muy cómodo con Visual Basic as</w:t>
      </w:r>
      <w:r>
        <w:rPr>
          <w:rFonts w:ascii="Open Sans" w:hAnsi="Open Sans"/>
          <w:color w:val="231F20"/>
          <w:sz w:val="19"/>
          <w:szCs w:val="19"/>
        </w:rPr>
        <w:t>í que escribí una macro de Excel en VB para navegar. Una vez que almacenas los diferentes resultados en hojas de trabajo separadas, puedes poner en funcionamiento la macro y ¡Presto!</w:t>
      </w:r>
    </w:p>
    <w:p w:rsidR="00F65B22" w:rsidRPr="0077772E" w:rsidRDefault="0077772E" w:rsidP="00F65B22">
      <w:pPr>
        <w:shd w:val="clear" w:color="auto" w:fill="FFFFFF"/>
        <w:spacing w:before="180" w:after="180"/>
        <w:jc w:val="both"/>
      </w:pPr>
      <w:r w:rsidRPr="0077772E">
        <w:rPr>
          <w:rFonts w:ascii="Open Sans" w:hAnsi="Open Sans"/>
          <w:color w:val="231F20"/>
          <w:sz w:val="19"/>
          <w:szCs w:val="19"/>
        </w:rPr>
        <w:t>El código para la macro est</w:t>
      </w:r>
      <w:r>
        <w:rPr>
          <w:rFonts w:ascii="Open Sans" w:hAnsi="Open Sans"/>
          <w:color w:val="231F20"/>
          <w:sz w:val="19"/>
          <w:szCs w:val="19"/>
        </w:rPr>
        <w:t xml:space="preserve">á disponible en este </w:t>
      </w:r>
      <w:hyperlink r:id="rId8" w:history="1">
        <w:r w:rsidRPr="0077772E">
          <w:rPr>
            <w:rStyle w:val="apple-converted-space"/>
            <w:rFonts w:ascii="Open Sans" w:hAnsi="Open Sans"/>
            <w:color w:val="045A9C"/>
            <w:sz w:val="19"/>
            <w:szCs w:val="19"/>
          </w:rPr>
          <w:t> </w:t>
        </w:r>
        <w:r w:rsidRPr="0077772E">
          <w:rPr>
            <w:rStyle w:val="Hipervnculo"/>
            <w:rFonts w:ascii="Open Sans" w:hAnsi="Open Sans"/>
            <w:color w:val="045A9C"/>
            <w:sz w:val="19"/>
            <w:szCs w:val="19"/>
          </w:rPr>
          <w:t>link</w:t>
        </w:r>
      </w:hyperlink>
      <w:r>
        <w:t xml:space="preserve">. </w:t>
      </w:r>
      <w:r>
        <w:rPr>
          <w:rFonts w:ascii="Open Sans" w:hAnsi="Open Sans"/>
          <w:color w:val="231F20"/>
          <w:sz w:val="19"/>
          <w:szCs w:val="19"/>
        </w:rPr>
        <w:t xml:space="preserve">Puedes descargarte la hoja de cálculo completa con datos de muestra y la macro en este </w:t>
      </w:r>
      <w:hyperlink r:id="rId9" w:history="1">
        <w:r w:rsidR="005C1A6D" w:rsidRPr="0077772E">
          <w:rPr>
            <w:rStyle w:val="Hipervnculo"/>
            <w:rFonts w:ascii="Open Sans" w:hAnsi="Open Sans"/>
            <w:color w:val="045A9C"/>
            <w:sz w:val="19"/>
            <w:szCs w:val="19"/>
          </w:rPr>
          <w:t>link</w:t>
        </w:r>
      </w:hyperlink>
      <w:r w:rsidR="005C1A6D" w:rsidRPr="0077772E">
        <w:rPr>
          <w:rFonts w:ascii="Open Sans" w:hAnsi="Open Sans"/>
          <w:color w:val="231F20"/>
          <w:sz w:val="19"/>
          <w:szCs w:val="19"/>
        </w:rPr>
        <w:t xml:space="preserve">. </w:t>
      </w:r>
      <w:r>
        <w:rPr>
          <w:rFonts w:ascii="Open Sans" w:hAnsi="Open Sans"/>
          <w:color w:val="231F20"/>
          <w:sz w:val="19"/>
          <w:szCs w:val="19"/>
        </w:rPr>
        <w:t xml:space="preserve">En el código, las hojas de trabajo para cada proceso se llaman </w:t>
      </w:r>
      <w:r w:rsidRPr="0077772E">
        <w:rPr>
          <w:rFonts w:ascii="Open Sans" w:hAnsi="Open Sans"/>
          <w:color w:val="231F20"/>
          <w:sz w:val="19"/>
          <w:szCs w:val="19"/>
        </w:rPr>
        <w:t xml:space="preserve">Process1, Process2, </w:t>
      </w:r>
      <w:r>
        <w:rPr>
          <w:rFonts w:ascii="Open Sans" w:hAnsi="Open Sans"/>
          <w:color w:val="231F20"/>
          <w:sz w:val="19"/>
          <w:szCs w:val="19"/>
        </w:rPr>
        <w:t xml:space="preserve">y así sucesivamente. Abre la hoja de trabajo llamada </w:t>
      </w:r>
      <w:r w:rsidR="00F65B22" w:rsidRPr="00CC4570">
        <w:rPr>
          <w:rFonts w:ascii="Open Sans" w:hAnsi="Open Sans"/>
          <w:color w:val="231F20"/>
          <w:sz w:val="19"/>
          <w:szCs w:val="19"/>
        </w:rPr>
        <w:t>StartHere</w:t>
      </w:r>
      <w:r w:rsidR="00F65B22">
        <w:rPr>
          <w:rFonts w:ascii="Open Sans" w:hAnsi="Open Sans"/>
          <w:color w:val="231F20"/>
          <w:sz w:val="19"/>
          <w:szCs w:val="19"/>
        </w:rPr>
        <w:t xml:space="preserve"> </w:t>
      </w:r>
      <w:r>
        <w:rPr>
          <w:rFonts w:ascii="Open Sans" w:hAnsi="Open Sans"/>
          <w:color w:val="231F20"/>
          <w:sz w:val="19"/>
          <w:szCs w:val="19"/>
        </w:rPr>
        <w:t xml:space="preserve">para empezar. </w:t>
      </w:r>
      <w:r w:rsidR="00F65B22">
        <w:rPr>
          <w:rFonts w:ascii="Open Sans" w:hAnsi="Open Sans"/>
          <w:color w:val="231F20"/>
          <w:sz w:val="19"/>
          <w:szCs w:val="19"/>
        </w:rPr>
        <w:t xml:space="preserve">La </w:t>
      </w:r>
      <w:r w:rsidR="00F65B22">
        <w:rPr>
          <w:rFonts w:ascii="Open Sans" w:hAnsi="Open Sans" w:hint="eastAsia"/>
          <w:color w:val="231F20"/>
          <w:sz w:val="19"/>
          <w:szCs w:val="19"/>
        </w:rPr>
        <w:t>hoja</w:t>
      </w:r>
      <w:r w:rsidR="00F65B22">
        <w:rPr>
          <w:rFonts w:ascii="Open Sans" w:hAnsi="Open Sans"/>
          <w:color w:val="231F20"/>
          <w:sz w:val="19"/>
          <w:szCs w:val="19"/>
        </w:rPr>
        <w:t xml:space="preserve"> de trabajo para el resultado final se llama </w:t>
      </w:r>
      <w:r w:rsidR="00F65B22" w:rsidRPr="00F65B22">
        <w:rPr>
          <w:rFonts w:ascii="Open Sans" w:hAnsi="Open Sans"/>
          <w:color w:val="231F20"/>
          <w:sz w:val="19"/>
          <w:szCs w:val="19"/>
        </w:rPr>
        <w:t>DrillAcrossResult.</w:t>
      </w:r>
    </w:p>
    <w:p w:rsidR="0077772E" w:rsidRDefault="00F65B22" w:rsidP="00F65B22">
      <w:pPr>
        <w:shd w:val="clear" w:color="auto" w:fill="FFFFFF"/>
        <w:spacing w:before="180" w:after="180"/>
        <w:jc w:val="both"/>
        <w:rPr>
          <w:rFonts w:ascii="Open Sans" w:hAnsi="Open Sans" w:hint="eastAsia"/>
          <w:color w:val="231F20"/>
          <w:sz w:val="19"/>
          <w:szCs w:val="19"/>
        </w:rPr>
      </w:pPr>
      <w:r>
        <w:rPr>
          <w:rFonts w:ascii="Open Sans" w:hAnsi="Open Sans"/>
          <w:color w:val="231F20"/>
          <w:sz w:val="19"/>
          <w:szCs w:val="19"/>
        </w:rPr>
        <w:t xml:space="preserve">Codificar y depurar esta macro me llevó alrededor de 6 horas durante un período de dos días. Lo he hecho bastante robusto. Puedes navegar a través de 20 procesos, donde cada proceso puede tener cientos o incluso miles de filas. Los conjuntos de resultados se pueden etiquetar con encabezados de filas multi-nivel, y cada proceso puede 20 hechos únicos asociados. Porque se implementa una unión externa de los conjuntos de resultados, a la respuesta final se le permite tener celdas en blanco. </w:t>
      </w:r>
    </w:p>
    <w:p w:rsidR="00F65B22" w:rsidRDefault="00F65B22" w:rsidP="00F65B22">
      <w:pPr>
        <w:shd w:val="clear" w:color="auto" w:fill="FFFFFF"/>
        <w:spacing w:before="180" w:after="180"/>
        <w:jc w:val="both"/>
        <w:rPr>
          <w:rFonts w:ascii="Open Sans" w:hAnsi="Open Sans" w:hint="eastAsia"/>
          <w:color w:val="231F20"/>
          <w:sz w:val="19"/>
          <w:szCs w:val="19"/>
        </w:rPr>
      </w:pPr>
      <w:r>
        <w:rPr>
          <w:rFonts w:ascii="Open Sans" w:hAnsi="Open Sans"/>
          <w:color w:val="231F20"/>
          <w:sz w:val="19"/>
          <w:szCs w:val="19"/>
        </w:rPr>
        <w:t>Cada proceso está totalmente clasificado por la macro antes de la operación de navegación.</w:t>
      </w:r>
    </w:p>
    <w:p w:rsidR="00F65B22" w:rsidRDefault="00F65B22" w:rsidP="005C1A6D">
      <w:pPr>
        <w:shd w:val="clear" w:color="auto" w:fill="FFFFFF"/>
        <w:spacing w:before="180" w:after="180"/>
        <w:rPr>
          <w:rFonts w:ascii="Open Sans" w:hAnsi="Open Sans" w:hint="eastAsia"/>
          <w:color w:val="231F20"/>
          <w:sz w:val="19"/>
          <w:szCs w:val="19"/>
        </w:rPr>
      </w:pPr>
    </w:p>
    <w:p w:rsidR="00F65B22" w:rsidRDefault="0043695E" w:rsidP="005C1A6D">
      <w:pPr>
        <w:shd w:val="clear" w:color="auto" w:fill="FFFFFF"/>
        <w:spacing w:before="180" w:after="180"/>
        <w:rPr>
          <w:rFonts w:ascii="Open Sans" w:hAnsi="Open Sans" w:hint="eastAsia"/>
          <w:color w:val="231F20"/>
          <w:sz w:val="19"/>
          <w:szCs w:val="19"/>
        </w:rPr>
      </w:pPr>
      <w:hyperlink r:id="rId10" w:history="1">
        <w:r w:rsidR="00F65B22" w:rsidRPr="008E15A2">
          <w:rPr>
            <w:rStyle w:val="Hipervnculo"/>
            <w:rFonts w:ascii="Open Sans" w:hAnsi="Open Sans"/>
            <w:sz w:val="19"/>
            <w:szCs w:val="19"/>
          </w:rPr>
          <w:t>http://www.kimballgroup.com/2013/06/design-tip-156-an-excel-macro-for-drilling-across/</w:t>
        </w:r>
      </w:hyperlink>
    </w:p>
    <w:p w:rsidR="00F65B22" w:rsidRPr="0077772E" w:rsidRDefault="00F65B22" w:rsidP="005C1A6D">
      <w:pPr>
        <w:shd w:val="clear" w:color="auto" w:fill="FFFFFF"/>
        <w:spacing w:before="180" w:after="180"/>
        <w:rPr>
          <w:rFonts w:ascii="Open Sans" w:hAnsi="Open Sans" w:hint="eastAsia"/>
          <w:color w:val="231F20"/>
          <w:sz w:val="19"/>
          <w:szCs w:val="19"/>
        </w:rPr>
      </w:pPr>
    </w:p>
    <w:p w:rsidR="004137F0" w:rsidRPr="00F65B22" w:rsidRDefault="00536CFA" w:rsidP="005C1A6D"/>
    <w:sectPr w:rsidR="004137F0" w:rsidRPr="00F65B22" w:rsidSect="003B1A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useFELayout/>
  </w:compat>
  <w:rsids>
    <w:rsidRoot w:val="00C0506B"/>
    <w:rsid w:val="00023998"/>
    <w:rsid w:val="00127365"/>
    <w:rsid w:val="001F79B4"/>
    <w:rsid w:val="00264F3E"/>
    <w:rsid w:val="0038542E"/>
    <w:rsid w:val="003B1A7D"/>
    <w:rsid w:val="0043695E"/>
    <w:rsid w:val="00501523"/>
    <w:rsid w:val="0051532F"/>
    <w:rsid w:val="00536CFA"/>
    <w:rsid w:val="005C1A6D"/>
    <w:rsid w:val="0071024D"/>
    <w:rsid w:val="0077772E"/>
    <w:rsid w:val="0083165F"/>
    <w:rsid w:val="00925611"/>
    <w:rsid w:val="00987D21"/>
    <w:rsid w:val="00B77408"/>
    <w:rsid w:val="00C0506B"/>
    <w:rsid w:val="00C35A3A"/>
    <w:rsid w:val="00CC4570"/>
    <w:rsid w:val="00D0460A"/>
    <w:rsid w:val="00F65B22"/>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7D"/>
  </w:style>
  <w:style w:type="paragraph" w:styleId="Ttulo1">
    <w:name w:val="heading 1"/>
    <w:basedOn w:val="Normal"/>
    <w:link w:val="Ttulo1Car"/>
    <w:uiPriority w:val="9"/>
    <w:qFormat/>
    <w:rsid w:val="0092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506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0506B"/>
    <w:rPr>
      <w:color w:val="0000FF"/>
      <w:u w:val="single"/>
    </w:rPr>
  </w:style>
  <w:style w:type="character" w:customStyle="1" w:styleId="apple-converted-space">
    <w:name w:val="apple-converted-space"/>
    <w:basedOn w:val="Fuentedeprrafopredeter"/>
    <w:rsid w:val="00C0506B"/>
  </w:style>
  <w:style w:type="character" w:styleId="nfasis">
    <w:name w:val="Emphasis"/>
    <w:basedOn w:val="Fuentedeprrafopredeter"/>
    <w:uiPriority w:val="20"/>
    <w:qFormat/>
    <w:rsid w:val="00C0506B"/>
    <w:rPr>
      <w:i/>
      <w:iCs/>
    </w:rPr>
  </w:style>
  <w:style w:type="paragraph" w:styleId="Textodeglobo">
    <w:name w:val="Balloon Text"/>
    <w:basedOn w:val="Normal"/>
    <w:link w:val="TextodegloboCar"/>
    <w:uiPriority w:val="99"/>
    <w:semiHidden/>
    <w:unhideWhenUsed/>
    <w:rsid w:val="00C0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06B"/>
    <w:rPr>
      <w:rFonts w:ascii="Tahoma" w:hAnsi="Tahoma" w:cs="Tahoma"/>
      <w:sz w:val="16"/>
      <w:szCs w:val="16"/>
    </w:rPr>
  </w:style>
  <w:style w:type="character" w:customStyle="1" w:styleId="Ttulo1Car">
    <w:name w:val="Título 1 Car"/>
    <w:basedOn w:val="Fuentedeprrafopredeter"/>
    <w:link w:val="Ttulo1"/>
    <w:uiPriority w:val="9"/>
    <w:rsid w:val="00925611"/>
    <w:rPr>
      <w:rFonts w:ascii="Times New Roman" w:eastAsia="Times New Roman" w:hAnsi="Times New Roman" w:cs="Times New Roman"/>
      <w:b/>
      <w:bCs/>
      <w:kern w:val="36"/>
      <w:sz w:val="48"/>
      <w:szCs w:val="48"/>
    </w:rPr>
  </w:style>
  <w:style w:type="character" w:customStyle="1" w:styleId="msonormal0">
    <w:name w:val="msonormal"/>
    <w:basedOn w:val="Fuentedeprrafopredeter"/>
    <w:rsid w:val="005C1A6D"/>
  </w:style>
</w:styles>
</file>

<file path=word/webSettings.xml><?xml version="1.0" encoding="utf-8"?>
<w:webSettings xmlns:r="http://schemas.openxmlformats.org/officeDocument/2006/relationships" xmlns:w="http://schemas.openxmlformats.org/wordprocessingml/2006/main">
  <w:divs>
    <w:div w:id="226427867">
      <w:bodyDiv w:val="1"/>
      <w:marLeft w:val="0"/>
      <w:marRight w:val="0"/>
      <w:marTop w:val="0"/>
      <w:marBottom w:val="0"/>
      <w:divBdr>
        <w:top w:val="none" w:sz="0" w:space="0" w:color="auto"/>
        <w:left w:val="none" w:sz="0" w:space="0" w:color="auto"/>
        <w:bottom w:val="none" w:sz="0" w:space="0" w:color="auto"/>
        <w:right w:val="none" w:sz="0" w:space="0" w:color="auto"/>
      </w:divBdr>
    </w:div>
    <w:div w:id="418790505">
      <w:bodyDiv w:val="1"/>
      <w:marLeft w:val="0"/>
      <w:marRight w:val="0"/>
      <w:marTop w:val="0"/>
      <w:marBottom w:val="0"/>
      <w:divBdr>
        <w:top w:val="none" w:sz="0" w:space="0" w:color="auto"/>
        <w:left w:val="none" w:sz="0" w:space="0" w:color="auto"/>
        <w:bottom w:val="none" w:sz="0" w:space="0" w:color="auto"/>
        <w:right w:val="none" w:sz="0" w:space="0" w:color="auto"/>
      </w:divBdr>
    </w:div>
    <w:div w:id="1198278228">
      <w:bodyDiv w:val="1"/>
      <w:marLeft w:val="0"/>
      <w:marRight w:val="0"/>
      <w:marTop w:val="0"/>
      <w:marBottom w:val="0"/>
      <w:divBdr>
        <w:top w:val="none" w:sz="0" w:space="0" w:color="auto"/>
        <w:left w:val="none" w:sz="0" w:space="0" w:color="auto"/>
        <w:bottom w:val="none" w:sz="0" w:space="0" w:color="auto"/>
        <w:right w:val="none" w:sz="0" w:space="0" w:color="auto"/>
      </w:divBdr>
    </w:div>
    <w:div w:id="1349521750">
      <w:bodyDiv w:val="1"/>
      <w:marLeft w:val="0"/>
      <w:marRight w:val="0"/>
      <w:marTop w:val="0"/>
      <w:marBottom w:val="0"/>
      <w:divBdr>
        <w:top w:val="none" w:sz="0" w:space="0" w:color="auto"/>
        <w:left w:val="none" w:sz="0" w:space="0" w:color="auto"/>
        <w:bottom w:val="none" w:sz="0" w:space="0" w:color="auto"/>
        <w:right w:val="none" w:sz="0" w:space="0" w:color="auto"/>
      </w:divBdr>
      <w:divsChild>
        <w:div w:id="1154372109">
          <w:marLeft w:val="0"/>
          <w:marRight w:val="0"/>
          <w:marTop w:val="0"/>
          <w:marBottom w:val="0"/>
          <w:divBdr>
            <w:top w:val="none" w:sz="0" w:space="0" w:color="auto"/>
            <w:left w:val="none" w:sz="0" w:space="0" w:color="auto"/>
            <w:bottom w:val="none" w:sz="0" w:space="0" w:color="auto"/>
            <w:right w:val="none" w:sz="0" w:space="0" w:color="auto"/>
          </w:divBdr>
        </w:div>
        <w:div w:id="836844060">
          <w:marLeft w:val="0"/>
          <w:marRight w:val="0"/>
          <w:marTop w:val="600"/>
          <w:marBottom w:val="0"/>
          <w:divBdr>
            <w:top w:val="none" w:sz="0" w:space="0" w:color="auto"/>
            <w:left w:val="none" w:sz="0" w:space="0" w:color="auto"/>
            <w:bottom w:val="none" w:sz="0" w:space="0" w:color="auto"/>
            <w:right w:val="none" w:sz="0" w:space="0" w:color="auto"/>
          </w:divBdr>
          <w:divsChild>
            <w:div w:id="14150104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2790518">
      <w:bodyDiv w:val="1"/>
      <w:marLeft w:val="0"/>
      <w:marRight w:val="0"/>
      <w:marTop w:val="0"/>
      <w:marBottom w:val="0"/>
      <w:divBdr>
        <w:top w:val="none" w:sz="0" w:space="0" w:color="auto"/>
        <w:left w:val="none" w:sz="0" w:space="0" w:color="auto"/>
        <w:bottom w:val="none" w:sz="0" w:space="0" w:color="auto"/>
        <w:right w:val="none" w:sz="0" w:space="0" w:color="auto"/>
      </w:divBdr>
    </w:div>
    <w:div w:id="15923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mballgroup.com/wp-content/uploads/2013/06/Kimball-Design-Tip-156-Drill-Across-Macro-Code1.doc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imballgroup.com/wp-content/uploads/2013/06/Drill-Across31.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imballgroup.com/2013/06/design-tip-156-an-excel-macro-for-drilling-across/" TargetMode="External"/><Relationship Id="rId4" Type="http://schemas.openxmlformats.org/officeDocument/2006/relationships/hyperlink" Target="http://www.kimballgroup.com/wp-content/uploads/2013/06/Separate-Results11.png" TargetMode="External"/><Relationship Id="rId9" Type="http://schemas.openxmlformats.org/officeDocument/2006/relationships/hyperlink" Target="http://www.kimballgroup.com/wp-content/uploads/2013/06/Kimball-Design-Tip-156-Drill-Across-Example1.x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714</Words>
  <Characters>3929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8</cp:revision>
  <dcterms:created xsi:type="dcterms:W3CDTF">2016-12-27T17:00:00Z</dcterms:created>
  <dcterms:modified xsi:type="dcterms:W3CDTF">2017-01-15T00:35:00Z</dcterms:modified>
</cp:coreProperties>
</file>