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611" w:rsidRPr="00925611" w:rsidRDefault="00925611" w:rsidP="00987D21">
      <w:pPr>
        <w:shd w:val="clear" w:color="auto" w:fill="FFFFFF"/>
        <w:spacing w:before="180" w:after="180" w:line="240" w:lineRule="auto"/>
        <w:jc w:val="both"/>
        <w:rPr>
          <w:rFonts w:ascii="Open Sans" w:eastAsia="Times New Roman" w:hAnsi="Open Sans" w:cs="Times New Roman"/>
          <w:b/>
          <w:color w:val="231F20"/>
          <w:sz w:val="32"/>
          <w:szCs w:val="32"/>
        </w:rPr>
      </w:pPr>
      <w:r w:rsidRPr="00925611">
        <w:rPr>
          <w:rFonts w:ascii="Open Sans" w:eastAsia="Times New Roman" w:hAnsi="Open Sans" w:cs="Times New Roman"/>
          <w:b/>
          <w:color w:val="231F20"/>
          <w:sz w:val="32"/>
          <w:szCs w:val="32"/>
        </w:rPr>
        <w:t xml:space="preserve">Consejo de diseño 164 ¿Ya has </w:t>
      </w:r>
      <w:r w:rsidRPr="00925611">
        <w:rPr>
          <w:rFonts w:ascii="Open Sans" w:eastAsia="Times New Roman" w:hAnsi="Open Sans" w:cs="Times New Roman" w:hint="eastAsia"/>
          <w:b/>
          <w:color w:val="231F20"/>
          <w:sz w:val="32"/>
          <w:szCs w:val="32"/>
        </w:rPr>
        <w:t>construido</w:t>
      </w:r>
      <w:r w:rsidRPr="00925611">
        <w:rPr>
          <w:rFonts w:ascii="Open Sans" w:eastAsia="Times New Roman" w:hAnsi="Open Sans" w:cs="Times New Roman"/>
          <w:b/>
          <w:color w:val="231F20"/>
          <w:sz w:val="32"/>
          <w:szCs w:val="32"/>
        </w:rPr>
        <w:t xml:space="preserve"> tu Dimensión de Auditoría?</w:t>
      </w:r>
    </w:p>
    <w:p w:rsidR="00925611" w:rsidRPr="00925611" w:rsidRDefault="00925611" w:rsidP="00987D21">
      <w:pPr>
        <w:shd w:val="clear" w:color="auto" w:fill="FFFFFF"/>
        <w:spacing w:before="180" w:after="180" w:line="240" w:lineRule="auto"/>
        <w:jc w:val="both"/>
        <w:rPr>
          <w:rFonts w:ascii="Open Sans" w:eastAsia="Times New Roman" w:hAnsi="Open Sans" w:cs="Times New Roman"/>
          <w:color w:val="231F20"/>
          <w:sz w:val="19"/>
          <w:szCs w:val="19"/>
        </w:rPr>
      </w:pPr>
      <w:r>
        <w:rPr>
          <w:rFonts w:ascii="Open Sans" w:eastAsia="Times New Roman" w:hAnsi="Open Sans" w:cs="Times New Roman"/>
          <w:color w:val="231F20"/>
          <w:sz w:val="19"/>
          <w:szCs w:val="19"/>
        </w:rPr>
        <w:t xml:space="preserve">Una de las herramientas más efectivas para dirigir la calidad y la gestión de los datos, además de generar confianza para los usuarios en cuanto a los resultados obtenidos del </w:t>
      </w:r>
      <w:r w:rsidRPr="00925611">
        <w:rPr>
          <w:rFonts w:ascii="Open Sans" w:eastAsia="Times New Roman" w:hAnsi="Open Sans" w:cs="Times New Roman"/>
          <w:color w:val="231F20"/>
          <w:sz w:val="19"/>
          <w:szCs w:val="19"/>
        </w:rPr>
        <w:t>data warehouse</w:t>
      </w:r>
      <w:r>
        <w:rPr>
          <w:rFonts w:ascii="Open Sans" w:eastAsia="Times New Roman" w:hAnsi="Open Sans" w:cs="Times New Roman"/>
          <w:color w:val="231F20"/>
          <w:sz w:val="19"/>
          <w:szCs w:val="19"/>
        </w:rPr>
        <w:t>, es la dimensión de auditoría. Normalmente, añadimos una dimensión de auditoría a cada tabla de hechos para que los usuarios de negocio puedan elegir conocer la procedencia y confidencialidad de sus consultas e informes. Simplemente poner la dimensión de auditoría, eleva los metadatos al estatus de datos ordinarios y los convierte en disponibles en el nivel más elevado de cualquier interfaz de usuario de la herramienta BI.</w:t>
      </w:r>
    </w:p>
    <w:p w:rsidR="00925611" w:rsidRPr="00925611" w:rsidRDefault="00925611" w:rsidP="00987D21">
      <w:pPr>
        <w:shd w:val="clear" w:color="auto" w:fill="FFFFFF"/>
        <w:spacing w:before="180" w:after="180" w:line="240" w:lineRule="auto"/>
        <w:jc w:val="both"/>
        <w:rPr>
          <w:rFonts w:ascii="Open Sans" w:eastAsia="Times New Roman" w:hAnsi="Open Sans" w:cs="Times New Roman"/>
          <w:color w:val="231F20"/>
          <w:sz w:val="19"/>
          <w:szCs w:val="19"/>
        </w:rPr>
      </w:pPr>
      <w:r w:rsidRPr="00925611">
        <w:rPr>
          <w:rFonts w:ascii="Open Sans" w:eastAsia="Times New Roman" w:hAnsi="Open Sans" w:cs="Times New Roman"/>
          <w:color w:val="231F20"/>
          <w:sz w:val="19"/>
          <w:szCs w:val="19"/>
        </w:rPr>
        <w:t xml:space="preserve">El secreto de </w:t>
      </w:r>
      <w:r>
        <w:rPr>
          <w:rFonts w:ascii="Open Sans" w:eastAsia="Times New Roman" w:hAnsi="Open Sans" w:cs="Times New Roman" w:hint="eastAsia"/>
          <w:color w:val="231F20"/>
          <w:sz w:val="19"/>
          <w:szCs w:val="19"/>
        </w:rPr>
        <w:t>constru</w:t>
      </w:r>
      <w:r>
        <w:rPr>
          <w:rFonts w:ascii="Open Sans" w:eastAsia="Times New Roman" w:hAnsi="Open Sans" w:cs="Times New Roman"/>
          <w:color w:val="231F20"/>
          <w:sz w:val="19"/>
          <w:szCs w:val="19"/>
        </w:rPr>
        <w:t>i</w:t>
      </w:r>
      <w:r w:rsidRPr="00925611">
        <w:rPr>
          <w:rFonts w:ascii="Open Sans" w:eastAsia="Times New Roman" w:hAnsi="Open Sans" w:cs="Times New Roman" w:hint="eastAsia"/>
          <w:color w:val="231F20"/>
          <w:sz w:val="19"/>
          <w:szCs w:val="19"/>
        </w:rPr>
        <w:t>r</w:t>
      </w:r>
      <w:r w:rsidRPr="00925611">
        <w:rPr>
          <w:rFonts w:ascii="Open Sans" w:eastAsia="Times New Roman" w:hAnsi="Open Sans" w:cs="Times New Roman"/>
          <w:color w:val="231F20"/>
          <w:sz w:val="19"/>
          <w:szCs w:val="19"/>
        </w:rPr>
        <w:t xml:space="preserve"> una dimensi</w:t>
      </w:r>
      <w:r>
        <w:rPr>
          <w:rFonts w:ascii="Open Sans" w:eastAsia="Times New Roman" w:hAnsi="Open Sans" w:cs="Times New Roman"/>
          <w:color w:val="231F20"/>
          <w:sz w:val="19"/>
          <w:szCs w:val="19"/>
        </w:rPr>
        <w:t>ón de auditoría exitosa es hacer que sea simple y no ser demasiado idealista al principio. Una dimensión de auditoría simple debe contener entornos variables e indicadores de calidad de datos, como los siguientes:</w:t>
      </w:r>
    </w:p>
    <w:p w:rsidR="00C0506B" w:rsidRPr="00C0506B" w:rsidRDefault="00C0506B" w:rsidP="00987D21">
      <w:pPr>
        <w:shd w:val="clear" w:color="auto" w:fill="FFFFFF"/>
        <w:spacing w:after="0" w:line="240" w:lineRule="auto"/>
        <w:jc w:val="both"/>
        <w:rPr>
          <w:rFonts w:ascii="Open Sans" w:eastAsia="Times New Roman" w:hAnsi="Open Sans" w:cs="Times New Roman"/>
          <w:color w:val="231F20"/>
          <w:sz w:val="19"/>
          <w:szCs w:val="19"/>
        </w:rPr>
      </w:pPr>
      <w:r>
        <w:rPr>
          <w:rFonts w:ascii="Open Sans" w:eastAsia="Times New Roman" w:hAnsi="Open Sans" w:cs="Times New Roman"/>
          <w:noProof/>
          <w:color w:val="045A9C"/>
          <w:sz w:val="19"/>
          <w:szCs w:val="19"/>
        </w:rPr>
        <w:drawing>
          <wp:inline distT="0" distB="0" distL="0" distR="0">
            <wp:extent cx="4122420" cy="1813560"/>
            <wp:effectExtent l="19050" t="0" r="0" b="0"/>
            <wp:docPr id="1" name="Imagen 1" descr="http://www.kimballgroup.com/wp-content/uploads/2014/03/DT-164-Figure-1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mballgroup.com/wp-content/uploads/2014/03/DT-164-Figure-11.png">
                      <a:hlinkClick r:id="rId4"/>
                    </pic:cNvPr>
                    <pic:cNvPicPr>
                      <a:picLocks noChangeAspect="1" noChangeArrowheads="1"/>
                    </pic:cNvPicPr>
                  </pic:nvPicPr>
                  <pic:blipFill>
                    <a:blip r:embed="rId5" cstate="print"/>
                    <a:srcRect/>
                    <a:stretch>
                      <a:fillRect/>
                    </a:stretch>
                  </pic:blipFill>
                  <pic:spPr bwMode="auto">
                    <a:xfrm>
                      <a:off x="0" y="0"/>
                      <a:ext cx="4122420" cy="1813560"/>
                    </a:xfrm>
                    <a:prstGeom prst="rect">
                      <a:avLst/>
                    </a:prstGeom>
                    <a:noFill/>
                    <a:ln w="9525">
                      <a:noFill/>
                      <a:miter lim="800000"/>
                      <a:headEnd/>
                      <a:tailEnd/>
                    </a:ln>
                  </pic:spPr>
                </pic:pic>
              </a:graphicData>
            </a:graphic>
          </wp:inline>
        </w:drawing>
      </w:r>
    </w:p>
    <w:p w:rsidR="00925611" w:rsidRDefault="00925611" w:rsidP="00987D21">
      <w:pPr>
        <w:shd w:val="clear" w:color="auto" w:fill="FFFFFF"/>
        <w:spacing w:before="180" w:after="180" w:line="240" w:lineRule="auto"/>
        <w:jc w:val="both"/>
        <w:rPr>
          <w:rFonts w:ascii="Open Sans" w:eastAsia="Times New Roman" w:hAnsi="Open Sans" w:cs="Times New Roman"/>
          <w:color w:val="231F20"/>
          <w:sz w:val="19"/>
          <w:szCs w:val="19"/>
        </w:rPr>
      </w:pPr>
      <w:r w:rsidRPr="00925611">
        <w:rPr>
          <w:rFonts w:ascii="Open Sans" w:eastAsia="Times New Roman" w:hAnsi="Open Sans" w:cs="Times New Roman"/>
          <w:color w:val="231F20"/>
          <w:sz w:val="19"/>
          <w:szCs w:val="19"/>
        </w:rPr>
        <w:t xml:space="preserve">La </w:t>
      </w:r>
      <w:r w:rsidR="00987D21">
        <w:rPr>
          <w:rFonts w:ascii="Open Sans" w:eastAsia="Times New Roman" w:hAnsi="Open Sans" w:cs="Times New Roman" w:hint="eastAsia"/>
          <w:color w:val="231F20"/>
          <w:sz w:val="19"/>
          <w:szCs w:val="19"/>
        </w:rPr>
        <w:t>dimensi</w:t>
      </w:r>
      <w:r w:rsidR="00987D21">
        <w:rPr>
          <w:rFonts w:ascii="Open Sans" w:eastAsia="Times New Roman" w:hAnsi="Open Sans" w:cs="Times New Roman"/>
          <w:color w:val="231F20"/>
          <w:sz w:val="19"/>
          <w:szCs w:val="19"/>
        </w:rPr>
        <w:t>ó</w:t>
      </w:r>
      <w:r w:rsidRPr="00925611">
        <w:rPr>
          <w:rFonts w:ascii="Open Sans" w:eastAsia="Times New Roman" w:hAnsi="Open Sans" w:cs="Times New Roman" w:hint="eastAsia"/>
          <w:color w:val="231F20"/>
          <w:sz w:val="19"/>
          <w:szCs w:val="19"/>
        </w:rPr>
        <w:t>n</w:t>
      </w:r>
      <w:r w:rsidRPr="00925611">
        <w:rPr>
          <w:rFonts w:ascii="Open Sans" w:eastAsia="Times New Roman" w:hAnsi="Open Sans" w:cs="Times New Roman"/>
          <w:color w:val="231F20"/>
          <w:sz w:val="19"/>
          <w:szCs w:val="19"/>
        </w:rPr>
        <w:t xml:space="preserve"> de </w:t>
      </w:r>
      <w:r w:rsidR="00987D21">
        <w:rPr>
          <w:rFonts w:ascii="Open Sans" w:eastAsia="Times New Roman" w:hAnsi="Open Sans" w:cs="Times New Roman" w:hint="eastAsia"/>
          <w:color w:val="231F20"/>
          <w:sz w:val="19"/>
          <w:szCs w:val="19"/>
        </w:rPr>
        <w:t>auditor</w:t>
      </w:r>
      <w:r w:rsidR="00987D21">
        <w:rPr>
          <w:rFonts w:ascii="Open Sans" w:eastAsia="Times New Roman" w:hAnsi="Open Sans" w:cs="Times New Roman"/>
          <w:color w:val="231F20"/>
          <w:sz w:val="19"/>
          <w:szCs w:val="19"/>
        </w:rPr>
        <w:t>í</w:t>
      </w:r>
      <w:r w:rsidRPr="00925611">
        <w:rPr>
          <w:rFonts w:ascii="Open Sans" w:eastAsia="Times New Roman" w:hAnsi="Open Sans" w:cs="Times New Roman" w:hint="eastAsia"/>
          <w:color w:val="231F20"/>
          <w:sz w:val="19"/>
          <w:szCs w:val="19"/>
        </w:rPr>
        <w:t>a</w:t>
      </w:r>
      <w:r w:rsidRPr="00925611">
        <w:rPr>
          <w:rFonts w:ascii="Open Sans" w:eastAsia="Times New Roman" w:hAnsi="Open Sans" w:cs="Times New Roman"/>
          <w:color w:val="231F20"/>
          <w:sz w:val="19"/>
          <w:szCs w:val="19"/>
        </w:rPr>
        <w:t xml:space="preserve">, como todas las dimensiones, proporciona el </w:t>
      </w:r>
      <w:r w:rsidRPr="00925611">
        <w:rPr>
          <w:rFonts w:ascii="Open Sans" w:eastAsia="Times New Roman" w:hAnsi="Open Sans" w:cs="Times New Roman" w:hint="eastAsia"/>
          <w:color w:val="231F20"/>
          <w:sz w:val="19"/>
          <w:szCs w:val="19"/>
        </w:rPr>
        <w:t>context</w:t>
      </w:r>
      <w:r w:rsidRPr="00925611">
        <w:rPr>
          <w:rFonts w:ascii="Open Sans" w:eastAsia="Times New Roman" w:hAnsi="Open Sans" w:cs="Times New Roman"/>
          <w:color w:val="231F20"/>
          <w:sz w:val="19"/>
          <w:szCs w:val="19"/>
        </w:rPr>
        <w:t>o para una fila particular.</w:t>
      </w:r>
      <w:r>
        <w:rPr>
          <w:rFonts w:ascii="Open Sans" w:eastAsia="Times New Roman" w:hAnsi="Open Sans" w:cs="Times New Roman"/>
          <w:color w:val="231F20"/>
          <w:sz w:val="19"/>
          <w:szCs w:val="19"/>
        </w:rPr>
        <w:t xml:space="preserve"> Así, cuando se crea una fila de hecho, las variables del entorno se buscan en una pequeña tabla que contiene los números de versión en vigor para intervalos de tiempo específicos. Los indicadores de calidad de datos, se buscan en la tabla de hechos de errores que graba los errores de calidad de datos encontrados a lo largo de la sucesión ETL.  Hemos escrito de manera muy extensa sobre la tabla de hechos de errores y la dimensión de auditoría. Mirad especialmente el documento técnico </w:t>
      </w:r>
      <w:hyperlink r:id="rId6" w:history="1">
        <w:r w:rsidRPr="00925611">
          <w:rPr>
            <w:rFonts w:ascii="Open Sans" w:eastAsia="Times New Roman" w:hAnsi="Open Sans" w:cs="Times New Roman"/>
            <w:i/>
            <w:iCs/>
            <w:color w:val="045A9C"/>
            <w:sz w:val="19"/>
          </w:rPr>
          <w:t>An Architecture for Data Quality</w:t>
        </w:r>
      </w:hyperlink>
      <w:r>
        <w:rPr>
          <w:rFonts w:ascii="Open Sans" w:eastAsia="Times New Roman" w:hAnsi="Open Sans" w:cs="Times New Roman"/>
          <w:color w:val="231F20"/>
          <w:sz w:val="19"/>
          <w:szCs w:val="19"/>
        </w:rPr>
        <w:t xml:space="preserve"> de nuestra web. Este corto consejo de diseño</w:t>
      </w:r>
      <w:r w:rsidR="00B77408">
        <w:rPr>
          <w:rFonts w:ascii="Open Sans" w:eastAsia="Times New Roman" w:hAnsi="Open Sans" w:cs="Times New Roman"/>
          <w:color w:val="231F20"/>
          <w:sz w:val="19"/>
          <w:szCs w:val="19"/>
        </w:rPr>
        <w:t xml:space="preserve"> es sólo un recordatorio para construir tu dimensión de auditoría ¡si lo has estado aplazando!</w:t>
      </w:r>
    </w:p>
    <w:p w:rsidR="00B77408" w:rsidRPr="00B77408" w:rsidRDefault="00B77408" w:rsidP="00987D21">
      <w:pPr>
        <w:shd w:val="clear" w:color="auto" w:fill="FFFFFF"/>
        <w:spacing w:before="180" w:after="180" w:line="240" w:lineRule="auto"/>
        <w:jc w:val="both"/>
        <w:rPr>
          <w:rFonts w:ascii="Open Sans" w:eastAsia="Times New Roman" w:hAnsi="Open Sans" w:cs="Times New Roman"/>
          <w:color w:val="231F20"/>
          <w:sz w:val="19"/>
          <w:szCs w:val="19"/>
        </w:rPr>
      </w:pPr>
      <w:r w:rsidRPr="00B77408">
        <w:rPr>
          <w:rFonts w:ascii="Open Sans" w:eastAsia="Times New Roman" w:hAnsi="Open Sans" w:cs="Times New Roman"/>
          <w:color w:val="231F20"/>
          <w:sz w:val="19"/>
          <w:szCs w:val="19"/>
        </w:rPr>
        <w:t xml:space="preserve">Las variables del entorno en la figura de arriba </w:t>
      </w:r>
      <w:r>
        <w:rPr>
          <w:rFonts w:ascii="Open Sans" w:eastAsia="Times New Roman" w:hAnsi="Open Sans" w:cs="Times New Roman"/>
          <w:color w:val="231F20"/>
          <w:sz w:val="19"/>
          <w:szCs w:val="19"/>
        </w:rPr>
        <w:t xml:space="preserve">son versiones numéricas que cambian solo ocasionalmente. El número de la versión maestra del ETL es un único identificador, similar al número de versión de un software,  en referencia a la configuración completa del ETL en utilización cuando se crea una fila de hecho particular. La versión de la conversión de moneda es otra versión numérica que entra en efecto cuando la fila de la tabla de hechos se crea. La versión de asignación es un número que identifica un conjunto de reglas de negocios para localizar los costes cuando se calcule la rentabilidad. Todas estas variables del entorno son solo ejemplos para estimular tus pensamientos. </w:t>
      </w:r>
      <w:r w:rsidRPr="00B77408">
        <w:rPr>
          <w:rFonts w:ascii="Open Sans" w:eastAsia="Times New Roman" w:hAnsi="Open Sans" w:cs="Times New Roman"/>
          <w:color w:val="231F20"/>
          <w:sz w:val="19"/>
          <w:szCs w:val="19"/>
        </w:rPr>
        <w:t>Pero de nuevo, mantenedlo simplificado.</w:t>
      </w:r>
    </w:p>
    <w:p w:rsidR="00B77408" w:rsidRDefault="00B77408" w:rsidP="00987D21">
      <w:pPr>
        <w:shd w:val="clear" w:color="auto" w:fill="FFFFFF"/>
        <w:spacing w:before="180" w:after="180" w:line="240" w:lineRule="auto"/>
        <w:jc w:val="both"/>
        <w:rPr>
          <w:rFonts w:ascii="Open Sans" w:eastAsia="Times New Roman" w:hAnsi="Open Sans" w:cs="Times New Roman"/>
          <w:color w:val="231F20"/>
          <w:sz w:val="19"/>
          <w:szCs w:val="19"/>
        </w:rPr>
      </w:pPr>
      <w:r w:rsidRPr="00B77408">
        <w:rPr>
          <w:rFonts w:ascii="Open Sans" w:eastAsia="Times New Roman" w:hAnsi="Open Sans" w:cs="Times New Roman"/>
          <w:color w:val="231F20"/>
          <w:sz w:val="19"/>
          <w:szCs w:val="19"/>
        </w:rPr>
        <w:t xml:space="preserve">Los indicadores de calidad de datos son </w:t>
      </w:r>
      <w:r>
        <w:rPr>
          <w:rFonts w:ascii="Open Sans" w:eastAsia="Times New Roman" w:hAnsi="Open Sans" w:cs="Times New Roman"/>
          <w:color w:val="231F20"/>
          <w:sz w:val="19"/>
          <w:szCs w:val="19"/>
        </w:rPr>
        <w:t xml:space="preserve">marcadores que muestran si se encontró una condición particular para una fila de hechos específica. Si la fila de hechos contenía datos no encontrados o corruptos (quizá reemplazados por nulos) entonces el marcador de datos perdidos se </w:t>
      </w:r>
      <w:r w:rsidR="00023998">
        <w:rPr>
          <w:rFonts w:ascii="Open Sans" w:eastAsia="Times New Roman" w:hAnsi="Open Sans" w:cs="Times New Roman"/>
          <w:color w:val="231F20"/>
          <w:sz w:val="19"/>
          <w:szCs w:val="19"/>
        </w:rPr>
        <w:t>conducirían a</w:t>
      </w:r>
      <w:r>
        <w:rPr>
          <w:rFonts w:ascii="Open Sans" w:eastAsia="Times New Roman" w:hAnsi="Open Sans" w:cs="Times New Roman"/>
          <w:color w:val="231F20"/>
          <w:sz w:val="19"/>
          <w:szCs w:val="19"/>
        </w:rPr>
        <w:t xml:space="preserve"> verdad. Si los datos corruptos o no encontrados se rellenaban con un estimador, entonces el marcador de datos proporcionado </w:t>
      </w:r>
      <w:r w:rsidR="00023998">
        <w:rPr>
          <w:rFonts w:ascii="Open Sans" w:eastAsia="Times New Roman" w:hAnsi="Open Sans" w:cs="Times New Roman"/>
          <w:color w:val="231F20"/>
          <w:sz w:val="19"/>
          <w:szCs w:val="19"/>
        </w:rPr>
        <w:t xml:space="preserve"> sería verdad. Si la fila de hechos contuviese valores anormalmente altos o bajos, entonces el dudoso marcador no sería verdad. Observad que esta simple dimensión de auditoría no proporciona una descripción precisa del problema de calidad en los datos, sino que solo proporciona un aviso de que los usuarios de negocio deben trabajar cautelosamente. Obviamente, si puedes implementar </w:t>
      </w:r>
      <w:r w:rsidR="00023998">
        <w:rPr>
          <w:rFonts w:ascii="Open Sans" w:eastAsia="Times New Roman" w:hAnsi="Open Sans" w:cs="Times New Roman" w:hint="eastAsia"/>
          <w:color w:val="231F20"/>
          <w:sz w:val="19"/>
          <w:szCs w:val="19"/>
        </w:rPr>
        <w:t>fácilmente</w:t>
      </w:r>
      <w:r w:rsidR="00023998">
        <w:rPr>
          <w:rFonts w:ascii="Open Sans" w:eastAsia="Times New Roman" w:hAnsi="Open Sans" w:cs="Times New Roman"/>
          <w:color w:val="231F20"/>
          <w:sz w:val="19"/>
          <w:szCs w:val="19"/>
        </w:rPr>
        <w:t xml:space="preserve"> advertencias de diagnóstico más específicas, entonces hazlo. Pero mantén la simplicidad. No intentéis ganar el premio a la elegancia.</w:t>
      </w:r>
    </w:p>
    <w:p w:rsidR="00023998" w:rsidRPr="002D5C70" w:rsidRDefault="00023998" w:rsidP="00987D21">
      <w:pPr>
        <w:shd w:val="clear" w:color="auto" w:fill="FFFFFF"/>
        <w:spacing w:before="180" w:after="180" w:line="240" w:lineRule="auto"/>
        <w:jc w:val="both"/>
        <w:rPr>
          <w:rFonts w:ascii="Open Sans" w:eastAsia="Times New Roman" w:hAnsi="Open Sans" w:cs="Times New Roman"/>
          <w:color w:val="231F20"/>
          <w:sz w:val="19"/>
          <w:szCs w:val="19"/>
        </w:rPr>
      </w:pPr>
      <w:r>
        <w:rPr>
          <w:rFonts w:ascii="Open Sans" w:eastAsia="Times New Roman" w:hAnsi="Open Sans" w:cs="Times New Roman"/>
          <w:color w:val="231F20"/>
          <w:sz w:val="19"/>
          <w:szCs w:val="19"/>
        </w:rPr>
        <w:t xml:space="preserve">El documento técnico mencionado anteriormente bucea profundamente en versiones más sofisticadas de la dimensión de auditoría, pero soy consciente de que las versiones avanzadas de dimensiones de auditoría son desalentadoras. </w:t>
      </w:r>
      <w:r w:rsidRPr="002D5C70">
        <w:rPr>
          <w:rFonts w:ascii="Open Sans" w:eastAsia="Times New Roman" w:hAnsi="Open Sans" w:cs="Times New Roman"/>
          <w:color w:val="231F20"/>
          <w:sz w:val="19"/>
          <w:szCs w:val="19"/>
        </w:rPr>
        <w:t>Por ello esta sugerencia de diseño.</w:t>
      </w:r>
    </w:p>
    <w:p w:rsidR="00987D21" w:rsidRPr="00987D21" w:rsidRDefault="00023998" w:rsidP="00987D21">
      <w:pPr>
        <w:shd w:val="clear" w:color="auto" w:fill="FFFFFF"/>
        <w:spacing w:before="180" w:after="180" w:line="240" w:lineRule="auto"/>
        <w:jc w:val="both"/>
        <w:rPr>
          <w:rFonts w:ascii="Open Sans" w:eastAsia="Times New Roman" w:hAnsi="Open Sans" w:cs="Times New Roman"/>
          <w:color w:val="231F20"/>
          <w:sz w:val="19"/>
          <w:szCs w:val="19"/>
        </w:rPr>
      </w:pPr>
      <w:r w:rsidRPr="00023998">
        <w:rPr>
          <w:rFonts w:ascii="Open Sans" w:eastAsia="Times New Roman" w:hAnsi="Open Sans" w:cs="Times New Roman"/>
          <w:color w:val="231F20"/>
          <w:sz w:val="19"/>
          <w:szCs w:val="19"/>
        </w:rPr>
        <w:t xml:space="preserve">Finalmente,  si construyes una </w:t>
      </w:r>
      <w:r w:rsidR="00987D21" w:rsidRPr="00023998">
        <w:rPr>
          <w:rFonts w:ascii="Open Sans" w:eastAsia="Times New Roman" w:hAnsi="Open Sans" w:cs="Times New Roman"/>
          <w:color w:val="231F20"/>
          <w:sz w:val="19"/>
          <w:szCs w:val="19"/>
        </w:rPr>
        <w:t>dimensión</w:t>
      </w:r>
      <w:r w:rsidRPr="00023998">
        <w:rPr>
          <w:rFonts w:ascii="Open Sans" w:eastAsia="Times New Roman" w:hAnsi="Open Sans" w:cs="Times New Roman"/>
          <w:color w:val="231F20"/>
          <w:sz w:val="19"/>
          <w:szCs w:val="19"/>
        </w:rPr>
        <w:t xml:space="preserve"> de auditor</w:t>
      </w:r>
      <w:r>
        <w:rPr>
          <w:rFonts w:ascii="Open Sans" w:eastAsia="Times New Roman" w:hAnsi="Open Sans" w:cs="Times New Roman"/>
          <w:color w:val="231F20"/>
          <w:sz w:val="19"/>
          <w:szCs w:val="19"/>
        </w:rPr>
        <w:t xml:space="preserve">ía, muéstrala a tus usuarios de negocio. Aquí está el antes y el después </w:t>
      </w:r>
      <w:r w:rsidR="00987D21">
        <w:rPr>
          <w:rFonts w:ascii="Open Sans" w:eastAsia="Times New Roman" w:hAnsi="Open Sans" w:cs="Times New Roman"/>
          <w:color w:val="231F20"/>
          <w:sz w:val="19"/>
          <w:szCs w:val="19"/>
        </w:rPr>
        <w:t xml:space="preserve">de un trozo de un informe de seguimiento simple usando un indicador fuera de los límites con valores </w:t>
      </w:r>
      <w:r w:rsidR="00987D21">
        <w:rPr>
          <w:rFonts w:ascii="Open Sans" w:eastAsia="Times New Roman" w:hAnsi="Open Sans" w:cs="Times New Roman" w:hint="eastAsia"/>
          <w:color w:val="231F20"/>
          <w:sz w:val="19"/>
          <w:szCs w:val="19"/>
        </w:rPr>
        <w:t>“</w:t>
      </w:r>
      <w:r w:rsidR="00987D21">
        <w:rPr>
          <w:rFonts w:ascii="Open Sans" w:eastAsia="Times New Roman" w:hAnsi="Open Sans" w:cs="Times New Roman"/>
          <w:color w:val="231F20"/>
          <w:sz w:val="19"/>
          <w:szCs w:val="19"/>
        </w:rPr>
        <w:t>Anormal</w:t>
      </w:r>
      <w:r w:rsidR="00987D21">
        <w:rPr>
          <w:rFonts w:ascii="Open Sans" w:eastAsia="Times New Roman" w:hAnsi="Open Sans" w:cs="Times New Roman" w:hint="eastAsia"/>
          <w:color w:val="231F20"/>
          <w:sz w:val="19"/>
          <w:szCs w:val="19"/>
        </w:rPr>
        <w:t>”</w:t>
      </w:r>
      <w:r w:rsidR="00987D21">
        <w:rPr>
          <w:rFonts w:ascii="Open Sans" w:eastAsia="Times New Roman" w:hAnsi="Open Sans" w:cs="Times New Roman"/>
          <w:color w:val="231F20"/>
          <w:sz w:val="19"/>
          <w:szCs w:val="19"/>
        </w:rPr>
        <w:t xml:space="preserve"> y </w:t>
      </w:r>
      <w:r w:rsidR="00987D21">
        <w:rPr>
          <w:rFonts w:ascii="Open Sans" w:eastAsia="Times New Roman" w:hAnsi="Open Sans" w:cs="Times New Roman" w:hint="eastAsia"/>
          <w:color w:val="231F20"/>
          <w:sz w:val="19"/>
          <w:szCs w:val="19"/>
        </w:rPr>
        <w:t>“</w:t>
      </w:r>
      <w:r w:rsidR="00987D21">
        <w:rPr>
          <w:rFonts w:ascii="Open Sans" w:eastAsia="Times New Roman" w:hAnsi="Open Sans" w:cs="Times New Roman"/>
          <w:color w:val="231F20"/>
          <w:sz w:val="19"/>
          <w:szCs w:val="19"/>
        </w:rPr>
        <w:t>OK</w:t>
      </w:r>
      <w:r w:rsidR="00987D21">
        <w:rPr>
          <w:rFonts w:ascii="Open Sans" w:eastAsia="Times New Roman" w:hAnsi="Open Sans" w:cs="Times New Roman" w:hint="eastAsia"/>
          <w:color w:val="231F20"/>
          <w:sz w:val="19"/>
          <w:szCs w:val="19"/>
        </w:rPr>
        <w:t>”</w:t>
      </w:r>
      <w:r w:rsidR="00987D21">
        <w:rPr>
          <w:rFonts w:ascii="Open Sans" w:eastAsia="Times New Roman" w:hAnsi="Open Sans" w:cs="Times New Roman"/>
          <w:color w:val="231F20"/>
          <w:sz w:val="19"/>
          <w:szCs w:val="19"/>
        </w:rPr>
        <w:t xml:space="preserve"> que proporciona un aviso útil acerca de que un gran porcentaje de los datos de </w:t>
      </w:r>
      <w:r w:rsidR="00987D21" w:rsidRPr="00987D21">
        <w:rPr>
          <w:rFonts w:ascii="Open Sans" w:eastAsia="Times New Roman" w:hAnsi="Open Sans" w:cs="Times New Roman"/>
          <w:color w:val="231F20"/>
          <w:sz w:val="19"/>
          <w:szCs w:val="19"/>
        </w:rPr>
        <w:t>Axon West</w:t>
      </w:r>
      <w:r w:rsidR="00987D21">
        <w:rPr>
          <w:rFonts w:ascii="Open Sans" w:eastAsia="Times New Roman" w:hAnsi="Open Sans" w:cs="Times New Roman"/>
          <w:color w:val="231F20"/>
          <w:sz w:val="19"/>
          <w:szCs w:val="19"/>
        </w:rPr>
        <w:t xml:space="preserve"> contienen valores no deseables. El informe se crea solo con arrastrar el indicador sin límites hacia </w:t>
      </w:r>
      <w:r w:rsidR="00987D21">
        <w:rPr>
          <w:rFonts w:ascii="Open Sans" w:eastAsia="Times New Roman" w:hAnsi="Open Sans" w:cs="Times New Roman"/>
          <w:color w:val="231F20"/>
          <w:sz w:val="19"/>
          <w:szCs w:val="19"/>
        </w:rPr>
        <w:lastRenderedPageBreak/>
        <w:t>la consulta. Los usuarios de negocio están sorprendentemente agradecidos por esta clase de información, ya que no solo sienten curiosidad sobre porque los datos se marcan, sino que aprecian no tomar decisiones empresariales basadas en muy poca información.</w:t>
      </w:r>
    </w:p>
    <w:p w:rsidR="00C0506B" w:rsidRPr="00C0506B" w:rsidRDefault="00C0506B" w:rsidP="00987D21">
      <w:pPr>
        <w:shd w:val="clear" w:color="auto" w:fill="FFFFFF"/>
        <w:spacing w:after="0" w:line="240" w:lineRule="auto"/>
        <w:jc w:val="both"/>
        <w:rPr>
          <w:rFonts w:ascii="Open Sans" w:eastAsia="Times New Roman" w:hAnsi="Open Sans" w:cs="Times New Roman"/>
          <w:color w:val="231F20"/>
          <w:sz w:val="19"/>
          <w:szCs w:val="19"/>
        </w:rPr>
      </w:pPr>
      <w:r>
        <w:rPr>
          <w:rFonts w:ascii="Open Sans" w:eastAsia="Times New Roman" w:hAnsi="Open Sans" w:cs="Times New Roman"/>
          <w:noProof/>
          <w:color w:val="045A9C"/>
          <w:sz w:val="19"/>
          <w:szCs w:val="19"/>
        </w:rPr>
        <w:drawing>
          <wp:inline distT="0" distB="0" distL="0" distR="0">
            <wp:extent cx="4594860" cy="2514600"/>
            <wp:effectExtent l="19050" t="0" r="0" b="0"/>
            <wp:docPr id="2" name="Imagen 2" descr="http://www.kimballgroup.com/wp-content/uploads/2014/03/DT-164-Figure-2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imballgroup.com/wp-content/uploads/2014/03/DT-164-Figure-21.png">
                      <a:hlinkClick r:id="rId7"/>
                    </pic:cNvPr>
                    <pic:cNvPicPr>
                      <a:picLocks noChangeAspect="1" noChangeArrowheads="1"/>
                    </pic:cNvPicPr>
                  </pic:nvPicPr>
                  <pic:blipFill>
                    <a:blip r:embed="rId8" cstate="print"/>
                    <a:srcRect/>
                    <a:stretch>
                      <a:fillRect/>
                    </a:stretch>
                  </pic:blipFill>
                  <pic:spPr bwMode="auto">
                    <a:xfrm>
                      <a:off x="0" y="0"/>
                      <a:ext cx="4594860" cy="2514600"/>
                    </a:xfrm>
                    <a:prstGeom prst="rect">
                      <a:avLst/>
                    </a:prstGeom>
                    <a:noFill/>
                    <a:ln w="9525">
                      <a:noFill/>
                      <a:miter lim="800000"/>
                      <a:headEnd/>
                      <a:tailEnd/>
                    </a:ln>
                  </pic:spPr>
                </pic:pic>
              </a:graphicData>
            </a:graphic>
          </wp:inline>
        </w:drawing>
      </w:r>
    </w:p>
    <w:p w:rsidR="00C0506B" w:rsidRPr="00C0506B" w:rsidRDefault="00C0506B" w:rsidP="00987D21">
      <w:pPr>
        <w:shd w:val="clear" w:color="auto" w:fill="FFFFFF"/>
        <w:spacing w:before="180" w:after="180" w:line="240" w:lineRule="auto"/>
        <w:jc w:val="both"/>
        <w:rPr>
          <w:rFonts w:ascii="Open Sans" w:eastAsia="Times New Roman" w:hAnsi="Open Sans" w:cs="Times New Roman"/>
          <w:color w:val="231F20"/>
          <w:sz w:val="19"/>
          <w:szCs w:val="19"/>
        </w:rPr>
      </w:pPr>
      <w:r w:rsidRPr="00C0506B">
        <w:rPr>
          <w:rFonts w:ascii="Open Sans" w:eastAsia="Times New Roman" w:hAnsi="Open Sans" w:cs="Times New Roman"/>
          <w:color w:val="231F20"/>
          <w:sz w:val="19"/>
          <w:szCs w:val="19"/>
        </w:rPr>
        <w:t> </w:t>
      </w:r>
    </w:p>
    <w:p w:rsidR="004137F0" w:rsidRDefault="002D5C70" w:rsidP="00C0506B">
      <w:hyperlink r:id="rId9" w:history="1">
        <w:r w:rsidRPr="00096F47">
          <w:rPr>
            <w:rStyle w:val="Hipervnculo"/>
          </w:rPr>
          <w:t>http://www.kimballgroup.com/2014/03/design-tip-164-built-your-audit-dimension/</w:t>
        </w:r>
      </w:hyperlink>
    </w:p>
    <w:p w:rsidR="002D5C70" w:rsidRPr="00C0506B" w:rsidRDefault="002D5C70" w:rsidP="00C0506B"/>
    <w:sectPr w:rsidR="002D5C70" w:rsidRPr="00C0506B" w:rsidSect="003B1A7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characterSpacingControl w:val="doNotCompress"/>
  <w:compat>
    <w:useFELayout/>
  </w:compat>
  <w:rsids>
    <w:rsidRoot w:val="00C0506B"/>
    <w:rsid w:val="00023998"/>
    <w:rsid w:val="002D5C70"/>
    <w:rsid w:val="0038542E"/>
    <w:rsid w:val="003B1A7D"/>
    <w:rsid w:val="0083165F"/>
    <w:rsid w:val="008D7606"/>
    <w:rsid w:val="00925611"/>
    <w:rsid w:val="00987D21"/>
    <w:rsid w:val="00B77408"/>
    <w:rsid w:val="00C0506B"/>
    <w:rsid w:val="00C35A3A"/>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A7D"/>
  </w:style>
  <w:style w:type="paragraph" w:styleId="Ttulo1">
    <w:name w:val="heading 1"/>
    <w:basedOn w:val="Normal"/>
    <w:link w:val="Ttulo1Car"/>
    <w:uiPriority w:val="9"/>
    <w:qFormat/>
    <w:rsid w:val="009256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506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0506B"/>
    <w:rPr>
      <w:color w:val="0000FF"/>
      <w:u w:val="single"/>
    </w:rPr>
  </w:style>
  <w:style w:type="character" w:customStyle="1" w:styleId="apple-converted-space">
    <w:name w:val="apple-converted-space"/>
    <w:basedOn w:val="Fuentedeprrafopredeter"/>
    <w:rsid w:val="00C0506B"/>
  </w:style>
  <w:style w:type="character" w:styleId="nfasis">
    <w:name w:val="Emphasis"/>
    <w:basedOn w:val="Fuentedeprrafopredeter"/>
    <w:uiPriority w:val="20"/>
    <w:qFormat/>
    <w:rsid w:val="00C0506B"/>
    <w:rPr>
      <w:i/>
      <w:iCs/>
    </w:rPr>
  </w:style>
  <w:style w:type="paragraph" w:styleId="Textodeglobo">
    <w:name w:val="Balloon Text"/>
    <w:basedOn w:val="Normal"/>
    <w:link w:val="TextodegloboCar"/>
    <w:uiPriority w:val="99"/>
    <w:semiHidden/>
    <w:unhideWhenUsed/>
    <w:rsid w:val="00C050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06B"/>
    <w:rPr>
      <w:rFonts w:ascii="Tahoma" w:hAnsi="Tahoma" w:cs="Tahoma"/>
      <w:sz w:val="16"/>
      <w:szCs w:val="16"/>
    </w:rPr>
  </w:style>
  <w:style w:type="character" w:customStyle="1" w:styleId="Ttulo1Car">
    <w:name w:val="Título 1 Car"/>
    <w:basedOn w:val="Fuentedeprrafopredeter"/>
    <w:link w:val="Ttulo1"/>
    <w:uiPriority w:val="9"/>
    <w:rsid w:val="0092561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198278228">
      <w:bodyDiv w:val="1"/>
      <w:marLeft w:val="0"/>
      <w:marRight w:val="0"/>
      <w:marTop w:val="0"/>
      <w:marBottom w:val="0"/>
      <w:divBdr>
        <w:top w:val="none" w:sz="0" w:space="0" w:color="auto"/>
        <w:left w:val="none" w:sz="0" w:space="0" w:color="auto"/>
        <w:bottom w:val="none" w:sz="0" w:space="0" w:color="auto"/>
        <w:right w:val="none" w:sz="0" w:space="0" w:color="auto"/>
      </w:divBdr>
    </w:div>
    <w:div w:id="1349521750">
      <w:bodyDiv w:val="1"/>
      <w:marLeft w:val="0"/>
      <w:marRight w:val="0"/>
      <w:marTop w:val="0"/>
      <w:marBottom w:val="0"/>
      <w:divBdr>
        <w:top w:val="none" w:sz="0" w:space="0" w:color="auto"/>
        <w:left w:val="none" w:sz="0" w:space="0" w:color="auto"/>
        <w:bottom w:val="none" w:sz="0" w:space="0" w:color="auto"/>
        <w:right w:val="none" w:sz="0" w:space="0" w:color="auto"/>
      </w:divBdr>
      <w:divsChild>
        <w:div w:id="1154372109">
          <w:marLeft w:val="0"/>
          <w:marRight w:val="0"/>
          <w:marTop w:val="0"/>
          <w:marBottom w:val="0"/>
          <w:divBdr>
            <w:top w:val="none" w:sz="0" w:space="0" w:color="auto"/>
            <w:left w:val="none" w:sz="0" w:space="0" w:color="auto"/>
            <w:bottom w:val="none" w:sz="0" w:space="0" w:color="auto"/>
            <w:right w:val="none" w:sz="0" w:space="0" w:color="auto"/>
          </w:divBdr>
        </w:div>
        <w:div w:id="836844060">
          <w:marLeft w:val="0"/>
          <w:marRight w:val="0"/>
          <w:marTop w:val="600"/>
          <w:marBottom w:val="0"/>
          <w:divBdr>
            <w:top w:val="none" w:sz="0" w:space="0" w:color="auto"/>
            <w:left w:val="none" w:sz="0" w:space="0" w:color="auto"/>
            <w:bottom w:val="none" w:sz="0" w:space="0" w:color="auto"/>
            <w:right w:val="none" w:sz="0" w:space="0" w:color="auto"/>
          </w:divBdr>
          <w:divsChild>
            <w:div w:id="14150104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kimballgroup.com/wp-content/uploads/2014/03/DT-164-Figure-21.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imballgroup.com/2007/10/20/white-paper-an-architecture-for-data-qualit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kimballgroup.com/wp-content/uploads/2014/03/DT-164-Figure-11.png" TargetMode="External"/><Relationship Id="rId9" Type="http://schemas.openxmlformats.org/officeDocument/2006/relationships/hyperlink" Target="http://www.kimballgroup.com/2014/03/design-tip-164-built-your-audit-dimens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708</Words>
  <Characters>3896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4</cp:revision>
  <dcterms:created xsi:type="dcterms:W3CDTF">2016-12-27T16:05:00Z</dcterms:created>
  <dcterms:modified xsi:type="dcterms:W3CDTF">2017-01-13T09:18:00Z</dcterms:modified>
</cp:coreProperties>
</file>