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525" w:rsidRPr="00353525" w:rsidRDefault="00353525" w:rsidP="006578AC">
      <w:pPr>
        <w:pStyle w:val="NormalWeb"/>
        <w:shd w:val="clear" w:color="auto" w:fill="FFFFFF"/>
        <w:spacing w:before="180" w:beforeAutospacing="0" w:after="180" w:afterAutospacing="0"/>
        <w:jc w:val="both"/>
        <w:rPr>
          <w:rFonts w:ascii="Open Sans" w:hAnsi="Open Sans"/>
          <w:b/>
          <w:color w:val="231F20"/>
          <w:sz w:val="28"/>
          <w:szCs w:val="28"/>
        </w:rPr>
      </w:pPr>
      <w:r w:rsidRPr="00353525">
        <w:rPr>
          <w:rFonts w:ascii="Open Sans" w:hAnsi="Open Sans"/>
          <w:b/>
          <w:color w:val="231F20"/>
          <w:sz w:val="28"/>
          <w:szCs w:val="28"/>
        </w:rPr>
        <w:t xml:space="preserve">Consejo de diseño </w:t>
      </w:r>
      <w:r w:rsidR="001F79B4" w:rsidRPr="00353525">
        <w:rPr>
          <w:rFonts w:ascii="Open Sans" w:hAnsi="Open Sans"/>
          <w:b/>
          <w:color w:val="231F20"/>
          <w:sz w:val="28"/>
          <w:szCs w:val="28"/>
        </w:rPr>
        <w:t xml:space="preserve">162 </w:t>
      </w:r>
      <w:r w:rsidRPr="00353525">
        <w:rPr>
          <w:rFonts w:ascii="Open Sans" w:hAnsi="Open Sans"/>
          <w:b/>
          <w:color w:val="231F20"/>
          <w:sz w:val="28"/>
          <w:szCs w:val="28"/>
        </w:rPr>
        <w:t>Aprovecha</w:t>
      </w:r>
      <w:r>
        <w:rPr>
          <w:rFonts w:ascii="Open Sans" w:hAnsi="Open Sans"/>
          <w:b/>
          <w:color w:val="231F20"/>
          <w:sz w:val="28"/>
          <w:szCs w:val="28"/>
        </w:rPr>
        <w:t xml:space="preserve"> las herramientas de visualización de datos pero evita la anarquía.</w:t>
      </w:r>
    </w:p>
    <w:p w:rsidR="00353525" w:rsidRPr="00353525" w:rsidRDefault="00353525" w:rsidP="006578AC">
      <w:pPr>
        <w:pStyle w:val="NormalWeb"/>
        <w:shd w:val="clear" w:color="auto" w:fill="FFFFFF"/>
        <w:spacing w:before="180" w:beforeAutospacing="0" w:after="180" w:afterAutospacing="0"/>
        <w:jc w:val="both"/>
        <w:rPr>
          <w:rFonts w:ascii="Open Sans" w:hAnsi="Open Sans"/>
          <w:color w:val="231F20"/>
          <w:sz w:val="19"/>
          <w:szCs w:val="19"/>
        </w:rPr>
      </w:pPr>
      <w:r w:rsidRPr="00353525">
        <w:rPr>
          <w:rFonts w:ascii="Open Sans" w:hAnsi="Open Sans"/>
          <w:color w:val="231F20"/>
          <w:sz w:val="19"/>
          <w:szCs w:val="19"/>
        </w:rPr>
        <w:t>Las cada vez más populares herramientas de visualizaci</w:t>
      </w:r>
      <w:r>
        <w:rPr>
          <w:rFonts w:ascii="Open Sans" w:hAnsi="Open Sans"/>
          <w:color w:val="231F20"/>
          <w:sz w:val="19"/>
          <w:szCs w:val="19"/>
        </w:rPr>
        <w:t xml:space="preserve">ón de datos proporcionan un entorno que aman los analistas de los negocios. Proporcionan la habilidad para definir cálculos, y más importante, para explorar y experimentar con los datos. Los productos han innovado  más allá de  las antiguas tablas, gráficos de barras, gráficos circulares para facilitar a los usuarios la representación visual de sus datos. Los usuarios de negocio incluso pueden crear un panel de control con elementos de exploración agradables </w:t>
      </w:r>
      <w:proofErr w:type="gramStart"/>
      <w:r>
        <w:rPr>
          <w:rFonts w:ascii="Open Sans" w:hAnsi="Open Sans"/>
          <w:color w:val="231F20"/>
          <w:sz w:val="19"/>
          <w:szCs w:val="19"/>
        </w:rPr>
        <w:t>y</w:t>
      </w:r>
      <w:proofErr w:type="gramEnd"/>
      <w:r>
        <w:rPr>
          <w:rFonts w:ascii="Open Sans" w:hAnsi="Open Sans"/>
          <w:color w:val="231F20"/>
          <w:sz w:val="19"/>
          <w:szCs w:val="19"/>
        </w:rPr>
        <w:t xml:space="preserve"> interactivos para compartir con sus colegas.</w:t>
      </w:r>
    </w:p>
    <w:p w:rsidR="00353525" w:rsidRDefault="00353525" w:rsidP="006578AC">
      <w:pPr>
        <w:pStyle w:val="NormalWeb"/>
        <w:shd w:val="clear" w:color="auto" w:fill="FFFFFF"/>
        <w:spacing w:before="180" w:beforeAutospacing="0" w:after="180" w:afterAutospacing="0"/>
        <w:jc w:val="both"/>
        <w:rPr>
          <w:rFonts w:ascii="Open Sans" w:hAnsi="Open Sans"/>
          <w:color w:val="231F20"/>
          <w:sz w:val="19"/>
          <w:szCs w:val="19"/>
          <w:lang w:val="en-US"/>
        </w:rPr>
      </w:pPr>
      <w:r w:rsidRPr="00353525">
        <w:rPr>
          <w:rFonts w:ascii="Open Sans" w:hAnsi="Open Sans"/>
          <w:color w:val="231F20"/>
          <w:sz w:val="19"/>
          <w:szCs w:val="19"/>
        </w:rPr>
        <w:t xml:space="preserve">Me encantan estas nuevas herramientas. </w:t>
      </w:r>
      <w:r>
        <w:rPr>
          <w:rFonts w:ascii="Open Sans" w:hAnsi="Open Sans"/>
          <w:color w:val="231F20"/>
          <w:sz w:val="19"/>
          <w:szCs w:val="19"/>
        </w:rPr>
        <w:t xml:space="preserve">Si fuese un analista de negocios, no cesaría </w:t>
      </w:r>
      <w:r w:rsidR="001D2CEC">
        <w:rPr>
          <w:rFonts w:ascii="Open Sans" w:hAnsi="Open Sans"/>
          <w:color w:val="231F20"/>
          <w:sz w:val="19"/>
          <w:szCs w:val="19"/>
        </w:rPr>
        <w:t xml:space="preserve">en pedir la compra de una de estas licencias a la dirección de mi empresa. Prometería un retorno importante de la inversión ya que las ventajas que podría ofrecer son bastante buenas. Desde la perspectiva de un usuario, una de las características más valiosas de estas herramientas es la habilidad de relacionar datos dispares, incluyendo datos de fuera del data warehouse empresarial o incluso de fuera de la empresa. </w:t>
      </w:r>
      <w:proofErr w:type="gramStart"/>
      <w:r w:rsidR="001D2CEC" w:rsidRPr="001D2CEC">
        <w:rPr>
          <w:rFonts w:ascii="Open Sans" w:hAnsi="Open Sans"/>
          <w:color w:val="231F20"/>
          <w:sz w:val="19"/>
          <w:szCs w:val="19"/>
          <w:lang w:val="en-US"/>
        </w:rPr>
        <w:t>Desde la nube.</w:t>
      </w:r>
      <w:proofErr w:type="gramEnd"/>
      <w:r w:rsidR="001D2CEC" w:rsidRPr="001D2CEC">
        <w:rPr>
          <w:rFonts w:ascii="Open Sans" w:hAnsi="Open Sans"/>
          <w:color w:val="231F20"/>
          <w:sz w:val="19"/>
          <w:szCs w:val="19"/>
          <w:lang w:val="en-US"/>
        </w:rPr>
        <w:t xml:space="preserve"> </w:t>
      </w:r>
      <w:proofErr w:type="gramStart"/>
      <w:r w:rsidR="001D2CEC" w:rsidRPr="001D2CEC">
        <w:rPr>
          <w:rFonts w:ascii="Open Sans" w:hAnsi="Open Sans"/>
          <w:color w:val="231F20"/>
          <w:sz w:val="19"/>
          <w:szCs w:val="19"/>
          <w:lang w:val="en-US"/>
        </w:rPr>
        <w:t xml:space="preserve">Desde </w:t>
      </w:r>
      <w:r w:rsidR="00973449" w:rsidRPr="001D2CEC">
        <w:rPr>
          <w:rFonts w:ascii="Open Sans" w:hAnsi="Open Sans"/>
          <w:color w:val="231F20"/>
          <w:sz w:val="19"/>
          <w:szCs w:val="19"/>
          <w:lang w:val="en-US"/>
        </w:rPr>
        <w:t>Google</w:t>
      </w:r>
      <w:r w:rsidR="001D2CEC" w:rsidRPr="001D2CEC">
        <w:rPr>
          <w:rFonts w:ascii="Open Sans" w:hAnsi="Open Sans"/>
          <w:color w:val="231F20"/>
          <w:sz w:val="19"/>
          <w:szCs w:val="19"/>
          <w:lang w:val="en-US"/>
        </w:rPr>
        <w:t xml:space="preserve"> Analytics.</w:t>
      </w:r>
      <w:proofErr w:type="gramEnd"/>
      <w:r w:rsidR="001D2CEC" w:rsidRPr="001D2CEC">
        <w:rPr>
          <w:rFonts w:ascii="Open Sans" w:hAnsi="Open Sans"/>
          <w:color w:val="231F20"/>
          <w:sz w:val="19"/>
          <w:szCs w:val="19"/>
          <w:lang w:val="en-US"/>
        </w:rPr>
        <w:t xml:space="preserve"> </w:t>
      </w:r>
      <w:r w:rsidR="001D2CEC">
        <w:rPr>
          <w:rFonts w:ascii="Open Sans" w:hAnsi="Open Sans"/>
          <w:color w:val="231F20"/>
          <w:sz w:val="19"/>
          <w:szCs w:val="19"/>
          <w:lang w:val="en-US"/>
        </w:rPr>
        <w:t>Desde Excel.</w:t>
      </w:r>
    </w:p>
    <w:p w:rsidR="001D2CEC" w:rsidRPr="001D2CEC" w:rsidRDefault="00973449" w:rsidP="006578AC">
      <w:pPr>
        <w:pStyle w:val="NormalWeb"/>
        <w:shd w:val="clear" w:color="auto" w:fill="FFFFFF"/>
        <w:spacing w:before="180" w:beforeAutospacing="0" w:after="180" w:afterAutospacing="0"/>
        <w:jc w:val="both"/>
        <w:rPr>
          <w:rFonts w:ascii="Open Sans" w:hAnsi="Open Sans"/>
          <w:color w:val="231F20"/>
          <w:sz w:val="19"/>
          <w:szCs w:val="19"/>
        </w:rPr>
      </w:pPr>
      <w:r w:rsidRPr="00F45B32">
        <w:rPr>
          <w:rFonts w:ascii="Open Sans" w:hAnsi="Open Sans"/>
          <w:color w:val="231F20"/>
          <w:sz w:val="19"/>
          <w:szCs w:val="19"/>
        </w:rPr>
        <w:t>Sin embargo</w:t>
      </w:r>
      <w:r w:rsidR="00F45B32" w:rsidRPr="00F45B32">
        <w:rPr>
          <w:rFonts w:ascii="Open Sans" w:hAnsi="Open Sans"/>
          <w:color w:val="231F20"/>
          <w:sz w:val="19"/>
          <w:szCs w:val="19"/>
        </w:rPr>
        <w:t>,</w:t>
      </w:r>
      <w:r w:rsidR="00F45B32">
        <w:rPr>
          <w:rFonts w:ascii="Open Sans" w:hAnsi="Open Sans"/>
          <w:color w:val="231F20"/>
          <w:sz w:val="19"/>
          <w:szCs w:val="19"/>
        </w:rPr>
        <w:t xml:space="preserve"> </w:t>
      </w:r>
      <w:r w:rsidR="001D2CEC" w:rsidRPr="00F45B32">
        <w:rPr>
          <w:rFonts w:ascii="Open Sans" w:hAnsi="Open Sans"/>
          <w:color w:val="231F20"/>
          <w:sz w:val="19"/>
          <w:szCs w:val="19"/>
        </w:rPr>
        <w:t xml:space="preserve">si fuese una persona de IT, sería ambivalente. </w:t>
      </w:r>
      <w:r w:rsidR="001D2CEC" w:rsidRPr="001D2CEC">
        <w:rPr>
          <w:rFonts w:ascii="Open Sans" w:hAnsi="Open Sans"/>
          <w:color w:val="231F20"/>
          <w:sz w:val="19"/>
          <w:szCs w:val="19"/>
        </w:rPr>
        <w:t xml:space="preserve">Por una parte: les daría a los usuarios lo que quieren. </w:t>
      </w:r>
      <w:r w:rsidR="001D2CEC">
        <w:rPr>
          <w:rFonts w:ascii="Open Sans" w:hAnsi="Open Sans"/>
          <w:color w:val="231F20"/>
          <w:sz w:val="19"/>
          <w:szCs w:val="19"/>
        </w:rPr>
        <w:t xml:space="preserve">Pueden conseguir datos desde múltiples fuentes, combinarlos como deseen, crear sus propios análisis. El  autoservicio de BI (ver consejo de diseño 153) pasa de ser un sueño a la realidad. </w:t>
      </w:r>
      <w:r w:rsidR="001D2CEC" w:rsidRPr="001D2CEC">
        <w:rPr>
          <w:rFonts w:ascii="Open Sans" w:hAnsi="Open Sans"/>
          <w:color w:val="231F20"/>
          <w:sz w:val="19"/>
          <w:szCs w:val="19"/>
          <w:lang w:val="en-US"/>
        </w:rPr>
        <w:t xml:space="preserve">¡Hurra! Por otra parte: anarquía. </w:t>
      </w:r>
      <w:r w:rsidR="001D2CEC" w:rsidRPr="001D2CEC">
        <w:rPr>
          <w:rFonts w:ascii="Open Sans" w:hAnsi="Open Sans"/>
          <w:color w:val="231F20"/>
          <w:sz w:val="19"/>
          <w:szCs w:val="19"/>
        </w:rPr>
        <w:t>Cada analista crea sus propios conjuntos de datos en las herramientas de visualizaci</w:t>
      </w:r>
      <w:r w:rsidR="001D2CEC">
        <w:rPr>
          <w:rFonts w:ascii="Open Sans" w:hAnsi="Open Sans"/>
          <w:color w:val="231F20"/>
          <w:sz w:val="19"/>
          <w:szCs w:val="19"/>
        </w:rPr>
        <w:t xml:space="preserve">ón, nombrando elementos como quieran, enterrando transformaciones y cálculos </w:t>
      </w:r>
      <w:r w:rsidR="00BC4BFF">
        <w:rPr>
          <w:rFonts w:ascii="Open Sans" w:hAnsi="Open Sans"/>
          <w:color w:val="231F20"/>
          <w:sz w:val="19"/>
          <w:szCs w:val="19"/>
        </w:rPr>
        <w:t>dentro del</w:t>
      </w:r>
      <w:r w:rsidR="001D2CEC">
        <w:rPr>
          <w:rFonts w:ascii="Open Sans" w:hAnsi="Open Sans"/>
          <w:color w:val="231F20"/>
          <w:sz w:val="19"/>
          <w:szCs w:val="19"/>
        </w:rPr>
        <w:t xml:space="preserve"> código específico para estas herramientas. </w:t>
      </w:r>
      <w:r w:rsidR="00EA48B5">
        <w:rPr>
          <w:rFonts w:ascii="Open Sans" w:hAnsi="Open Sans"/>
          <w:color w:val="231F20"/>
          <w:sz w:val="19"/>
          <w:szCs w:val="19"/>
        </w:rPr>
        <w:t>De nuevo por todas partes encontramos compartimentos estancos de data marts o spreadmarts. Definiciones inconsistentes, nombres inconsistentes y datos inconsistentes trasladados y transformados múltiples veces los mismos pero diferentes.</w:t>
      </w:r>
    </w:p>
    <w:p w:rsidR="00E50F75" w:rsidRPr="00E50F75" w:rsidRDefault="00E50F75" w:rsidP="006578AC">
      <w:pPr>
        <w:pStyle w:val="NormalWeb"/>
        <w:shd w:val="clear" w:color="auto" w:fill="FFFFFF"/>
        <w:spacing w:before="180" w:beforeAutospacing="0" w:after="180" w:afterAutospacing="0"/>
        <w:jc w:val="both"/>
        <w:rPr>
          <w:rFonts w:ascii="Open Sans" w:hAnsi="Open Sans"/>
          <w:color w:val="231F20"/>
          <w:sz w:val="19"/>
          <w:szCs w:val="19"/>
        </w:rPr>
      </w:pPr>
      <w:r w:rsidRPr="00E50F75">
        <w:rPr>
          <w:rFonts w:ascii="Open Sans" w:hAnsi="Open Sans"/>
          <w:color w:val="231F20"/>
          <w:sz w:val="19"/>
          <w:szCs w:val="19"/>
        </w:rPr>
        <w:t xml:space="preserve">Apartándonos de la excitante </w:t>
      </w:r>
      <w:r w:rsidRPr="00E50F75">
        <w:rPr>
          <w:rFonts w:ascii="Open Sans" w:hAnsi="Open Sans" w:hint="eastAsia"/>
          <w:color w:val="231F20"/>
          <w:sz w:val="19"/>
          <w:szCs w:val="19"/>
        </w:rPr>
        <w:t xml:space="preserve">perspectiva </w:t>
      </w:r>
      <w:r w:rsidRPr="00E50F75">
        <w:rPr>
          <w:rFonts w:ascii="Open Sans" w:hAnsi="Open Sans"/>
          <w:color w:val="231F20"/>
          <w:sz w:val="19"/>
          <w:szCs w:val="19"/>
        </w:rPr>
        <w:t xml:space="preserve">analista-friki </w:t>
      </w:r>
      <w:r>
        <w:rPr>
          <w:rFonts w:ascii="Open Sans" w:hAnsi="Open Sans"/>
          <w:color w:val="231F20"/>
          <w:sz w:val="19"/>
          <w:szCs w:val="19"/>
        </w:rPr>
        <w:t xml:space="preserve">y dirigiéndonos hacia una menos divertida perspectiva de auditoría y observancia, la dispersión de las restricciones </w:t>
      </w:r>
      <w:r w:rsidR="00BC4BFF">
        <w:rPr>
          <w:rFonts w:ascii="Open Sans" w:hAnsi="Open Sans"/>
          <w:color w:val="231F20"/>
          <w:sz w:val="19"/>
          <w:szCs w:val="19"/>
        </w:rPr>
        <w:t xml:space="preserve">y una profunda integración lógica dentro de las herramientas de la visualización de datos individuales puede transformarse en una pesadilla. ¿Qué pasa si el analista reivindica demostrar una oportunidad de obtener un beneficio de 10 millones de dólares analizando el mercado a través de media docena de fuentes de datos </w:t>
      </w:r>
      <w:r w:rsidR="00BC4BFF">
        <w:rPr>
          <w:rFonts w:ascii="Open Sans" w:hAnsi="Open Sans" w:hint="eastAsia"/>
          <w:color w:val="231F20"/>
          <w:sz w:val="19"/>
          <w:szCs w:val="19"/>
        </w:rPr>
        <w:t>“</w:t>
      </w:r>
      <w:r w:rsidR="00BC4BFF">
        <w:rPr>
          <w:rFonts w:ascii="Open Sans" w:hAnsi="Open Sans"/>
          <w:color w:val="231F20"/>
          <w:sz w:val="19"/>
          <w:szCs w:val="19"/>
        </w:rPr>
        <w:t>cosidas</w:t>
      </w:r>
      <w:r w:rsidR="00BC4BFF">
        <w:rPr>
          <w:rFonts w:ascii="Open Sans" w:hAnsi="Open Sans" w:hint="eastAsia"/>
          <w:color w:val="231F20"/>
          <w:sz w:val="19"/>
          <w:szCs w:val="19"/>
        </w:rPr>
        <w:t>”</w:t>
      </w:r>
      <w:r w:rsidR="00BC4BFF">
        <w:rPr>
          <w:rFonts w:ascii="Open Sans" w:hAnsi="Open Sans"/>
          <w:color w:val="231F20"/>
          <w:sz w:val="19"/>
          <w:szCs w:val="19"/>
        </w:rPr>
        <w:t xml:space="preserve"> juntas con reglas de integración hechas manualmente en las herramientas de visualización de datos?</w:t>
      </w:r>
      <w:r w:rsidR="00094C2A">
        <w:rPr>
          <w:rFonts w:ascii="Open Sans" w:hAnsi="Open Sans"/>
          <w:color w:val="231F20"/>
          <w:sz w:val="19"/>
          <w:szCs w:val="19"/>
        </w:rPr>
        <w:t xml:space="preserve"> ¿Estas reglas de integración están documentadas? ¿Dónde buscas en la herramienta para ver qué ha hecho el analista? ¿Otros analistas utilizan exactamente las mismas reglas?</w:t>
      </w:r>
    </w:p>
    <w:p w:rsidR="007120F6" w:rsidRDefault="007120F6" w:rsidP="006578AC">
      <w:pPr>
        <w:pStyle w:val="NormalWeb"/>
        <w:shd w:val="clear" w:color="auto" w:fill="FFFFFF"/>
        <w:spacing w:before="180" w:beforeAutospacing="0" w:after="180" w:afterAutospacing="0"/>
        <w:jc w:val="both"/>
        <w:rPr>
          <w:rFonts w:ascii="Open Sans" w:hAnsi="Open Sans"/>
          <w:color w:val="231F20"/>
          <w:sz w:val="19"/>
          <w:szCs w:val="19"/>
        </w:rPr>
      </w:pPr>
      <w:r>
        <w:rPr>
          <w:rFonts w:ascii="Open Sans" w:hAnsi="Open Sans"/>
          <w:color w:val="231F20"/>
          <w:sz w:val="19"/>
          <w:szCs w:val="19"/>
        </w:rPr>
        <w:t xml:space="preserve">El personal de ventas de estos vendedores de herramientas de visualización de datos </w:t>
      </w:r>
      <w:proofErr w:type="gramStart"/>
      <w:r>
        <w:rPr>
          <w:rFonts w:ascii="Open Sans" w:hAnsi="Open Sans"/>
          <w:color w:val="231F20"/>
          <w:sz w:val="19"/>
          <w:szCs w:val="19"/>
        </w:rPr>
        <w:t>venden</w:t>
      </w:r>
      <w:proofErr w:type="gramEnd"/>
      <w:r>
        <w:rPr>
          <w:rFonts w:ascii="Open Sans" w:hAnsi="Open Sans"/>
          <w:color w:val="231F20"/>
          <w:sz w:val="19"/>
          <w:szCs w:val="19"/>
        </w:rPr>
        <w:t xml:space="preserve"> un sueño para los usuarios de negocio. Les dicen a los </w:t>
      </w:r>
      <w:r>
        <w:rPr>
          <w:rFonts w:ascii="Open Sans" w:hAnsi="Open Sans" w:hint="eastAsia"/>
          <w:color w:val="231F20"/>
          <w:sz w:val="19"/>
          <w:szCs w:val="19"/>
        </w:rPr>
        <w:t>usuarios</w:t>
      </w:r>
      <w:r>
        <w:rPr>
          <w:rFonts w:ascii="Open Sans" w:hAnsi="Open Sans"/>
          <w:color w:val="231F20"/>
          <w:sz w:val="19"/>
          <w:szCs w:val="19"/>
        </w:rPr>
        <w:t xml:space="preserve"> que no tienen que esperar al IT para construir un esquema de estrella-puedes ensamblar la herramienta directamente al sistema fuente o almacén operacional y construir tu estructura de cubo en memoria tú mismo (o tal vez conseguir una asistencia de consulta barata para los bits frikis). Y del corto al medio plazo, es cierto. Pero no hablan </w:t>
      </w:r>
      <w:r>
        <w:rPr>
          <w:rFonts w:ascii="Open Sans" w:hAnsi="Open Sans" w:hint="eastAsia"/>
          <w:color w:val="231F20"/>
          <w:sz w:val="19"/>
          <w:szCs w:val="19"/>
        </w:rPr>
        <w:t>de cómo</w:t>
      </w:r>
      <w:r>
        <w:rPr>
          <w:rFonts w:ascii="Open Sans" w:hAnsi="Open Sans"/>
          <w:color w:val="231F20"/>
          <w:sz w:val="19"/>
          <w:szCs w:val="19"/>
        </w:rPr>
        <w:t xml:space="preserve"> estará este entorno en un año o dos, cuando la descoordinada demanda analítica de la comunidad de usuarios </w:t>
      </w:r>
      <w:proofErr w:type="gramStart"/>
      <w:r>
        <w:rPr>
          <w:rFonts w:ascii="Open Sans" w:hAnsi="Open Sans" w:hint="eastAsia"/>
          <w:color w:val="231F20"/>
          <w:sz w:val="19"/>
          <w:szCs w:val="19"/>
        </w:rPr>
        <w:t>estén</w:t>
      </w:r>
      <w:proofErr w:type="gramEnd"/>
      <w:r>
        <w:rPr>
          <w:rFonts w:ascii="Open Sans" w:hAnsi="Open Sans"/>
          <w:color w:val="231F20"/>
          <w:sz w:val="19"/>
          <w:szCs w:val="19"/>
        </w:rPr>
        <w:t xml:space="preserve"> tirando de la infraestructura IT. O cuando los usuarios se cansen de mantener el código barroco subyacente en su panel de control de misión crítica e intenten pasarlo a la IT. </w:t>
      </w:r>
      <w:r w:rsidR="00393FCE">
        <w:rPr>
          <w:rFonts w:ascii="Open Sans" w:hAnsi="Open Sans"/>
          <w:color w:val="231F20"/>
          <w:sz w:val="19"/>
          <w:szCs w:val="19"/>
        </w:rPr>
        <w:t xml:space="preserve">Sin mencionar las múltiples versiones del verdadero problema que la inevitable consecuencia de tal anarquía. Aquellos de nosotros que llevamos construyendo data warehouses desde hace tiempo hemos visto esta floración de </w:t>
      </w:r>
      <w:r w:rsidR="00393FCE">
        <w:rPr>
          <w:rFonts w:ascii="Open Sans" w:hAnsi="Open Sans" w:hint="eastAsia"/>
          <w:color w:val="231F20"/>
          <w:sz w:val="19"/>
          <w:szCs w:val="19"/>
        </w:rPr>
        <w:t>“</w:t>
      </w:r>
      <w:r w:rsidR="00393FCE">
        <w:rPr>
          <w:rFonts w:ascii="Open Sans" w:hAnsi="Open Sans"/>
          <w:color w:val="231F20"/>
          <w:sz w:val="19"/>
          <w:szCs w:val="19"/>
        </w:rPr>
        <w:t>bases de datos de escritorio</w:t>
      </w:r>
      <w:r w:rsidR="00393FCE">
        <w:rPr>
          <w:rFonts w:ascii="Open Sans" w:hAnsi="Open Sans" w:hint="eastAsia"/>
          <w:color w:val="231F20"/>
          <w:sz w:val="19"/>
          <w:szCs w:val="19"/>
        </w:rPr>
        <w:t>”</w:t>
      </w:r>
      <w:r w:rsidR="00393FCE">
        <w:rPr>
          <w:rFonts w:ascii="Open Sans" w:hAnsi="Open Sans"/>
          <w:color w:val="231F20"/>
          <w:sz w:val="19"/>
          <w:szCs w:val="19"/>
        </w:rPr>
        <w:t xml:space="preserve"> varias veces, en primer lugar con los lenguajes 4GL en 1980, más tarde con la proliferación de los data marts en los 90 y ahora de nuevo con el increíble poder de las herramientas de visualización de datos. Seamos claros: nos encantan las herramientas de visualización de datos. Sólo queremos que los conocimientos empresariales sean entendibles con estas herramientas, consistentes y fiables.</w:t>
      </w:r>
    </w:p>
    <w:p w:rsidR="00393FCE" w:rsidRPr="00393FCE" w:rsidRDefault="00393FCE" w:rsidP="006578AC">
      <w:pPr>
        <w:pStyle w:val="NormalWeb"/>
        <w:shd w:val="clear" w:color="auto" w:fill="FFFFFF"/>
        <w:spacing w:before="180" w:beforeAutospacing="0" w:after="180" w:afterAutospacing="0"/>
        <w:jc w:val="both"/>
        <w:rPr>
          <w:rFonts w:ascii="Open Sans" w:hAnsi="Open Sans"/>
          <w:color w:val="231F20"/>
          <w:sz w:val="19"/>
          <w:szCs w:val="19"/>
        </w:rPr>
      </w:pPr>
      <w:r w:rsidRPr="00393FCE">
        <w:rPr>
          <w:rFonts w:ascii="Open Sans" w:hAnsi="Open Sans"/>
          <w:color w:val="231F20"/>
          <w:sz w:val="19"/>
          <w:szCs w:val="19"/>
        </w:rPr>
        <w:t xml:space="preserve">En algunos casos sería </w:t>
      </w:r>
      <w:r>
        <w:rPr>
          <w:rFonts w:ascii="Open Sans" w:hAnsi="Open Sans" w:hint="eastAsia"/>
          <w:color w:val="231F20"/>
          <w:sz w:val="19"/>
          <w:szCs w:val="19"/>
        </w:rPr>
        <w:t>po</w:t>
      </w:r>
      <w:r w:rsidRPr="00393FCE">
        <w:rPr>
          <w:rFonts w:ascii="Open Sans" w:hAnsi="Open Sans" w:hint="eastAsia"/>
          <w:color w:val="231F20"/>
          <w:sz w:val="19"/>
          <w:szCs w:val="19"/>
        </w:rPr>
        <w:t>sible</w:t>
      </w:r>
      <w:r w:rsidRPr="00393FCE">
        <w:rPr>
          <w:rFonts w:ascii="Open Sans" w:hAnsi="Open Sans"/>
          <w:color w:val="231F20"/>
          <w:sz w:val="19"/>
          <w:szCs w:val="19"/>
        </w:rPr>
        <w:t xml:space="preserve"> implementar </w:t>
      </w:r>
      <w:r>
        <w:rPr>
          <w:rFonts w:ascii="Open Sans" w:hAnsi="Open Sans"/>
          <w:color w:val="231F20"/>
          <w:sz w:val="19"/>
          <w:szCs w:val="19"/>
        </w:rPr>
        <w:t xml:space="preserve">toda tu solución BI en una herramienta de visualización de datos, saltando el costoso paso de planificar, diseñar y construir primero una data warehouse. No es ciertamente una buena idea. Un sistema de data warehouse/ inteligencia de negocios del estilo Kimball es más que un simple esquema de estrella. El componente más importante del método Kimball es focalizar en la conformidad: </w:t>
      </w:r>
      <w:r w:rsidR="00E96BD3">
        <w:rPr>
          <w:rFonts w:ascii="Open Sans" w:hAnsi="Open Sans"/>
          <w:color w:val="231F20"/>
          <w:sz w:val="19"/>
          <w:szCs w:val="19"/>
        </w:rPr>
        <w:t>vamos todos juntos y pongámonos de acuerdo con los nombres, definiciones y en las técnicas de cambio de atributos para cada elemento. Definámolos una vez, usemos una herramienta real ETL para planificar e implementar ese movimiento de datos y almacenemos esos datos transformados en un formato duradero (el data warehouse).</w:t>
      </w:r>
    </w:p>
    <w:p w:rsidR="00C1085A" w:rsidRDefault="00C1085A" w:rsidP="006578AC">
      <w:pPr>
        <w:pStyle w:val="NormalWeb"/>
        <w:shd w:val="clear" w:color="auto" w:fill="FFFFFF"/>
        <w:spacing w:before="180" w:beforeAutospacing="0" w:after="180" w:afterAutospacing="0"/>
        <w:jc w:val="both"/>
        <w:rPr>
          <w:rFonts w:ascii="Open Sans" w:hAnsi="Open Sans"/>
          <w:color w:val="231F20"/>
          <w:sz w:val="19"/>
          <w:szCs w:val="19"/>
          <w:lang w:val="en-US"/>
        </w:rPr>
      </w:pPr>
    </w:p>
    <w:p w:rsidR="00C1085A" w:rsidRDefault="00C1085A" w:rsidP="006578AC">
      <w:pPr>
        <w:pStyle w:val="NormalWeb"/>
        <w:shd w:val="clear" w:color="auto" w:fill="FFFFFF"/>
        <w:spacing w:before="180" w:beforeAutospacing="0" w:after="180" w:afterAutospacing="0"/>
        <w:jc w:val="both"/>
        <w:rPr>
          <w:rFonts w:ascii="Open Sans" w:hAnsi="Open Sans"/>
          <w:color w:val="231F20"/>
          <w:sz w:val="19"/>
          <w:szCs w:val="19"/>
          <w:lang w:val="en-US"/>
        </w:rPr>
      </w:pPr>
    </w:p>
    <w:p w:rsidR="00C1085A" w:rsidRPr="00C1085A" w:rsidRDefault="00C1085A" w:rsidP="006578AC">
      <w:pPr>
        <w:pStyle w:val="NormalWeb"/>
        <w:shd w:val="clear" w:color="auto" w:fill="FFFFFF"/>
        <w:spacing w:before="180" w:beforeAutospacing="0" w:after="180" w:afterAutospacing="0"/>
        <w:jc w:val="both"/>
        <w:rPr>
          <w:rFonts w:ascii="Open Sans" w:hAnsi="Open Sans"/>
          <w:color w:val="231F20"/>
          <w:sz w:val="19"/>
          <w:szCs w:val="19"/>
        </w:rPr>
      </w:pPr>
      <w:r w:rsidRPr="00C1085A">
        <w:rPr>
          <w:rFonts w:ascii="Open Sans" w:hAnsi="Open Sans"/>
          <w:color w:val="231F20"/>
          <w:sz w:val="19"/>
          <w:szCs w:val="19"/>
        </w:rPr>
        <w:lastRenderedPageBreak/>
        <w:t xml:space="preserve">Si la anarquía no es la respuesta, </w:t>
      </w:r>
      <w:r w:rsidR="00B3442F">
        <w:rPr>
          <w:rFonts w:ascii="Open Sans" w:hAnsi="Open Sans"/>
          <w:color w:val="231F20"/>
          <w:sz w:val="19"/>
          <w:szCs w:val="19"/>
        </w:rPr>
        <w:t xml:space="preserve">¿qué recomienda </w:t>
      </w:r>
      <w:proofErr w:type="spellStart"/>
      <w:r>
        <w:rPr>
          <w:rFonts w:ascii="Open Sans" w:hAnsi="Open Sans"/>
          <w:color w:val="231F20"/>
          <w:sz w:val="19"/>
          <w:szCs w:val="19"/>
        </w:rPr>
        <w:t>Kimball</w:t>
      </w:r>
      <w:proofErr w:type="spellEnd"/>
      <w:r w:rsidR="00B3442F">
        <w:rPr>
          <w:rFonts w:ascii="Open Sans" w:hAnsi="Open Sans"/>
          <w:color w:val="231F20"/>
          <w:sz w:val="19"/>
          <w:szCs w:val="19"/>
        </w:rPr>
        <w:t xml:space="preserve"> </w:t>
      </w:r>
      <w:proofErr w:type="spellStart"/>
      <w:r w:rsidR="00B3442F">
        <w:rPr>
          <w:rFonts w:ascii="Open Sans" w:hAnsi="Open Sans"/>
          <w:color w:val="231F20"/>
          <w:sz w:val="19"/>
          <w:szCs w:val="19"/>
        </w:rPr>
        <w:t>group</w:t>
      </w:r>
      <w:proofErr w:type="spellEnd"/>
      <w:r>
        <w:rPr>
          <w:rFonts w:ascii="Open Sans" w:hAnsi="Open Sans"/>
          <w:color w:val="231F20"/>
          <w:sz w:val="19"/>
          <w:szCs w:val="19"/>
        </w:rPr>
        <w:t>? Primero, encuentra un lugar en tu arquitectura para una herramienta de visualización de datos. Tus usuarios de negocio lo quieren, y si la organización IT no planea una arquitectura efectiva, encontrarás una arquitectura inefectiva evolucionando bajo tus pies.</w:t>
      </w:r>
    </w:p>
    <w:p w:rsidR="00C1085A" w:rsidRPr="00C1085A" w:rsidRDefault="00C1085A" w:rsidP="006578AC">
      <w:pPr>
        <w:pStyle w:val="NormalWeb"/>
        <w:shd w:val="clear" w:color="auto" w:fill="FFFFFF"/>
        <w:spacing w:before="180" w:beforeAutospacing="0" w:after="180" w:afterAutospacing="0"/>
        <w:jc w:val="both"/>
        <w:rPr>
          <w:rFonts w:ascii="Open Sans" w:hAnsi="Open Sans"/>
          <w:color w:val="231F20"/>
          <w:sz w:val="19"/>
          <w:szCs w:val="19"/>
        </w:rPr>
      </w:pPr>
      <w:r w:rsidRPr="00C1085A">
        <w:rPr>
          <w:rFonts w:ascii="Open Sans" w:hAnsi="Open Sans"/>
          <w:color w:val="231F20"/>
          <w:sz w:val="19"/>
          <w:szCs w:val="19"/>
        </w:rPr>
        <w:t xml:space="preserve">Una arquitectura efectiva </w:t>
      </w:r>
      <w:r>
        <w:rPr>
          <w:rFonts w:ascii="Open Sans" w:hAnsi="Open Sans"/>
          <w:color w:val="231F20"/>
          <w:sz w:val="19"/>
          <w:szCs w:val="19"/>
        </w:rPr>
        <w:t xml:space="preserve">depende de </w:t>
      </w:r>
      <w:r w:rsidRPr="00C1085A">
        <w:rPr>
          <w:rFonts w:ascii="Open Sans" w:hAnsi="Open Sans"/>
          <w:color w:val="231F20"/>
          <w:sz w:val="19"/>
          <w:szCs w:val="19"/>
        </w:rPr>
        <w:t xml:space="preserve"> un data wareho</w:t>
      </w:r>
      <w:r w:rsidR="00973449">
        <w:rPr>
          <w:rFonts w:ascii="Open Sans" w:hAnsi="Open Sans"/>
          <w:color w:val="231F20"/>
          <w:sz w:val="19"/>
          <w:szCs w:val="19"/>
        </w:rPr>
        <w:t>u</w:t>
      </w:r>
      <w:r w:rsidRPr="00C1085A">
        <w:rPr>
          <w:rFonts w:ascii="Open Sans" w:hAnsi="Open Sans"/>
          <w:color w:val="231F20"/>
          <w:sz w:val="19"/>
          <w:szCs w:val="19"/>
        </w:rPr>
        <w:t xml:space="preserve">se Kimball, </w:t>
      </w:r>
      <w:r>
        <w:rPr>
          <w:rFonts w:ascii="Open Sans" w:hAnsi="Open Sans"/>
          <w:color w:val="231F20"/>
          <w:sz w:val="19"/>
          <w:szCs w:val="19"/>
        </w:rPr>
        <w:t xml:space="preserve">de la gestión de datos implicada y requerida por las dimensiones conformadas. Los usuarios de negocio deben ponerse de acuerdo con el concepto de que cada cosa tenga un nombre, y hacer de ello una parte integradora del modo en que se comunican y hacen negocios. Esto es un problema empresarial, no un problema IT, aunque el IT debe procurar permitir una gestión de datos efectiva. </w:t>
      </w:r>
      <w:r w:rsidR="00E155A8">
        <w:rPr>
          <w:rFonts w:ascii="Open Sans" w:hAnsi="Open Sans"/>
          <w:color w:val="231F20"/>
          <w:sz w:val="19"/>
          <w:szCs w:val="19"/>
        </w:rPr>
        <w:t xml:space="preserve">Con cualquier tipo de autoservicio de BI, no es posible prohibir a los usuarios cambiar el nombre o los cálculos de un objeto una vez </w:t>
      </w:r>
      <w:proofErr w:type="gramStart"/>
      <w:r w:rsidR="00E155A8">
        <w:rPr>
          <w:rFonts w:ascii="Open Sans" w:hAnsi="Open Sans"/>
          <w:color w:val="231F20"/>
          <w:sz w:val="19"/>
          <w:szCs w:val="19"/>
        </w:rPr>
        <w:t>está</w:t>
      </w:r>
      <w:proofErr w:type="gramEnd"/>
      <w:r w:rsidR="00E155A8">
        <w:rPr>
          <w:rFonts w:ascii="Open Sans" w:hAnsi="Open Sans"/>
          <w:color w:val="231F20"/>
          <w:sz w:val="19"/>
          <w:szCs w:val="19"/>
        </w:rPr>
        <w:t xml:space="preserve"> en sus análisis, así que necesitamos ayudarles a entender porque no deben hacerlo.</w:t>
      </w:r>
    </w:p>
    <w:p w:rsidR="006E146D" w:rsidRPr="006E146D" w:rsidRDefault="006E146D" w:rsidP="006578AC">
      <w:pPr>
        <w:pStyle w:val="NormalWeb"/>
        <w:shd w:val="clear" w:color="auto" w:fill="FFFFFF"/>
        <w:spacing w:before="180" w:beforeAutospacing="0" w:after="180" w:afterAutospacing="0"/>
        <w:jc w:val="both"/>
        <w:rPr>
          <w:rFonts w:ascii="Open Sans" w:hAnsi="Open Sans"/>
          <w:color w:val="231F20"/>
          <w:sz w:val="19"/>
          <w:szCs w:val="19"/>
        </w:rPr>
      </w:pPr>
      <w:r w:rsidRPr="006E146D">
        <w:rPr>
          <w:rFonts w:ascii="Open Sans" w:hAnsi="Open Sans"/>
          <w:color w:val="231F20"/>
          <w:sz w:val="19"/>
          <w:szCs w:val="19"/>
        </w:rPr>
        <w:t xml:space="preserve">Con un buen diseño e </w:t>
      </w:r>
      <w:r w:rsidRPr="006E146D">
        <w:rPr>
          <w:rFonts w:ascii="Open Sans" w:hAnsi="Open Sans" w:hint="eastAsia"/>
          <w:color w:val="231F20"/>
          <w:sz w:val="19"/>
          <w:szCs w:val="19"/>
        </w:rPr>
        <w:t>implementaci</w:t>
      </w:r>
      <w:r>
        <w:rPr>
          <w:rFonts w:ascii="Open Sans" w:hAnsi="Open Sans"/>
          <w:color w:val="231F20"/>
          <w:sz w:val="19"/>
          <w:szCs w:val="19"/>
        </w:rPr>
        <w:t xml:space="preserve">ón de un </w:t>
      </w:r>
      <w:r w:rsidRPr="006E146D">
        <w:rPr>
          <w:rFonts w:ascii="Open Sans" w:hAnsi="Open Sans"/>
          <w:color w:val="231F20"/>
          <w:sz w:val="19"/>
          <w:szCs w:val="19"/>
        </w:rPr>
        <w:t>data warehouse</w:t>
      </w:r>
      <w:r>
        <w:rPr>
          <w:rFonts w:ascii="Open Sans" w:hAnsi="Open Sans"/>
          <w:color w:val="231F20"/>
          <w:sz w:val="19"/>
          <w:szCs w:val="19"/>
        </w:rPr>
        <w:t xml:space="preserve"> Kimball en </w:t>
      </w:r>
      <w:r w:rsidRPr="006E146D">
        <w:rPr>
          <w:rFonts w:ascii="Open Sans" w:hAnsi="Open Sans"/>
          <w:color w:val="231F20"/>
          <w:sz w:val="19"/>
          <w:szCs w:val="19"/>
        </w:rPr>
        <w:t xml:space="preserve"> </w:t>
      </w:r>
      <w:r>
        <w:rPr>
          <w:rFonts w:ascii="Open Sans" w:hAnsi="Open Sans"/>
          <w:color w:val="231F20"/>
          <w:sz w:val="19"/>
          <w:szCs w:val="19"/>
        </w:rPr>
        <w:t xml:space="preserve">el negocio, los usuarios pueden enganchar las herramientas de visualización directarmente con el data warehouse relacional o con los cubos gestionados de forma centralizada. Las herramientas se usarán sobre todo como implica la etiqueta: para análisis y visualización. Algunos usuarios necesitarán traer datos externos- siempre hay algo que no ha sido adquirido todavía por el data warehouse central –pero debe estar en la periferia. El IT necesita </w:t>
      </w:r>
      <w:r w:rsidR="00973449">
        <w:rPr>
          <w:rFonts w:ascii="Open Sans" w:hAnsi="Open Sans"/>
          <w:color w:val="231F20"/>
          <w:sz w:val="19"/>
          <w:szCs w:val="19"/>
        </w:rPr>
        <w:t>mantener</w:t>
      </w:r>
      <w:r>
        <w:rPr>
          <w:rFonts w:ascii="Open Sans" w:hAnsi="Open Sans"/>
          <w:color w:val="231F20"/>
          <w:sz w:val="19"/>
          <w:szCs w:val="19"/>
        </w:rPr>
        <w:t xml:space="preserve"> una buena comunicación con los usuarios para ver los datos externos que están utilizando, y evaluar si deben adquirirse de forma centralizada. De manera similar, sería apropiado promover algunos cálculos definidos por los usuarios en la gestión centralizada del cubo, o la capa semántica.</w:t>
      </w:r>
    </w:p>
    <w:p w:rsidR="006E146D" w:rsidRDefault="006E146D" w:rsidP="006578AC">
      <w:pPr>
        <w:pStyle w:val="NormalWeb"/>
        <w:shd w:val="clear" w:color="auto" w:fill="FFFFFF"/>
        <w:spacing w:before="180" w:beforeAutospacing="0" w:after="180" w:afterAutospacing="0"/>
        <w:jc w:val="both"/>
        <w:rPr>
          <w:rFonts w:ascii="Open Sans" w:hAnsi="Open Sans"/>
          <w:color w:val="231F20"/>
          <w:sz w:val="19"/>
          <w:szCs w:val="19"/>
        </w:rPr>
      </w:pPr>
      <w:r w:rsidRPr="006E146D">
        <w:rPr>
          <w:rFonts w:ascii="Open Sans" w:hAnsi="Open Sans"/>
          <w:color w:val="231F20"/>
          <w:sz w:val="19"/>
          <w:szCs w:val="19"/>
        </w:rPr>
        <w:t xml:space="preserve">Si </w:t>
      </w:r>
      <w:proofErr w:type="gramStart"/>
      <w:r w:rsidRPr="006E146D">
        <w:rPr>
          <w:rFonts w:ascii="Open Sans" w:hAnsi="Open Sans"/>
          <w:color w:val="231F20"/>
          <w:sz w:val="19"/>
          <w:szCs w:val="19"/>
        </w:rPr>
        <w:t>tu</w:t>
      </w:r>
      <w:proofErr w:type="gramEnd"/>
      <w:r w:rsidRPr="006E146D">
        <w:rPr>
          <w:rFonts w:ascii="Open Sans" w:hAnsi="Open Sans"/>
          <w:color w:val="231F20"/>
          <w:sz w:val="19"/>
          <w:szCs w:val="19"/>
        </w:rPr>
        <w:t xml:space="preserve"> data warehouse está planificada </w:t>
      </w:r>
      <w:r>
        <w:rPr>
          <w:rFonts w:ascii="Open Sans" w:hAnsi="Open Sans"/>
          <w:color w:val="231F20"/>
          <w:sz w:val="19"/>
          <w:szCs w:val="19"/>
        </w:rPr>
        <w:t xml:space="preserve">pero no está en marcha todavía, necesitas </w:t>
      </w:r>
      <w:r w:rsidR="006578AC">
        <w:rPr>
          <w:rFonts w:ascii="Open Sans" w:hAnsi="Open Sans"/>
          <w:color w:val="231F20"/>
          <w:sz w:val="19"/>
          <w:szCs w:val="19"/>
        </w:rPr>
        <w:t>dar apoyo al uso interno en contra del almacenamiento de datos operacional o incluso del sistema fuente. Funcionará mejor en el largo recorrido si ayudas proactivamente a la comunidad de usuarios a utilizar las herramientas de visualización de manera efectiva.  Creando una asociación, ganarás perspectiva en cómo están utilizando las herramientas. Puedes incluso ganar algo de influencia sobre lo que hacen y cómo lo hacen. Debes ser muy claro al respecto de que cualquier cosa que  se haga directamente en el sistema fuente o ODS puede provocar la re-factorización del data warehouse una vez está disponible.</w:t>
      </w:r>
    </w:p>
    <w:p w:rsidR="006578AC" w:rsidRDefault="006578AC" w:rsidP="006578AC">
      <w:pPr>
        <w:pStyle w:val="NormalWeb"/>
        <w:shd w:val="clear" w:color="auto" w:fill="FFFFFF"/>
        <w:spacing w:before="180" w:beforeAutospacing="0" w:after="180" w:afterAutospacing="0"/>
        <w:jc w:val="both"/>
        <w:rPr>
          <w:rFonts w:ascii="Open Sans" w:hAnsi="Open Sans"/>
          <w:color w:val="231F20"/>
          <w:sz w:val="19"/>
          <w:szCs w:val="19"/>
        </w:rPr>
      </w:pPr>
      <w:r>
        <w:rPr>
          <w:rFonts w:ascii="Open Sans" w:hAnsi="Open Sans"/>
          <w:color w:val="231F20"/>
          <w:sz w:val="19"/>
          <w:szCs w:val="19"/>
        </w:rPr>
        <w:t>Finalmente, hay organizaciones que no tienen un data warehouse, no planifican tener uno, no trabajan en la gestión de datos, o tienen una relación más bien antagónica antes que colaborativa entre la IT y los usuarios. Si esto describe tu organización, el autoservicio de BI será un resultado inevitable.</w:t>
      </w:r>
    </w:p>
    <w:p w:rsidR="004137F0" w:rsidRDefault="00F45B32" w:rsidP="001F79B4">
      <w:pPr>
        <w:rPr>
          <w:lang w:val="en-US"/>
        </w:rPr>
      </w:pPr>
    </w:p>
    <w:p w:rsidR="00353525" w:rsidRDefault="00353525" w:rsidP="001F79B4">
      <w:pPr>
        <w:rPr>
          <w:lang w:val="en-US"/>
        </w:rPr>
      </w:pPr>
      <w:hyperlink r:id="rId4" w:history="1">
        <w:r w:rsidRPr="00E02F34">
          <w:rPr>
            <w:rStyle w:val="Hipervnculo"/>
            <w:lang w:val="en-US"/>
          </w:rPr>
          <w:t>http://www.kimballgroup.com/2014/01/design-tip-162-leverage-data-visualization-tools-but-avoid-anarchy/</w:t>
        </w:r>
      </w:hyperlink>
    </w:p>
    <w:p w:rsidR="00353525" w:rsidRPr="001F79B4" w:rsidRDefault="00353525" w:rsidP="001F79B4">
      <w:pPr>
        <w:rPr>
          <w:lang w:val="en-US"/>
        </w:rPr>
      </w:pPr>
    </w:p>
    <w:sectPr w:rsidR="00353525" w:rsidRPr="001F79B4" w:rsidSect="003B1A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useFELayout/>
  </w:compat>
  <w:rsids>
    <w:rsidRoot w:val="00C0506B"/>
    <w:rsid w:val="00023998"/>
    <w:rsid w:val="00094C2A"/>
    <w:rsid w:val="00127365"/>
    <w:rsid w:val="001D2CEC"/>
    <w:rsid w:val="001F79B4"/>
    <w:rsid w:val="00353525"/>
    <w:rsid w:val="0038542E"/>
    <w:rsid w:val="00393FCE"/>
    <w:rsid w:val="003B1A7D"/>
    <w:rsid w:val="006578AC"/>
    <w:rsid w:val="006E146D"/>
    <w:rsid w:val="007120F6"/>
    <w:rsid w:val="0083165F"/>
    <w:rsid w:val="00925611"/>
    <w:rsid w:val="00973449"/>
    <w:rsid w:val="00987D21"/>
    <w:rsid w:val="00B3442F"/>
    <w:rsid w:val="00B77408"/>
    <w:rsid w:val="00BC4BFF"/>
    <w:rsid w:val="00C0506B"/>
    <w:rsid w:val="00C1085A"/>
    <w:rsid w:val="00C35A3A"/>
    <w:rsid w:val="00E155A8"/>
    <w:rsid w:val="00E50F75"/>
    <w:rsid w:val="00E96BD3"/>
    <w:rsid w:val="00EA48B5"/>
    <w:rsid w:val="00F41A3C"/>
    <w:rsid w:val="00F45B32"/>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7D"/>
  </w:style>
  <w:style w:type="paragraph" w:styleId="Ttulo1">
    <w:name w:val="heading 1"/>
    <w:basedOn w:val="Normal"/>
    <w:link w:val="Ttulo1Car"/>
    <w:uiPriority w:val="9"/>
    <w:qFormat/>
    <w:rsid w:val="0092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506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0506B"/>
    <w:rPr>
      <w:color w:val="0000FF"/>
      <w:u w:val="single"/>
    </w:rPr>
  </w:style>
  <w:style w:type="character" w:customStyle="1" w:styleId="apple-converted-space">
    <w:name w:val="apple-converted-space"/>
    <w:basedOn w:val="Fuentedeprrafopredeter"/>
    <w:rsid w:val="00C0506B"/>
  </w:style>
  <w:style w:type="character" w:styleId="nfasis">
    <w:name w:val="Emphasis"/>
    <w:basedOn w:val="Fuentedeprrafopredeter"/>
    <w:uiPriority w:val="20"/>
    <w:qFormat/>
    <w:rsid w:val="00C0506B"/>
    <w:rPr>
      <w:i/>
      <w:iCs/>
    </w:rPr>
  </w:style>
  <w:style w:type="paragraph" w:styleId="Textodeglobo">
    <w:name w:val="Balloon Text"/>
    <w:basedOn w:val="Normal"/>
    <w:link w:val="TextodegloboCar"/>
    <w:uiPriority w:val="99"/>
    <w:semiHidden/>
    <w:unhideWhenUsed/>
    <w:rsid w:val="00C0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06B"/>
    <w:rPr>
      <w:rFonts w:ascii="Tahoma" w:hAnsi="Tahoma" w:cs="Tahoma"/>
      <w:sz w:val="16"/>
      <w:szCs w:val="16"/>
    </w:rPr>
  </w:style>
  <w:style w:type="character" w:customStyle="1" w:styleId="Ttulo1Car">
    <w:name w:val="Título 1 Car"/>
    <w:basedOn w:val="Fuentedeprrafopredeter"/>
    <w:link w:val="Ttulo1"/>
    <w:uiPriority w:val="9"/>
    <w:rsid w:val="0092561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98278228">
      <w:bodyDiv w:val="1"/>
      <w:marLeft w:val="0"/>
      <w:marRight w:val="0"/>
      <w:marTop w:val="0"/>
      <w:marBottom w:val="0"/>
      <w:divBdr>
        <w:top w:val="none" w:sz="0" w:space="0" w:color="auto"/>
        <w:left w:val="none" w:sz="0" w:space="0" w:color="auto"/>
        <w:bottom w:val="none" w:sz="0" w:space="0" w:color="auto"/>
        <w:right w:val="none" w:sz="0" w:space="0" w:color="auto"/>
      </w:divBdr>
    </w:div>
    <w:div w:id="1349521750">
      <w:bodyDiv w:val="1"/>
      <w:marLeft w:val="0"/>
      <w:marRight w:val="0"/>
      <w:marTop w:val="0"/>
      <w:marBottom w:val="0"/>
      <w:divBdr>
        <w:top w:val="none" w:sz="0" w:space="0" w:color="auto"/>
        <w:left w:val="none" w:sz="0" w:space="0" w:color="auto"/>
        <w:bottom w:val="none" w:sz="0" w:space="0" w:color="auto"/>
        <w:right w:val="none" w:sz="0" w:space="0" w:color="auto"/>
      </w:divBdr>
      <w:divsChild>
        <w:div w:id="1154372109">
          <w:marLeft w:val="0"/>
          <w:marRight w:val="0"/>
          <w:marTop w:val="0"/>
          <w:marBottom w:val="0"/>
          <w:divBdr>
            <w:top w:val="none" w:sz="0" w:space="0" w:color="auto"/>
            <w:left w:val="none" w:sz="0" w:space="0" w:color="auto"/>
            <w:bottom w:val="none" w:sz="0" w:space="0" w:color="auto"/>
            <w:right w:val="none" w:sz="0" w:space="0" w:color="auto"/>
          </w:divBdr>
        </w:div>
        <w:div w:id="836844060">
          <w:marLeft w:val="0"/>
          <w:marRight w:val="0"/>
          <w:marTop w:val="600"/>
          <w:marBottom w:val="0"/>
          <w:divBdr>
            <w:top w:val="none" w:sz="0" w:space="0" w:color="auto"/>
            <w:left w:val="none" w:sz="0" w:space="0" w:color="auto"/>
            <w:bottom w:val="none" w:sz="0" w:space="0" w:color="auto"/>
            <w:right w:val="none" w:sz="0" w:space="0" w:color="auto"/>
          </w:divBdr>
          <w:divsChild>
            <w:div w:id="14150104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923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mballgroup.com/2014/01/design-tip-162-leverage-data-visualization-tools-but-avoid-anarch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1231</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12</cp:revision>
  <dcterms:created xsi:type="dcterms:W3CDTF">2016-12-27T16:57:00Z</dcterms:created>
  <dcterms:modified xsi:type="dcterms:W3CDTF">2017-01-13T11:13:00Z</dcterms:modified>
</cp:coreProperties>
</file>