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9F1" w:rsidRPr="006B559A" w:rsidRDefault="006B559A" w:rsidP="00060DC7">
      <w:pPr>
        <w:pStyle w:val="NormalWeb"/>
        <w:shd w:val="clear" w:color="auto" w:fill="FFFFFF"/>
        <w:spacing w:before="180" w:beforeAutospacing="0" w:after="180" w:afterAutospacing="0"/>
        <w:jc w:val="both"/>
        <w:rPr>
          <w:rFonts w:ascii="Open Sans" w:hAnsi="Open Sans"/>
          <w:b/>
          <w:color w:val="231F20"/>
          <w:sz w:val="28"/>
          <w:szCs w:val="28"/>
        </w:rPr>
      </w:pPr>
      <w:r w:rsidRPr="006B559A">
        <w:rPr>
          <w:rFonts w:ascii="Open Sans" w:hAnsi="Open Sans"/>
          <w:b/>
          <w:color w:val="231F20"/>
          <w:sz w:val="28"/>
          <w:szCs w:val="28"/>
        </w:rPr>
        <w:t xml:space="preserve">Consejo de diseño </w:t>
      </w:r>
      <w:r w:rsidR="00F679F1" w:rsidRPr="006B559A">
        <w:rPr>
          <w:rFonts w:ascii="Open Sans" w:hAnsi="Open Sans"/>
          <w:b/>
          <w:color w:val="231F20"/>
          <w:sz w:val="28"/>
          <w:szCs w:val="28"/>
        </w:rPr>
        <w:t xml:space="preserve">152 </w:t>
      </w:r>
      <w:r w:rsidRPr="006B559A">
        <w:rPr>
          <w:rFonts w:ascii="Open Sans" w:hAnsi="Open Sans"/>
          <w:b/>
          <w:color w:val="231F20"/>
          <w:sz w:val="28"/>
          <w:szCs w:val="28"/>
        </w:rPr>
        <w:t>Dimensiones que cambian con el tiempo (</w:t>
      </w:r>
      <w:r w:rsidR="00F679F1" w:rsidRPr="006B559A">
        <w:rPr>
          <w:rFonts w:ascii="Open Sans" w:hAnsi="Open Sans"/>
          <w:b/>
          <w:color w:val="231F20"/>
          <w:sz w:val="28"/>
          <w:szCs w:val="28"/>
        </w:rPr>
        <w:t>Slowly Changing Dimension</w:t>
      </w:r>
      <w:r>
        <w:rPr>
          <w:rFonts w:ascii="Open Sans" w:hAnsi="Open Sans"/>
          <w:b/>
          <w:color w:val="231F20"/>
          <w:sz w:val="28"/>
          <w:szCs w:val="28"/>
        </w:rPr>
        <w:t>) Tipos 0, 4, 5, 6 y</w:t>
      </w:r>
      <w:r w:rsidR="00F679F1" w:rsidRPr="006B559A">
        <w:rPr>
          <w:rFonts w:ascii="Open Sans" w:hAnsi="Open Sans"/>
          <w:b/>
          <w:color w:val="231F20"/>
          <w:sz w:val="28"/>
          <w:szCs w:val="28"/>
        </w:rPr>
        <w:t xml:space="preserve"> 7</w:t>
      </w:r>
    </w:p>
    <w:p w:rsidR="006B559A" w:rsidRDefault="006B559A" w:rsidP="00060DC7">
      <w:pPr>
        <w:pStyle w:val="NormalWeb"/>
        <w:shd w:val="clear" w:color="auto" w:fill="FFFFFF"/>
        <w:spacing w:before="180" w:beforeAutospacing="0" w:after="180" w:afterAutospacing="0"/>
        <w:jc w:val="both"/>
        <w:rPr>
          <w:rFonts w:ascii="Open Sans" w:hAnsi="Open Sans"/>
          <w:color w:val="231F20"/>
          <w:sz w:val="19"/>
          <w:szCs w:val="19"/>
        </w:rPr>
      </w:pPr>
      <w:r w:rsidRPr="006B559A">
        <w:rPr>
          <w:rFonts w:ascii="Open Sans" w:hAnsi="Open Sans"/>
          <w:color w:val="231F20"/>
          <w:sz w:val="19"/>
          <w:szCs w:val="19"/>
        </w:rPr>
        <w:t xml:space="preserve">Ralph </w:t>
      </w:r>
      <w:r w:rsidRPr="006B559A">
        <w:rPr>
          <w:rFonts w:ascii="Open Sans" w:hAnsi="Open Sans" w:hint="eastAsia"/>
          <w:color w:val="231F20"/>
          <w:sz w:val="19"/>
          <w:szCs w:val="19"/>
        </w:rPr>
        <w:t>present</w:t>
      </w:r>
      <w:r w:rsidR="006A0AC1">
        <w:rPr>
          <w:rFonts w:ascii="Open Sans" w:hAnsi="Open Sans"/>
          <w:color w:val="231F20"/>
          <w:sz w:val="19"/>
          <w:szCs w:val="19"/>
        </w:rPr>
        <w:t>ó</w:t>
      </w:r>
      <w:r w:rsidRPr="006B559A">
        <w:rPr>
          <w:rFonts w:ascii="Open Sans" w:hAnsi="Open Sans"/>
          <w:color w:val="231F20"/>
          <w:sz w:val="19"/>
          <w:szCs w:val="19"/>
        </w:rPr>
        <w:t xml:space="preserve"> el concepto de atributos de slowly changing dimension (SCD) en 1996. </w:t>
      </w:r>
      <w:r>
        <w:rPr>
          <w:rFonts w:ascii="Open Sans" w:hAnsi="Open Sans"/>
          <w:color w:val="231F20"/>
          <w:sz w:val="19"/>
          <w:szCs w:val="19"/>
        </w:rPr>
        <w:t>Los modeladores dimensionales junto con los representantes de la administración de datos del negocio, deben especificar la respuesta del data warehouse a los cambios en el valor del atributo op</w:t>
      </w:r>
      <w:r w:rsidR="00060DC7">
        <w:rPr>
          <w:rFonts w:ascii="Open Sans" w:hAnsi="Open Sans"/>
          <w:color w:val="231F20"/>
          <w:sz w:val="19"/>
          <w:szCs w:val="19"/>
        </w:rPr>
        <w:t>e</w:t>
      </w:r>
      <w:r>
        <w:rPr>
          <w:rFonts w:ascii="Open Sans" w:hAnsi="Open Sans"/>
          <w:color w:val="231F20"/>
          <w:sz w:val="19"/>
          <w:szCs w:val="19"/>
        </w:rPr>
        <w:t>racional. La mayoría de los lectores de Kimball están familiarizados con los principales enfoques SCD: tipo 1 ( sobre</w:t>
      </w:r>
      <w:r w:rsidR="00060DC7">
        <w:rPr>
          <w:rFonts w:ascii="Open Sans" w:hAnsi="Open Sans"/>
          <w:color w:val="231F20"/>
          <w:sz w:val="19"/>
          <w:szCs w:val="19"/>
        </w:rPr>
        <w:t xml:space="preserve"> </w:t>
      </w:r>
      <w:r>
        <w:rPr>
          <w:rFonts w:ascii="Open Sans" w:hAnsi="Open Sans"/>
          <w:color w:val="231F20"/>
          <w:sz w:val="19"/>
          <w:szCs w:val="19"/>
        </w:rPr>
        <w:t xml:space="preserve">escribir), tipo 2 (añadir una fila), y tipo 3 (añadir una columna). Desde que la legibilidad es un componente clave del mantra Kimball, a veces deseamos que Ralph hubiese dado a estas técnicas nombres más descriptivos, como </w:t>
      </w:r>
      <w:r>
        <w:rPr>
          <w:rFonts w:ascii="Open Sans" w:hAnsi="Open Sans" w:hint="eastAsia"/>
          <w:color w:val="231F20"/>
          <w:sz w:val="19"/>
          <w:szCs w:val="19"/>
        </w:rPr>
        <w:t>“</w:t>
      </w:r>
      <w:r>
        <w:rPr>
          <w:rFonts w:ascii="Open Sans" w:hAnsi="Open Sans"/>
          <w:color w:val="231F20"/>
          <w:sz w:val="19"/>
          <w:szCs w:val="19"/>
        </w:rPr>
        <w:t>sobre</w:t>
      </w:r>
      <w:r w:rsidR="00060DC7">
        <w:rPr>
          <w:rFonts w:ascii="Open Sans" w:hAnsi="Open Sans"/>
          <w:color w:val="231F20"/>
          <w:sz w:val="19"/>
          <w:szCs w:val="19"/>
        </w:rPr>
        <w:t xml:space="preserve"> </w:t>
      </w:r>
      <w:r>
        <w:rPr>
          <w:rFonts w:ascii="Open Sans" w:hAnsi="Open Sans"/>
          <w:color w:val="231F20"/>
          <w:sz w:val="19"/>
          <w:szCs w:val="19"/>
        </w:rPr>
        <w:t>escribir</w:t>
      </w:r>
      <w:r>
        <w:rPr>
          <w:rFonts w:ascii="Open Sans" w:hAnsi="Open Sans" w:hint="eastAsia"/>
          <w:color w:val="231F20"/>
          <w:sz w:val="19"/>
          <w:szCs w:val="19"/>
        </w:rPr>
        <w:t>”</w:t>
      </w:r>
      <w:r>
        <w:rPr>
          <w:rFonts w:ascii="Open Sans" w:hAnsi="Open Sans"/>
          <w:color w:val="231F20"/>
          <w:sz w:val="19"/>
          <w:szCs w:val="19"/>
        </w:rPr>
        <w:t xml:space="preserve"> en lugar de </w:t>
      </w:r>
      <w:r>
        <w:rPr>
          <w:rFonts w:ascii="Open Sans" w:hAnsi="Open Sans" w:hint="eastAsia"/>
          <w:color w:val="231F20"/>
          <w:sz w:val="19"/>
          <w:szCs w:val="19"/>
        </w:rPr>
        <w:t>“</w:t>
      </w:r>
      <w:r>
        <w:rPr>
          <w:rFonts w:ascii="Open Sans" w:hAnsi="Open Sans"/>
          <w:color w:val="231F20"/>
          <w:sz w:val="19"/>
          <w:szCs w:val="19"/>
        </w:rPr>
        <w:t>tipo 1</w:t>
      </w:r>
      <w:r>
        <w:rPr>
          <w:rFonts w:ascii="Open Sans" w:hAnsi="Open Sans" w:hint="eastAsia"/>
          <w:color w:val="231F20"/>
          <w:sz w:val="19"/>
          <w:szCs w:val="19"/>
        </w:rPr>
        <w:t>”</w:t>
      </w:r>
      <w:r>
        <w:rPr>
          <w:rFonts w:ascii="Open Sans" w:hAnsi="Open Sans"/>
          <w:color w:val="231F20"/>
          <w:sz w:val="19"/>
          <w:szCs w:val="19"/>
        </w:rPr>
        <w:t>. Pero en este punto, los tipos de SCD numerados son parte de la lengua vernácula de nuestra industria.</w:t>
      </w:r>
    </w:p>
    <w:p w:rsidR="006A0AC1" w:rsidRPr="006A0AC1" w:rsidRDefault="006B559A" w:rsidP="00060DC7">
      <w:pPr>
        <w:pStyle w:val="NormalWeb"/>
        <w:shd w:val="clear" w:color="auto" w:fill="FFFFFF"/>
        <w:spacing w:before="180" w:beforeAutospacing="0" w:after="180" w:afterAutospacing="0"/>
        <w:jc w:val="both"/>
        <w:rPr>
          <w:rFonts w:ascii="Open Sans" w:hAnsi="Open Sans"/>
          <w:color w:val="231F20"/>
          <w:sz w:val="19"/>
          <w:szCs w:val="19"/>
        </w:rPr>
      </w:pPr>
      <w:r>
        <w:rPr>
          <w:rFonts w:ascii="Open Sans" w:hAnsi="Open Sans"/>
          <w:color w:val="231F20"/>
          <w:sz w:val="19"/>
          <w:szCs w:val="19"/>
        </w:rPr>
        <w:t xml:space="preserve">Hemos escrito sobre </w:t>
      </w:r>
      <w:r>
        <w:rPr>
          <w:rFonts w:ascii="Open Sans" w:hAnsi="Open Sans" w:hint="eastAsia"/>
          <w:color w:val="231F20"/>
          <w:sz w:val="19"/>
          <w:szCs w:val="19"/>
        </w:rPr>
        <w:t>patrones</w:t>
      </w:r>
      <w:r>
        <w:rPr>
          <w:rFonts w:ascii="Open Sans" w:hAnsi="Open Sans"/>
          <w:color w:val="231F20"/>
          <w:sz w:val="19"/>
          <w:szCs w:val="19"/>
        </w:rPr>
        <w:t xml:space="preserve"> más avanzados de SCD, como por ejemplo el artículo de 2005 titulado </w:t>
      </w:r>
      <w:r>
        <w:rPr>
          <w:rFonts w:ascii="Open Sans" w:hAnsi="Open Sans" w:hint="eastAsia"/>
          <w:color w:val="231F20"/>
          <w:sz w:val="19"/>
          <w:szCs w:val="19"/>
        </w:rPr>
        <w:t>“</w:t>
      </w:r>
      <w:r>
        <w:rPr>
          <w:rFonts w:ascii="Open Sans" w:hAnsi="Open Sans"/>
          <w:color w:val="231F20"/>
          <w:sz w:val="19"/>
          <w:szCs w:val="19"/>
        </w:rPr>
        <w:t xml:space="preserve"> Slowly Changing  Dimensions no siempre son tan fáciles como 1, 2, 3</w:t>
      </w:r>
      <w:r>
        <w:rPr>
          <w:rFonts w:ascii="Open Sans" w:hAnsi="Open Sans" w:hint="eastAsia"/>
          <w:color w:val="231F20"/>
          <w:sz w:val="19"/>
          <w:szCs w:val="19"/>
        </w:rPr>
        <w:t>”</w:t>
      </w:r>
      <w:r>
        <w:rPr>
          <w:rFonts w:ascii="Open Sans" w:hAnsi="Open Sans"/>
          <w:color w:val="231F20"/>
          <w:sz w:val="19"/>
          <w:szCs w:val="19"/>
        </w:rPr>
        <w:t>. S</w:t>
      </w:r>
      <w:r>
        <w:rPr>
          <w:rFonts w:ascii="Open Sans" w:hAnsi="Open Sans" w:hint="eastAsia"/>
          <w:color w:val="231F20"/>
          <w:sz w:val="19"/>
          <w:szCs w:val="19"/>
        </w:rPr>
        <w:t>in embargo</w:t>
      </w:r>
      <w:r>
        <w:rPr>
          <w:rFonts w:ascii="Open Sans" w:hAnsi="Open Sans"/>
          <w:color w:val="231F20"/>
          <w:sz w:val="19"/>
          <w:szCs w:val="19"/>
        </w:rPr>
        <w:t xml:space="preserve">, </w:t>
      </w:r>
      <w:r w:rsidR="006A0AC1" w:rsidRPr="006A0AC1">
        <w:rPr>
          <w:rFonts w:ascii="Open Sans" w:hAnsi="Open Sans"/>
          <w:sz w:val="19"/>
          <w:szCs w:val="19"/>
        </w:rPr>
        <w:t xml:space="preserve">no hemos nombrado de manera consecuente  las técnicas más avanzadas e híbridas. Con la tercera edición de </w:t>
      </w:r>
      <w:hyperlink r:id="rId4" w:history="1">
        <w:r w:rsidR="006A0AC1" w:rsidRPr="006A0AC1">
          <w:rPr>
            <w:rStyle w:val="nfasis"/>
            <w:rFonts w:ascii="Open Sans" w:hAnsi="Open Sans"/>
            <w:sz w:val="19"/>
            <w:szCs w:val="19"/>
          </w:rPr>
          <w:t>The Data Warehouse Toolkit</w:t>
        </w:r>
      </w:hyperlink>
      <w:r w:rsidR="006A0AC1" w:rsidRPr="006A0AC1">
        <w:rPr>
          <w:rStyle w:val="apple-converted-space"/>
          <w:rFonts w:ascii="Open Sans" w:hAnsi="Open Sans"/>
          <w:color w:val="231F20"/>
          <w:sz w:val="19"/>
          <w:szCs w:val="19"/>
        </w:rPr>
        <w:t> </w:t>
      </w:r>
      <w:r w:rsidR="006A0AC1" w:rsidRPr="006A0AC1">
        <w:rPr>
          <w:rFonts w:ascii="Open Sans" w:hAnsi="Open Sans"/>
          <w:color w:val="231F20"/>
          <w:sz w:val="19"/>
          <w:szCs w:val="19"/>
        </w:rPr>
        <w:t xml:space="preserve">(Wiley, 2013), hemos decidido asignar </w:t>
      </w:r>
      <w:r w:rsidR="006A0AC1" w:rsidRPr="006A0AC1">
        <w:rPr>
          <w:rFonts w:ascii="Open Sans" w:hAnsi="Open Sans" w:hint="eastAsia"/>
          <w:color w:val="231F20"/>
          <w:sz w:val="19"/>
          <w:szCs w:val="19"/>
        </w:rPr>
        <w:t xml:space="preserve"> “</w:t>
      </w:r>
      <w:r w:rsidR="006A0AC1" w:rsidRPr="006A0AC1">
        <w:rPr>
          <w:rFonts w:ascii="Open Sans" w:hAnsi="Open Sans"/>
          <w:color w:val="231F20"/>
          <w:sz w:val="19"/>
          <w:szCs w:val="19"/>
        </w:rPr>
        <w:t>tipos de n</w:t>
      </w:r>
      <w:r w:rsidR="006A0AC1">
        <w:rPr>
          <w:rFonts w:ascii="Open Sans" w:hAnsi="Open Sans"/>
          <w:color w:val="231F20"/>
          <w:sz w:val="19"/>
          <w:szCs w:val="19"/>
        </w:rPr>
        <w:t>úmeros</w:t>
      </w:r>
      <w:r w:rsidR="006A0AC1">
        <w:rPr>
          <w:rFonts w:ascii="Open Sans" w:hAnsi="Open Sans" w:hint="eastAsia"/>
          <w:color w:val="231F20"/>
          <w:sz w:val="19"/>
          <w:szCs w:val="19"/>
        </w:rPr>
        <w:t>”</w:t>
      </w:r>
      <w:r w:rsidR="006A0AC1">
        <w:rPr>
          <w:rFonts w:ascii="Open Sans" w:hAnsi="Open Sans"/>
          <w:color w:val="231F20"/>
          <w:sz w:val="19"/>
          <w:szCs w:val="19"/>
        </w:rPr>
        <w:t xml:space="preserve"> a diversas técnicas que han sido descritas, pero no precisamente etiquetadas anteriormente. Esperamos que estos nombres técnicos más específicos faciliten una comunicación más clara entre los miembros del equipo DW/BI</w:t>
      </w:r>
    </w:p>
    <w:p w:rsidR="00F679F1" w:rsidRPr="006A0AC1" w:rsidRDefault="006A0AC1" w:rsidP="00060DC7">
      <w:pPr>
        <w:pStyle w:val="NormalWeb"/>
        <w:shd w:val="clear" w:color="auto" w:fill="FFFFFF"/>
        <w:spacing w:before="180" w:beforeAutospacing="0" w:after="180" w:afterAutospacing="0"/>
        <w:jc w:val="both"/>
        <w:rPr>
          <w:rStyle w:val="Textoennegrita"/>
          <w:rFonts w:ascii="Open Sans" w:hAnsi="Open Sans"/>
          <w:color w:val="231F20"/>
          <w:sz w:val="19"/>
          <w:szCs w:val="19"/>
        </w:rPr>
      </w:pPr>
      <w:r w:rsidRPr="006A0AC1">
        <w:rPr>
          <w:rStyle w:val="Textoennegrita"/>
          <w:rFonts w:ascii="Open Sans" w:hAnsi="Open Sans"/>
          <w:color w:val="231F20"/>
          <w:sz w:val="19"/>
          <w:szCs w:val="19"/>
        </w:rPr>
        <w:t>Tipo</w:t>
      </w:r>
      <w:r w:rsidR="00F679F1" w:rsidRPr="006A0AC1">
        <w:rPr>
          <w:rStyle w:val="Textoennegrita"/>
          <w:rFonts w:ascii="Open Sans" w:hAnsi="Open Sans"/>
          <w:color w:val="231F20"/>
          <w:sz w:val="19"/>
          <w:szCs w:val="19"/>
        </w:rPr>
        <w:t xml:space="preserve"> 0: </w:t>
      </w:r>
      <w:r w:rsidRPr="006A0AC1">
        <w:rPr>
          <w:rStyle w:val="Textoennegrita"/>
          <w:rFonts w:ascii="Open Sans" w:hAnsi="Open Sans"/>
          <w:color w:val="231F20"/>
          <w:sz w:val="19"/>
          <w:szCs w:val="19"/>
        </w:rPr>
        <w:t>Retener el Original</w:t>
      </w:r>
    </w:p>
    <w:p w:rsidR="006A0AC1" w:rsidRPr="006A0AC1" w:rsidRDefault="006A0AC1" w:rsidP="00060DC7">
      <w:pPr>
        <w:pStyle w:val="NormalWeb"/>
        <w:shd w:val="clear" w:color="auto" w:fill="FFFFFF"/>
        <w:spacing w:before="180" w:beforeAutospacing="0" w:after="180" w:afterAutospacing="0"/>
        <w:jc w:val="both"/>
        <w:rPr>
          <w:rFonts w:ascii="Open Sans" w:hAnsi="Open Sans"/>
          <w:color w:val="231F20"/>
          <w:sz w:val="19"/>
          <w:szCs w:val="19"/>
        </w:rPr>
      </w:pPr>
      <w:r w:rsidRPr="006A0AC1">
        <w:rPr>
          <w:rFonts w:ascii="Open Sans" w:hAnsi="Open Sans"/>
          <w:color w:val="231F20"/>
          <w:sz w:val="19"/>
          <w:szCs w:val="19"/>
        </w:rPr>
        <w:t>Con el tipo 0, el valor del atributo de la dimensi</w:t>
      </w:r>
      <w:r>
        <w:rPr>
          <w:rFonts w:ascii="Open Sans" w:hAnsi="Open Sans"/>
          <w:color w:val="231F20"/>
          <w:sz w:val="19"/>
          <w:szCs w:val="19"/>
        </w:rPr>
        <w:t xml:space="preserve">ón nunca cambia, de esta manera los hechos siempre están agrupados por su valor original. El tipo 0 es apropiado para cualquier atributo etiquetado como </w:t>
      </w:r>
      <w:r>
        <w:rPr>
          <w:rFonts w:ascii="Open Sans" w:hAnsi="Open Sans" w:hint="eastAsia"/>
          <w:color w:val="231F20"/>
          <w:sz w:val="19"/>
          <w:szCs w:val="19"/>
        </w:rPr>
        <w:t>“</w:t>
      </w:r>
      <w:r>
        <w:rPr>
          <w:rFonts w:ascii="Open Sans" w:hAnsi="Open Sans"/>
          <w:color w:val="231F20"/>
          <w:sz w:val="19"/>
          <w:szCs w:val="19"/>
        </w:rPr>
        <w:t>original</w:t>
      </w:r>
      <w:r>
        <w:rPr>
          <w:rFonts w:ascii="Open Sans" w:hAnsi="Open Sans" w:hint="eastAsia"/>
          <w:color w:val="231F20"/>
          <w:sz w:val="19"/>
          <w:szCs w:val="19"/>
        </w:rPr>
        <w:t>”</w:t>
      </w:r>
      <w:r>
        <w:rPr>
          <w:rFonts w:ascii="Open Sans" w:hAnsi="Open Sans"/>
          <w:color w:val="231F20"/>
          <w:sz w:val="19"/>
          <w:szCs w:val="19"/>
        </w:rPr>
        <w:t>, por ejemplo la puntuación crediticia original de un cliente, o cualquier identificador duradero. El tipo 0 también se aplica a la mayoría de los atributos dimensionales de fecha.</w:t>
      </w:r>
    </w:p>
    <w:p w:rsidR="00F679F1" w:rsidRPr="006A0AC1" w:rsidRDefault="006A0AC1" w:rsidP="00060DC7">
      <w:pPr>
        <w:pStyle w:val="NormalWeb"/>
        <w:shd w:val="clear" w:color="auto" w:fill="FFFFFF"/>
        <w:spacing w:before="180" w:beforeAutospacing="0" w:after="180" w:afterAutospacing="0"/>
        <w:jc w:val="both"/>
        <w:rPr>
          <w:rStyle w:val="Textoennegrita"/>
          <w:rFonts w:ascii="Open Sans" w:hAnsi="Open Sans"/>
          <w:color w:val="231F20"/>
          <w:sz w:val="19"/>
          <w:szCs w:val="19"/>
        </w:rPr>
      </w:pPr>
      <w:r w:rsidRPr="006A0AC1">
        <w:rPr>
          <w:rStyle w:val="Textoennegrita"/>
          <w:rFonts w:ascii="Open Sans" w:hAnsi="Open Sans"/>
          <w:color w:val="231F20"/>
          <w:sz w:val="19"/>
          <w:szCs w:val="19"/>
        </w:rPr>
        <w:t>Tipo</w:t>
      </w:r>
      <w:r w:rsidR="00F679F1" w:rsidRPr="006A0AC1">
        <w:rPr>
          <w:rStyle w:val="Textoennegrita"/>
          <w:rFonts w:ascii="Open Sans" w:hAnsi="Open Sans"/>
          <w:color w:val="231F20"/>
          <w:sz w:val="19"/>
          <w:szCs w:val="19"/>
        </w:rPr>
        <w:t xml:space="preserve"> 4: </w:t>
      </w:r>
      <w:r w:rsidRPr="006A0AC1">
        <w:rPr>
          <w:rStyle w:val="Textoennegrita"/>
          <w:rFonts w:ascii="Open Sans" w:hAnsi="Open Sans"/>
          <w:color w:val="231F20"/>
          <w:sz w:val="19"/>
          <w:szCs w:val="19"/>
        </w:rPr>
        <w:t>Añadir la Mini-Dimensión</w:t>
      </w:r>
    </w:p>
    <w:p w:rsidR="006A0AC1" w:rsidRPr="006A0AC1" w:rsidRDefault="006A0AC1" w:rsidP="00060DC7">
      <w:pPr>
        <w:pStyle w:val="NormalWeb"/>
        <w:shd w:val="clear" w:color="auto" w:fill="FFFFFF"/>
        <w:spacing w:before="180" w:beforeAutospacing="0" w:after="180" w:afterAutospacing="0"/>
        <w:jc w:val="both"/>
        <w:rPr>
          <w:rFonts w:ascii="Open Sans" w:hAnsi="Open Sans"/>
          <w:color w:val="231F20"/>
          <w:sz w:val="19"/>
          <w:szCs w:val="19"/>
        </w:rPr>
      </w:pPr>
      <w:r w:rsidRPr="006A0AC1">
        <w:rPr>
          <w:rStyle w:val="Textoennegrita"/>
          <w:rFonts w:ascii="Open Sans" w:hAnsi="Open Sans"/>
          <w:b w:val="0"/>
          <w:color w:val="231F20"/>
          <w:sz w:val="19"/>
          <w:szCs w:val="19"/>
        </w:rPr>
        <w:t>La t</w:t>
      </w:r>
      <w:r>
        <w:rPr>
          <w:rStyle w:val="Textoennegrita"/>
          <w:rFonts w:ascii="Open Sans" w:hAnsi="Open Sans"/>
          <w:b w:val="0"/>
          <w:color w:val="231F20"/>
          <w:sz w:val="19"/>
          <w:szCs w:val="19"/>
        </w:rPr>
        <w:t>écnica de tipo 4 se utiliza cuando un grupo de atributos de dimensiones se dividen en una mini-dimensión separada. Este enfoque es útil cuando los valores de los atributos de la dimensión son relativamente volátiles. Los atributos utilizados más frecuentemente en tablas de dimensiones</w:t>
      </w:r>
      <w:r w:rsidR="00C4522C">
        <w:rPr>
          <w:rStyle w:val="Textoennegrita"/>
          <w:rFonts w:ascii="Open Sans" w:hAnsi="Open Sans"/>
          <w:b w:val="0"/>
          <w:color w:val="231F20"/>
          <w:sz w:val="19"/>
          <w:szCs w:val="19"/>
        </w:rPr>
        <w:t xml:space="preserve"> de varios millones</w:t>
      </w:r>
      <w:r>
        <w:rPr>
          <w:rStyle w:val="Textoennegrita"/>
          <w:rFonts w:ascii="Open Sans" w:hAnsi="Open Sans"/>
          <w:b w:val="0"/>
          <w:color w:val="231F20"/>
          <w:sz w:val="19"/>
          <w:szCs w:val="19"/>
        </w:rPr>
        <w:t xml:space="preserve"> de fila</w:t>
      </w:r>
      <w:r w:rsidR="00C4522C">
        <w:rPr>
          <w:rStyle w:val="Textoennegrita"/>
          <w:rFonts w:ascii="Open Sans" w:hAnsi="Open Sans"/>
          <w:b w:val="0"/>
          <w:color w:val="231F20"/>
          <w:sz w:val="19"/>
          <w:szCs w:val="19"/>
        </w:rPr>
        <w:t>s son también considerados como candidatos para el diseño mini-dimensional, incluso aunque no cambien con frecuencia. Una clave subrogada se asigna a cada perfil único o combinación de valores de atributo en la mini-dimensión. Las claves subrogadas de ambos  la dimensión base y  el perfil mini-dimensional se toman como claves foráneas en tabla de hechos.</w:t>
      </w:r>
    </w:p>
    <w:p w:rsidR="00F679F1" w:rsidRDefault="00F679F1" w:rsidP="00060DC7">
      <w:pPr>
        <w:pStyle w:val="NormalWeb"/>
        <w:shd w:val="clear" w:color="auto" w:fill="FFFFFF"/>
        <w:spacing w:before="0" w:beforeAutospacing="0" w:after="0" w:afterAutospacing="0"/>
        <w:jc w:val="both"/>
        <w:rPr>
          <w:rFonts w:ascii="Open Sans" w:hAnsi="Open Sans"/>
          <w:color w:val="231F20"/>
          <w:sz w:val="19"/>
          <w:szCs w:val="19"/>
        </w:rPr>
      </w:pPr>
      <w:r>
        <w:rPr>
          <w:rFonts w:ascii="Open Sans" w:hAnsi="Open Sans"/>
          <w:noProof/>
          <w:color w:val="045A9C"/>
          <w:sz w:val="19"/>
          <w:szCs w:val="19"/>
        </w:rPr>
        <w:drawing>
          <wp:inline distT="0" distB="0" distL="0" distR="0">
            <wp:extent cx="5120640" cy="1554480"/>
            <wp:effectExtent l="19050" t="0" r="3810" b="0"/>
            <wp:docPr id="1" name="Imagen 1" descr="http://www.kimballgroup.com/wp-content/uploads/2013/02/type-44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imballgroup.com/wp-content/uploads/2013/02/type-441.png">
                      <a:hlinkClick r:id="rId5"/>
                    </pic:cNvPr>
                    <pic:cNvPicPr>
                      <a:picLocks noChangeAspect="1" noChangeArrowheads="1"/>
                    </pic:cNvPicPr>
                  </pic:nvPicPr>
                  <pic:blipFill>
                    <a:blip r:embed="rId6" cstate="print"/>
                    <a:srcRect/>
                    <a:stretch>
                      <a:fillRect/>
                    </a:stretch>
                  </pic:blipFill>
                  <pic:spPr bwMode="auto">
                    <a:xfrm>
                      <a:off x="0" y="0"/>
                      <a:ext cx="5120640" cy="1554480"/>
                    </a:xfrm>
                    <a:prstGeom prst="rect">
                      <a:avLst/>
                    </a:prstGeom>
                    <a:noFill/>
                    <a:ln w="9525">
                      <a:noFill/>
                      <a:miter lim="800000"/>
                      <a:headEnd/>
                      <a:tailEnd/>
                    </a:ln>
                  </pic:spPr>
                </pic:pic>
              </a:graphicData>
            </a:graphic>
          </wp:inline>
        </w:drawing>
      </w:r>
    </w:p>
    <w:p w:rsidR="00F679F1" w:rsidRPr="00F679F1" w:rsidRDefault="00F679F1" w:rsidP="00060DC7">
      <w:pPr>
        <w:pStyle w:val="NormalWeb"/>
        <w:shd w:val="clear" w:color="auto" w:fill="FFFFFF"/>
        <w:spacing w:before="180" w:beforeAutospacing="0" w:after="180" w:afterAutospacing="0"/>
        <w:jc w:val="both"/>
        <w:rPr>
          <w:rFonts w:ascii="Open Sans" w:hAnsi="Open Sans"/>
          <w:color w:val="231F20"/>
          <w:sz w:val="19"/>
          <w:szCs w:val="19"/>
          <w:lang w:val="en-US"/>
        </w:rPr>
      </w:pPr>
      <w:r w:rsidRPr="00F679F1">
        <w:rPr>
          <w:rFonts w:ascii="Open Sans" w:hAnsi="Open Sans"/>
          <w:color w:val="231F20"/>
          <w:sz w:val="19"/>
          <w:szCs w:val="19"/>
          <w:lang w:val="en-US"/>
        </w:rPr>
        <w:t> </w:t>
      </w:r>
    </w:p>
    <w:p w:rsidR="00C4522C" w:rsidRPr="00C4522C" w:rsidRDefault="00C4522C" w:rsidP="00060DC7">
      <w:pPr>
        <w:pStyle w:val="NormalWeb"/>
        <w:shd w:val="clear" w:color="auto" w:fill="FFFFFF"/>
        <w:spacing w:before="180" w:beforeAutospacing="0" w:after="180" w:afterAutospacing="0"/>
        <w:jc w:val="both"/>
        <w:rPr>
          <w:rFonts w:ascii="Open Sans" w:hAnsi="Open Sans"/>
          <w:color w:val="231F20"/>
          <w:sz w:val="19"/>
          <w:szCs w:val="19"/>
        </w:rPr>
      </w:pPr>
      <w:r w:rsidRPr="00C4522C">
        <w:rPr>
          <w:rFonts w:ascii="Open Sans" w:hAnsi="Open Sans"/>
          <w:color w:val="231F20"/>
          <w:sz w:val="19"/>
          <w:szCs w:val="19"/>
        </w:rPr>
        <w:t>Los siguientes tipos de técnica</w:t>
      </w:r>
      <w:r>
        <w:rPr>
          <w:rFonts w:ascii="Open Sans" w:hAnsi="Open Sans"/>
          <w:color w:val="231F20"/>
          <w:sz w:val="19"/>
          <w:szCs w:val="19"/>
        </w:rPr>
        <w:t>s</w:t>
      </w:r>
      <w:r w:rsidRPr="00C4522C">
        <w:rPr>
          <w:rFonts w:ascii="Open Sans" w:hAnsi="Open Sans"/>
          <w:color w:val="231F20"/>
          <w:sz w:val="19"/>
          <w:szCs w:val="19"/>
        </w:rPr>
        <w:t xml:space="preserve"> 5,6 y 7 </w:t>
      </w:r>
      <w:r>
        <w:rPr>
          <w:rFonts w:ascii="Open Sans" w:hAnsi="Open Sans"/>
          <w:color w:val="231F20"/>
          <w:sz w:val="19"/>
          <w:szCs w:val="19"/>
        </w:rPr>
        <w:t>son híbridos que combinan la base para apoyar los requisitos comunes a ambos valores históricos de los atributos conservados con precisión, más el informe de hechos históricos de acuerdo a los valores del atributo actuales. Los enfoques híbridos proporcionan más flexibilidad analítica, pero de mayor complejidad.</w:t>
      </w:r>
    </w:p>
    <w:p w:rsidR="00F679F1" w:rsidRPr="00C4522C" w:rsidRDefault="00C4522C" w:rsidP="00060DC7">
      <w:pPr>
        <w:pStyle w:val="NormalWeb"/>
        <w:shd w:val="clear" w:color="auto" w:fill="FFFFFF"/>
        <w:spacing w:before="180" w:beforeAutospacing="0" w:after="180" w:afterAutospacing="0"/>
        <w:jc w:val="both"/>
        <w:rPr>
          <w:rFonts w:ascii="Open Sans" w:hAnsi="Open Sans"/>
          <w:color w:val="231F20"/>
          <w:sz w:val="19"/>
          <w:szCs w:val="19"/>
        </w:rPr>
      </w:pPr>
      <w:r w:rsidRPr="00C4522C">
        <w:rPr>
          <w:rStyle w:val="Textoennegrita"/>
          <w:rFonts w:ascii="Open Sans" w:hAnsi="Open Sans"/>
          <w:color w:val="231F20"/>
          <w:sz w:val="19"/>
          <w:szCs w:val="19"/>
        </w:rPr>
        <w:t>Tipo</w:t>
      </w:r>
      <w:r w:rsidR="00F679F1" w:rsidRPr="00C4522C">
        <w:rPr>
          <w:rStyle w:val="Textoennegrita"/>
          <w:rFonts w:ascii="Open Sans" w:hAnsi="Open Sans"/>
          <w:color w:val="231F20"/>
          <w:sz w:val="19"/>
          <w:szCs w:val="19"/>
        </w:rPr>
        <w:t xml:space="preserve"> 5: </w:t>
      </w:r>
      <w:r w:rsidRPr="00C4522C">
        <w:rPr>
          <w:rStyle w:val="Textoennegrita"/>
          <w:rFonts w:ascii="Open Sans" w:hAnsi="Open Sans"/>
          <w:color w:val="231F20"/>
          <w:sz w:val="19"/>
          <w:szCs w:val="19"/>
        </w:rPr>
        <w:t xml:space="preserve">Añadir la Mini-Dimensión </w:t>
      </w:r>
      <w:r>
        <w:rPr>
          <w:rStyle w:val="Textoennegrita"/>
          <w:rFonts w:ascii="Open Sans" w:hAnsi="Open Sans"/>
          <w:color w:val="231F20"/>
          <w:sz w:val="19"/>
          <w:szCs w:val="19"/>
        </w:rPr>
        <w:t>y</w:t>
      </w:r>
      <w:r w:rsidRPr="00C4522C">
        <w:rPr>
          <w:rStyle w:val="Textoennegrita"/>
          <w:rFonts w:ascii="Open Sans" w:hAnsi="Open Sans"/>
          <w:color w:val="231F20"/>
          <w:sz w:val="19"/>
          <w:szCs w:val="19"/>
        </w:rPr>
        <w:t xml:space="preserve"> </w:t>
      </w:r>
      <w:r>
        <w:rPr>
          <w:rStyle w:val="Textoennegrita"/>
          <w:rFonts w:ascii="Open Sans" w:hAnsi="Open Sans"/>
          <w:color w:val="231F20"/>
          <w:sz w:val="19"/>
          <w:szCs w:val="19"/>
        </w:rPr>
        <w:t xml:space="preserve"> el  estabilizador </w:t>
      </w:r>
      <w:r w:rsidR="00060DC7" w:rsidRPr="00C4522C">
        <w:rPr>
          <w:rStyle w:val="Textoennegrita"/>
          <w:rFonts w:ascii="Open Sans" w:hAnsi="Open Sans"/>
          <w:color w:val="231F20"/>
          <w:sz w:val="19"/>
          <w:szCs w:val="19"/>
        </w:rPr>
        <w:t>Tipo</w:t>
      </w:r>
      <w:r w:rsidR="00F679F1" w:rsidRPr="00C4522C">
        <w:rPr>
          <w:rStyle w:val="Textoennegrita"/>
          <w:rFonts w:ascii="Open Sans" w:hAnsi="Open Sans"/>
          <w:color w:val="231F20"/>
          <w:sz w:val="19"/>
          <w:szCs w:val="19"/>
        </w:rPr>
        <w:t xml:space="preserve"> </w:t>
      </w:r>
      <w:r>
        <w:rPr>
          <w:rStyle w:val="Textoennegrita"/>
          <w:rFonts w:ascii="Open Sans" w:hAnsi="Open Sans"/>
          <w:color w:val="231F20"/>
          <w:sz w:val="19"/>
          <w:szCs w:val="19"/>
        </w:rPr>
        <w:t>1.</w:t>
      </w:r>
    </w:p>
    <w:p w:rsidR="00C4522C" w:rsidRPr="00C4522C" w:rsidRDefault="00C4522C" w:rsidP="00060DC7">
      <w:pPr>
        <w:pStyle w:val="NormalWeb"/>
        <w:shd w:val="clear" w:color="auto" w:fill="FFFFFF"/>
        <w:spacing w:before="180" w:beforeAutospacing="0" w:after="180" w:afterAutospacing="0"/>
        <w:jc w:val="both"/>
        <w:rPr>
          <w:rFonts w:ascii="Open Sans" w:hAnsi="Open Sans"/>
          <w:color w:val="231F20"/>
          <w:sz w:val="19"/>
          <w:szCs w:val="19"/>
        </w:rPr>
      </w:pPr>
      <w:r w:rsidRPr="00C4522C">
        <w:rPr>
          <w:rFonts w:ascii="Open Sans" w:hAnsi="Open Sans"/>
          <w:color w:val="231F20"/>
          <w:sz w:val="19"/>
          <w:szCs w:val="19"/>
        </w:rPr>
        <w:t>La técnica tipo 5 construye la mini-dimensi</w:t>
      </w:r>
      <w:r>
        <w:rPr>
          <w:rFonts w:ascii="Open Sans" w:hAnsi="Open Sans"/>
          <w:color w:val="231F20"/>
          <w:sz w:val="19"/>
          <w:szCs w:val="19"/>
        </w:rPr>
        <w:t>ón de tipo 4 incrustando un</w:t>
      </w:r>
      <w:r w:rsidR="0072654B">
        <w:rPr>
          <w:rFonts w:ascii="Open Sans" w:hAnsi="Open Sans"/>
          <w:color w:val="231F20"/>
          <w:sz w:val="19"/>
          <w:szCs w:val="19"/>
        </w:rPr>
        <w:t>a clave de mini-dimensión</w:t>
      </w:r>
      <w:r>
        <w:rPr>
          <w:rFonts w:ascii="Open Sans" w:hAnsi="Open Sans"/>
          <w:color w:val="231F20"/>
          <w:sz w:val="19"/>
          <w:szCs w:val="19"/>
        </w:rPr>
        <w:t xml:space="preserve"> </w:t>
      </w:r>
      <w:r>
        <w:rPr>
          <w:rFonts w:ascii="Open Sans" w:hAnsi="Open Sans" w:hint="eastAsia"/>
          <w:color w:val="231F20"/>
          <w:sz w:val="19"/>
          <w:szCs w:val="19"/>
        </w:rPr>
        <w:t>“</w:t>
      </w:r>
      <w:r>
        <w:rPr>
          <w:rFonts w:ascii="Open Sans" w:hAnsi="Open Sans"/>
          <w:color w:val="231F20"/>
          <w:sz w:val="19"/>
          <w:szCs w:val="19"/>
        </w:rPr>
        <w:t>perfil actual</w:t>
      </w:r>
      <w:r>
        <w:rPr>
          <w:rFonts w:ascii="Open Sans" w:hAnsi="Open Sans" w:hint="eastAsia"/>
          <w:color w:val="231F20"/>
          <w:sz w:val="19"/>
          <w:szCs w:val="19"/>
        </w:rPr>
        <w:t>”</w:t>
      </w:r>
      <w:r w:rsidR="0072654B">
        <w:rPr>
          <w:rFonts w:ascii="Open Sans" w:hAnsi="Open Sans"/>
          <w:color w:val="231F20"/>
          <w:sz w:val="19"/>
          <w:szCs w:val="19"/>
        </w:rPr>
        <w:t xml:space="preserve"> en la dimensión base que está sobre escrita como atributo tipo 1. Este enfoque, se llama tipo 5 porque 4+1 es igual a 5, permite acceder a los valores de atributo mini-dimensionales asignados  actualmente junto con la </w:t>
      </w:r>
      <w:r w:rsidR="0072654B">
        <w:rPr>
          <w:rFonts w:ascii="Open Sans" w:hAnsi="Open Sans" w:hint="eastAsia"/>
          <w:color w:val="231F20"/>
          <w:sz w:val="19"/>
          <w:szCs w:val="19"/>
        </w:rPr>
        <w:t>dimensión</w:t>
      </w:r>
      <w:r w:rsidR="0072654B">
        <w:rPr>
          <w:rFonts w:ascii="Open Sans" w:hAnsi="Open Sans"/>
          <w:color w:val="231F20"/>
          <w:sz w:val="19"/>
          <w:szCs w:val="19"/>
        </w:rPr>
        <w:t xml:space="preserve"> de base de otros sin enlazar a través de una tabla de hechos. Lógicamente, normalmente representamos la dimensión base y el perfil estabilizador de la mini-dimensión actual como una tabla única en la capa de presentación. Los atributos estabilizadores deben tener nombres diferentes de columnas como </w:t>
      </w:r>
      <w:r w:rsidR="0072654B">
        <w:rPr>
          <w:rFonts w:ascii="Open Sans" w:hAnsi="Open Sans" w:hint="eastAsia"/>
          <w:color w:val="231F20"/>
          <w:sz w:val="19"/>
          <w:szCs w:val="19"/>
        </w:rPr>
        <w:t>“</w:t>
      </w:r>
      <w:r w:rsidR="0072654B">
        <w:rPr>
          <w:rFonts w:ascii="Open Sans" w:hAnsi="Open Sans"/>
          <w:color w:val="231F20"/>
          <w:sz w:val="19"/>
          <w:szCs w:val="19"/>
        </w:rPr>
        <w:t>Nivel de ingresos actual</w:t>
      </w:r>
      <w:r w:rsidR="0072654B">
        <w:rPr>
          <w:rFonts w:ascii="Open Sans" w:hAnsi="Open Sans" w:hint="eastAsia"/>
          <w:color w:val="231F20"/>
          <w:sz w:val="19"/>
          <w:szCs w:val="19"/>
        </w:rPr>
        <w:t>”</w:t>
      </w:r>
      <w:r w:rsidR="0072654B">
        <w:rPr>
          <w:rFonts w:ascii="Open Sans" w:hAnsi="Open Sans"/>
          <w:color w:val="231F20"/>
          <w:sz w:val="19"/>
          <w:szCs w:val="19"/>
        </w:rPr>
        <w:t xml:space="preserve"> para diferenciarlos de los atributos de la mini-dimensión relacionados con la tabla de hechos. El equipo ETL debe actualizar/ sobre escribir la referencia de la dimensión tipo 1 siempre que la mini-</w:t>
      </w:r>
      <w:r w:rsidR="0072654B">
        <w:rPr>
          <w:rFonts w:ascii="Open Sans" w:hAnsi="Open Sans"/>
          <w:color w:val="231F20"/>
          <w:sz w:val="19"/>
          <w:szCs w:val="19"/>
        </w:rPr>
        <w:lastRenderedPageBreak/>
        <w:t>dimensión cambie en el tiempo. Si el enfoque estabilizador no proporciona un rendimiento satisfactorio en la consulta, entonces los atributos de la mini-dimensión pueden ser físicamente incrustados (actualizados) en la dimensión base.</w:t>
      </w:r>
    </w:p>
    <w:p w:rsidR="00F679F1" w:rsidRDefault="00F679F1" w:rsidP="00060DC7">
      <w:pPr>
        <w:pStyle w:val="NormalWeb"/>
        <w:shd w:val="clear" w:color="auto" w:fill="FFFFFF"/>
        <w:spacing w:before="0" w:beforeAutospacing="0" w:after="0" w:afterAutospacing="0"/>
        <w:jc w:val="both"/>
        <w:rPr>
          <w:rFonts w:ascii="Open Sans" w:hAnsi="Open Sans"/>
          <w:color w:val="231F20"/>
          <w:sz w:val="19"/>
          <w:szCs w:val="19"/>
        </w:rPr>
      </w:pPr>
      <w:r>
        <w:rPr>
          <w:rFonts w:ascii="Open Sans" w:hAnsi="Open Sans"/>
          <w:noProof/>
          <w:color w:val="045A9C"/>
          <w:sz w:val="19"/>
          <w:szCs w:val="19"/>
        </w:rPr>
        <w:drawing>
          <wp:inline distT="0" distB="0" distL="0" distR="0">
            <wp:extent cx="5646420" cy="1546860"/>
            <wp:effectExtent l="19050" t="0" r="0" b="0"/>
            <wp:docPr id="2" name="Imagen 2" descr="http://www.kimballgroup.com/wp-content/uploads/2013/02/type-52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kimballgroup.com/wp-content/uploads/2013/02/type-521.png">
                      <a:hlinkClick r:id="rId7"/>
                    </pic:cNvPr>
                    <pic:cNvPicPr>
                      <a:picLocks noChangeAspect="1" noChangeArrowheads="1"/>
                    </pic:cNvPicPr>
                  </pic:nvPicPr>
                  <pic:blipFill>
                    <a:blip r:embed="rId8" cstate="print"/>
                    <a:srcRect/>
                    <a:stretch>
                      <a:fillRect/>
                    </a:stretch>
                  </pic:blipFill>
                  <pic:spPr bwMode="auto">
                    <a:xfrm>
                      <a:off x="0" y="0"/>
                      <a:ext cx="5646420" cy="1546860"/>
                    </a:xfrm>
                    <a:prstGeom prst="rect">
                      <a:avLst/>
                    </a:prstGeom>
                    <a:noFill/>
                    <a:ln w="9525">
                      <a:noFill/>
                      <a:miter lim="800000"/>
                      <a:headEnd/>
                      <a:tailEnd/>
                    </a:ln>
                  </pic:spPr>
                </pic:pic>
              </a:graphicData>
            </a:graphic>
          </wp:inline>
        </w:drawing>
      </w:r>
    </w:p>
    <w:p w:rsidR="00F679F1" w:rsidRPr="00F679F1" w:rsidRDefault="00F679F1" w:rsidP="00060DC7">
      <w:pPr>
        <w:pStyle w:val="NormalWeb"/>
        <w:shd w:val="clear" w:color="auto" w:fill="FFFFFF"/>
        <w:spacing w:before="180" w:beforeAutospacing="0" w:after="180" w:afterAutospacing="0"/>
        <w:jc w:val="both"/>
        <w:rPr>
          <w:rFonts w:ascii="Open Sans" w:hAnsi="Open Sans"/>
          <w:color w:val="231F20"/>
          <w:sz w:val="19"/>
          <w:szCs w:val="19"/>
          <w:lang w:val="en-US"/>
        </w:rPr>
      </w:pPr>
      <w:r w:rsidRPr="00F679F1">
        <w:rPr>
          <w:rFonts w:ascii="Open Sans" w:hAnsi="Open Sans"/>
          <w:color w:val="231F20"/>
          <w:sz w:val="19"/>
          <w:szCs w:val="19"/>
          <w:lang w:val="en-US"/>
        </w:rPr>
        <w:t> </w:t>
      </w:r>
    </w:p>
    <w:p w:rsidR="00B57844" w:rsidRDefault="00B57844" w:rsidP="00060DC7">
      <w:pPr>
        <w:pStyle w:val="NormalWeb"/>
        <w:shd w:val="clear" w:color="auto" w:fill="FFFFFF"/>
        <w:spacing w:before="180" w:beforeAutospacing="0" w:after="180" w:afterAutospacing="0"/>
        <w:jc w:val="both"/>
        <w:rPr>
          <w:rStyle w:val="Textoennegrita"/>
          <w:rFonts w:ascii="Open Sans" w:hAnsi="Open Sans"/>
          <w:color w:val="231F20"/>
          <w:sz w:val="19"/>
          <w:szCs w:val="19"/>
        </w:rPr>
      </w:pPr>
      <w:r w:rsidRPr="00B57844">
        <w:rPr>
          <w:rStyle w:val="Textoennegrita"/>
          <w:rFonts w:ascii="Open Sans" w:hAnsi="Open Sans"/>
          <w:color w:val="231F20"/>
          <w:sz w:val="19"/>
          <w:szCs w:val="19"/>
        </w:rPr>
        <w:t>Tipo</w:t>
      </w:r>
      <w:r w:rsidR="00F679F1" w:rsidRPr="00B57844">
        <w:rPr>
          <w:rStyle w:val="Textoennegrita"/>
          <w:rFonts w:ascii="Open Sans" w:hAnsi="Open Sans"/>
          <w:color w:val="231F20"/>
          <w:sz w:val="19"/>
          <w:szCs w:val="19"/>
        </w:rPr>
        <w:t xml:space="preserve"> 6: </w:t>
      </w:r>
      <w:r w:rsidRPr="00B57844">
        <w:rPr>
          <w:rStyle w:val="Textoennegrita"/>
          <w:rFonts w:ascii="Open Sans" w:hAnsi="Open Sans"/>
          <w:color w:val="231F20"/>
          <w:sz w:val="19"/>
          <w:szCs w:val="19"/>
        </w:rPr>
        <w:t>Añadir lo atributos del Tipo 1 a la Dimensi</w:t>
      </w:r>
      <w:r>
        <w:rPr>
          <w:rStyle w:val="Textoennegrita"/>
          <w:rFonts w:ascii="Open Sans" w:hAnsi="Open Sans"/>
          <w:color w:val="231F20"/>
          <w:sz w:val="19"/>
          <w:szCs w:val="19"/>
        </w:rPr>
        <w:t>ón de Tipo 2.</w:t>
      </w:r>
      <w:r w:rsidR="00F679F1" w:rsidRPr="00B57844">
        <w:rPr>
          <w:rStyle w:val="Textoennegrita"/>
          <w:rFonts w:ascii="Open Sans" w:hAnsi="Open Sans"/>
          <w:color w:val="231F20"/>
          <w:sz w:val="19"/>
          <w:szCs w:val="19"/>
        </w:rPr>
        <w:t xml:space="preserve"> </w:t>
      </w:r>
    </w:p>
    <w:p w:rsidR="00B57844" w:rsidRDefault="00B57844" w:rsidP="00060DC7">
      <w:pPr>
        <w:pStyle w:val="NormalWeb"/>
        <w:shd w:val="clear" w:color="auto" w:fill="FFFFFF"/>
        <w:spacing w:before="180" w:beforeAutospacing="0" w:after="180" w:afterAutospacing="0"/>
        <w:jc w:val="both"/>
        <w:rPr>
          <w:rStyle w:val="Textoennegrita"/>
          <w:rFonts w:ascii="Open Sans" w:hAnsi="Open Sans"/>
          <w:b w:val="0"/>
          <w:color w:val="231F20"/>
          <w:sz w:val="19"/>
          <w:szCs w:val="19"/>
        </w:rPr>
      </w:pPr>
      <w:r>
        <w:rPr>
          <w:rStyle w:val="Textoennegrita"/>
          <w:rFonts w:ascii="Open Sans" w:hAnsi="Open Sans"/>
          <w:b w:val="0"/>
          <w:color w:val="231F20"/>
          <w:sz w:val="19"/>
          <w:szCs w:val="19"/>
        </w:rPr>
        <w:t xml:space="preserve">El Tipo 6 se construye sobre la técnica del Tipo 2 incrustando además atributos actuales en la dimensión para que las filas de hechos puedan se filtradas o agrupadas por ya sea el valor del tipo 2 en vigor cuando se dé la medición o el valor actual del atributo. El nombre de tipo 6 fue sugerido por un ingeniero de HP en el 2000 porque es una fila de tipo 2 con una columna de tipo 3 sobre escrito como tipo 1; ambos 2+3+1 y 2x3x1 son iguales a 6. Con este enfoque, los atributos actuales se actualizan con todas las filas anteriores de tipo 2 asociadas con una </w:t>
      </w:r>
      <w:r>
        <w:rPr>
          <w:rStyle w:val="Textoennegrita"/>
          <w:rFonts w:ascii="Open Sans" w:hAnsi="Open Sans" w:hint="eastAsia"/>
          <w:b w:val="0"/>
          <w:color w:val="231F20"/>
          <w:sz w:val="19"/>
          <w:szCs w:val="19"/>
        </w:rPr>
        <w:t>clave</w:t>
      </w:r>
      <w:r>
        <w:rPr>
          <w:rStyle w:val="Textoennegrita"/>
          <w:rFonts w:ascii="Open Sans" w:hAnsi="Open Sans"/>
          <w:b w:val="0"/>
          <w:color w:val="231F20"/>
          <w:sz w:val="19"/>
          <w:szCs w:val="19"/>
        </w:rPr>
        <w:t xml:space="preserve"> particular duradera, como se ilustra en los siguientes ejemplos de filas:</w:t>
      </w:r>
    </w:p>
    <w:p w:rsidR="00F679F1" w:rsidRDefault="00F679F1" w:rsidP="00060DC7">
      <w:pPr>
        <w:pStyle w:val="NormalWeb"/>
        <w:shd w:val="clear" w:color="auto" w:fill="FFFFFF"/>
        <w:spacing w:before="0" w:beforeAutospacing="0" w:after="0" w:afterAutospacing="0"/>
        <w:jc w:val="both"/>
        <w:rPr>
          <w:rFonts w:ascii="Open Sans" w:hAnsi="Open Sans"/>
          <w:color w:val="231F20"/>
          <w:sz w:val="19"/>
          <w:szCs w:val="19"/>
        </w:rPr>
      </w:pPr>
      <w:r>
        <w:rPr>
          <w:rFonts w:ascii="Open Sans" w:hAnsi="Open Sans"/>
          <w:noProof/>
          <w:color w:val="045A9C"/>
          <w:sz w:val="19"/>
          <w:szCs w:val="19"/>
        </w:rPr>
        <w:drawing>
          <wp:inline distT="0" distB="0" distL="0" distR="0">
            <wp:extent cx="5189220" cy="3040380"/>
            <wp:effectExtent l="19050" t="0" r="0" b="0"/>
            <wp:docPr id="3" name="Imagen 3" descr="http://www.kimballgroup.com/wp-content/uploads/2013/02/type-621.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kimballgroup.com/wp-content/uploads/2013/02/type-621.png">
                      <a:hlinkClick r:id="rId9"/>
                    </pic:cNvPr>
                    <pic:cNvPicPr>
                      <a:picLocks noChangeAspect="1" noChangeArrowheads="1"/>
                    </pic:cNvPicPr>
                  </pic:nvPicPr>
                  <pic:blipFill>
                    <a:blip r:embed="rId10" cstate="print"/>
                    <a:srcRect/>
                    <a:stretch>
                      <a:fillRect/>
                    </a:stretch>
                  </pic:blipFill>
                  <pic:spPr bwMode="auto">
                    <a:xfrm>
                      <a:off x="0" y="0"/>
                      <a:ext cx="5189220" cy="3040380"/>
                    </a:xfrm>
                    <a:prstGeom prst="rect">
                      <a:avLst/>
                    </a:prstGeom>
                    <a:noFill/>
                    <a:ln w="9525">
                      <a:noFill/>
                      <a:miter lim="800000"/>
                      <a:headEnd/>
                      <a:tailEnd/>
                    </a:ln>
                  </pic:spPr>
                </pic:pic>
              </a:graphicData>
            </a:graphic>
          </wp:inline>
        </w:drawing>
      </w:r>
    </w:p>
    <w:p w:rsidR="00F679F1" w:rsidRPr="00F679F1" w:rsidRDefault="00F679F1" w:rsidP="00060DC7">
      <w:pPr>
        <w:pStyle w:val="NormalWeb"/>
        <w:shd w:val="clear" w:color="auto" w:fill="FFFFFF"/>
        <w:spacing w:before="180" w:beforeAutospacing="0" w:after="180" w:afterAutospacing="0"/>
        <w:jc w:val="both"/>
        <w:rPr>
          <w:rFonts w:ascii="Open Sans" w:hAnsi="Open Sans"/>
          <w:color w:val="231F20"/>
          <w:sz w:val="19"/>
          <w:szCs w:val="19"/>
          <w:lang w:val="en-US"/>
        </w:rPr>
      </w:pPr>
      <w:r w:rsidRPr="00F679F1">
        <w:rPr>
          <w:rFonts w:ascii="Open Sans" w:hAnsi="Open Sans"/>
          <w:color w:val="231F20"/>
          <w:sz w:val="19"/>
          <w:szCs w:val="19"/>
          <w:lang w:val="en-US"/>
        </w:rPr>
        <w:t> </w:t>
      </w:r>
    </w:p>
    <w:p w:rsidR="00B24A67" w:rsidRPr="00B24A67" w:rsidRDefault="00B24A67" w:rsidP="00060DC7">
      <w:pPr>
        <w:pStyle w:val="NormalWeb"/>
        <w:shd w:val="clear" w:color="auto" w:fill="FFFFFF"/>
        <w:spacing w:before="180" w:beforeAutospacing="0" w:after="180" w:afterAutospacing="0"/>
        <w:jc w:val="both"/>
        <w:rPr>
          <w:rStyle w:val="Textoennegrita"/>
          <w:rFonts w:ascii="Open Sans" w:hAnsi="Open Sans"/>
          <w:color w:val="231F20"/>
          <w:sz w:val="19"/>
          <w:szCs w:val="19"/>
        </w:rPr>
      </w:pPr>
      <w:r w:rsidRPr="00B24A67">
        <w:rPr>
          <w:rStyle w:val="Textoennegrita"/>
          <w:rFonts w:ascii="Open Sans" w:hAnsi="Open Sans"/>
          <w:color w:val="231F20"/>
          <w:sz w:val="19"/>
          <w:szCs w:val="19"/>
        </w:rPr>
        <w:t>Tipo 7: Tipo 1 Dual y dimensiones Tipo</w:t>
      </w:r>
      <w:r w:rsidR="00F679F1" w:rsidRPr="00B24A67">
        <w:rPr>
          <w:rStyle w:val="Textoennegrita"/>
          <w:rFonts w:ascii="Open Sans" w:hAnsi="Open Sans"/>
          <w:color w:val="231F20"/>
          <w:sz w:val="19"/>
          <w:szCs w:val="19"/>
        </w:rPr>
        <w:t xml:space="preserve"> 2 </w:t>
      </w:r>
    </w:p>
    <w:p w:rsidR="00B24A67" w:rsidRDefault="00B24A67" w:rsidP="00060DC7">
      <w:pPr>
        <w:pStyle w:val="NormalWeb"/>
        <w:shd w:val="clear" w:color="auto" w:fill="FFFFFF"/>
        <w:spacing w:before="180" w:beforeAutospacing="0" w:after="180" w:afterAutospacing="0"/>
        <w:jc w:val="both"/>
        <w:rPr>
          <w:rStyle w:val="Textoennegrita"/>
          <w:rFonts w:ascii="Open Sans" w:hAnsi="Open Sans"/>
          <w:b w:val="0"/>
          <w:color w:val="231F20"/>
          <w:sz w:val="19"/>
          <w:szCs w:val="19"/>
        </w:rPr>
      </w:pPr>
      <w:r>
        <w:rPr>
          <w:rStyle w:val="Textoennegrita"/>
          <w:rFonts w:ascii="Open Sans" w:hAnsi="Open Sans"/>
          <w:b w:val="0"/>
          <w:color w:val="231F20"/>
          <w:sz w:val="19"/>
          <w:szCs w:val="19"/>
        </w:rPr>
        <w:t>Con el tipo 7, la tabla de hechos contiene claves duales foráneas para una dimensión dada: una clave subrogada enlazada a la tabla dimensional donde los atributos del</w:t>
      </w:r>
      <w:r w:rsidR="00C8619C">
        <w:rPr>
          <w:rStyle w:val="Textoennegrita"/>
          <w:rFonts w:ascii="Open Sans" w:hAnsi="Open Sans"/>
          <w:b w:val="0"/>
          <w:color w:val="231F20"/>
          <w:sz w:val="19"/>
          <w:szCs w:val="19"/>
        </w:rPr>
        <w:t xml:space="preserve"> tipo 2 son rastreados, más la clave  sobrenatural duradera de la dimensión enlazada a la fila actual en las dimensiones de tipo 2 para ofrecer valores del atributo actuales.</w:t>
      </w:r>
    </w:p>
    <w:p w:rsidR="00C8619C" w:rsidRDefault="00C8619C" w:rsidP="00060DC7">
      <w:pPr>
        <w:pStyle w:val="NormalWeb"/>
        <w:shd w:val="clear" w:color="auto" w:fill="FFFFFF"/>
        <w:spacing w:before="180" w:beforeAutospacing="0" w:after="180" w:afterAutospacing="0"/>
        <w:jc w:val="both"/>
        <w:rPr>
          <w:rFonts w:ascii="Open Sans" w:hAnsi="Open Sans"/>
          <w:color w:val="231F20"/>
          <w:sz w:val="19"/>
          <w:szCs w:val="19"/>
        </w:rPr>
      </w:pPr>
      <w:r w:rsidRPr="00C8619C">
        <w:rPr>
          <w:rFonts w:ascii="Open Sans" w:hAnsi="Open Sans"/>
          <w:color w:val="231F20"/>
          <w:sz w:val="19"/>
          <w:szCs w:val="19"/>
        </w:rPr>
        <w:t xml:space="preserve">El tipo 7 proporciona la misma funcionalidad que el tipo 6, pero se </w:t>
      </w:r>
      <w:r>
        <w:rPr>
          <w:rFonts w:ascii="Open Sans" w:hAnsi="Open Sans"/>
          <w:color w:val="231F20"/>
          <w:sz w:val="19"/>
          <w:szCs w:val="19"/>
        </w:rPr>
        <w:t>ejecuta a través de claves duales en lugar de sobre escribir físicamente los atributos actuales con el tipo 6. Como en los otros enfoques híbridos, los atributos de dimensión actual deben ser etiquetados de manera diferenciadora para minimizar la confusión.</w:t>
      </w:r>
    </w:p>
    <w:p w:rsidR="00C8619C" w:rsidRDefault="00C8619C" w:rsidP="00060DC7">
      <w:pPr>
        <w:pStyle w:val="NormalWeb"/>
        <w:shd w:val="clear" w:color="auto" w:fill="FFFFFF"/>
        <w:spacing w:before="180" w:beforeAutospacing="0" w:after="180" w:afterAutospacing="0"/>
        <w:jc w:val="both"/>
        <w:rPr>
          <w:rFonts w:ascii="Open Sans" w:hAnsi="Open Sans"/>
          <w:color w:val="231F20"/>
          <w:sz w:val="19"/>
          <w:szCs w:val="19"/>
        </w:rPr>
      </w:pPr>
    </w:p>
    <w:p w:rsidR="00C8619C" w:rsidRPr="00C8619C" w:rsidRDefault="00C8619C" w:rsidP="00060DC7">
      <w:pPr>
        <w:pStyle w:val="NormalWeb"/>
        <w:shd w:val="clear" w:color="auto" w:fill="FFFFFF"/>
        <w:spacing w:before="180" w:beforeAutospacing="0" w:after="180" w:afterAutospacing="0"/>
        <w:jc w:val="both"/>
        <w:rPr>
          <w:rFonts w:ascii="Open Sans" w:hAnsi="Open Sans"/>
          <w:color w:val="231F20"/>
          <w:sz w:val="19"/>
          <w:szCs w:val="19"/>
        </w:rPr>
      </w:pPr>
    </w:p>
    <w:p w:rsidR="00F679F1" w:rsidRDefault="00F679F1" w:rsidP="00060DC7">
      <w:pPr>
        <w:pStyle w:val="NormalWeb"/>
        <w:shd w:val="clear" w:color="auto" w:fill="FFFFFF"/>
        <w:spacing w:before="0" w:beforeAutospacing="0" w:after="0" w:afterAutospacing="0"/>
        <w:jc w:val="both"/>
        <w:rPr>
          <w:rFonts w:ascii="Open Sans" w:hAnsi="Open Sans"/>
          <w:color w:val="231F20"/>
          <w:sz w:val="19"/>
          <w:szCs w:val="19"/>
        </w:rPr>
      </w:pPr>
      <w:r>
        <w:rPr>
          <w:rFonts w:ascii="Open Sans" w:hAnsi="Open Sans"/>
          <w:noProof/>
          <w:color w:val="045A9C"/>
          <w:sz w:val="19"/>
          <w:szCs w:val="19"/>
        </w:rPr>
        <w:drawing>
          <wp:inline distT="0" distB="0" distL="0" distR="0">
            <wp:extent cx="5212080" cy="1691640"/>
            <wp:effectExtent l="19050" t="0" r="7620" b="0"/>
            <wp:docPr id="4" name="Imagen 4" descr="http://www.kimballgroup.com/wp-content/uploads/2013/02/type-711.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kimballgroup.com/wp-content/uploads/2013/02/type-711.png">
                      <a:hlinkClick r:id="rId11"/>
                    </pic:cNvPr>
                    <pic:cNvPicPr>
                      <a:picLocks noChangeAspect="1" noChangeArrowheads="1"/>
                    </pic:cNvPicPr>
                  </pic:nvPicPr>
                  <pic:blipFill>
                    <a:blip r:embed="rId12" cstate="print"/>
                    <a:srcRect/>
                    <a:stretch>
                      <a:fillRect/>
                    </a:stretch>
                  </pic:blipFill>
                  <pic:spPr bwMode="auto">
                    <a:xfrm>
                      <a:off x="0" y="0"/>
                      <a:ext cx="5212080" cy="1691640"/>
                    </a:xfrm>
                    <a:prstGeom prst="rect">
                      <a:avLst/>
                    </a:prstGeom>
                    <a:noFill/>
                    <a:ln w="9525">
                      <a:noFill/>
                      <a:miter lim="800000"/>
                      <a:headEnd/>
                      <a:tailEnd/>
                    </a:ln>
                  </pic:spPr>
                </pic:pic>
              </a:graphicData>
            </a:graphic>
          </wp:inline>
        </w:drawing>
      </w:r>
    </w:p>
    <w:p w:rsidR="00C8619C" w:rsidRPr="00C8619C" w:rsidRDefault="00C8619C" w:rsidP="00060DC7">
      <w:pPr>
        <w:pStyle w:val="NormalWeb"/>
        <w:shd w:val="clear" w:color="auto" w:fill="FFFFFF"/>
        <w:spacing w:before="180" w:beforeAutospacing="0" w:after="180" w:afterAutospacing="0"/>
        <w:jc w:val="both"/>
        <w:rPr>
          <w:rFonts w:ascii="Open Sans" w:hAnsi="Open Sans"/>
          <w:i/>
          <w:color w:val="231F20"/>
          <w:sz w:val="19"/>
          <w:szCs w:val="19"/>
        </w:rPr>
      </w:pPr>
      <w:r>
        <w:rPr>
          <w:rFonts w:ascii="Open Sans" w:hAnsi="Open Sans"/>
          <w:color w:val="231F20"/>
          <w:sz w:val="19"/>
          <w:szCs w:val="19"/>
        </w:rPr>
        <w:t>Finalmente, aquí tenéis una</w:t>
      </w:r>
      <w:r w:rsidRPr="00C8619C">
        <w:rPr>
          <w:rFonts w:ascii="Open Sans" w:hAnsi="Open Sans"/>
          <w:color w:val="231F20"/>
          <w:sz w:val="19"/>
          <w:szCs w:val="19"/>
        </w:rPr>
        <w:t xml:space="preserve"> </w:t>
      </w:r>
      <w:r>
        <w:rPr>
          <w:rFonts w:ascii="Open Sans" w:hAnsi="Open Sans"/>
          <w:color w:val="231F20"/>
          <w:sz w:val="19"/>
          <w:szCs w:val="19"/>
        </w:rPr>
        <w:t>representación</w:t>
      </w:r>
      <w:r w:rsidRPr="00C8619C">
        <w:rPr>
          <w:rFonts w:ascii="Open Sans" w:hAnsi="Open Sans"/>
          <w:color w:val="231F20"/>
          <w:sz w:val="19"/>
          <w:szCs w:val="19"/>
        </w:rPr>
        <w:t xml:space="preserve"> de </w:t>
      </w:r>
      <w:r w:rsidR="00060DC7" w:rsidRPr="00C8619C">
        <w:rPr>
          <w:rStyle w:val="nfasis"/>
          <w:rFonts w:ascii="Open Sans" w:hAnsi="Open Sans"/>
          <w:color w:val="231F20"/>
          <w:sz w:val="19"/>
          <w:szCs w:val="19"/>
        </w:rPr>
        <w:t xml:space="preserve">The </w:t>
      </w:r>
      <w:r w:rsidRPr="00C8619C">
        <w:rPr>
          <w:rStyle w:val="nfasis"/>
          <w:rFonts w:ascii="Open Sans" w:hAnsi="Open Sans"/>
          <w:color w:val="231F20"/>
          <w:sz w:val="19"/>
          <w:szCs w:val="19"/>
        </w:rPr>
        <w:t xml:space="preserve"> Data Warehouse Toolkit</w:t>
      </w:r>
      <w:r>
        <w:rPr>
          <w:rStyle w:val="nfasis"/>
          <w:rFonts w:ascii="Open Sans" w:hAnsi="Open Sans"/>
          <w:color w:val="231F20"/>
          <w:sz w:val="19"/>
          <w:szCs w:val="19"/>
        </w:rPr>
        <w:t>, 3</w:t>
      </w:r>
      <w:r>
        <w:rPr>
          <w:rStyle w:val="nfasis"/>
          <w:rFonts w:ascii="Open Sans" w:hAnsi="Open Sans" w:hint="eastAsia"/>
          <w:color w:val="231F20"/>
          <w:sz w:val="19"/>
          <w:szCs w:val="19"/>
        </w:rPr>
        <w:t>ª</w:t>
      </w:r>
      <w:r>
        <w:rPr>
          <w:rStyle w:val="nfasis"/>
          <w:rFonts w:ascii="Open Sans" w:hAnsi="Open Sans"/>
          <w:color w:val="231F20"/>
          <w:sz w:val="19"/>
          <w:szCs w:val="19"/>
        </w:rPr>
        <w:t xml:space="preserve"> edición </w:t>
      </w:r>
      <w:r w:rsidRPr="00C8619C">
        <w:rPr>
          <w:rStyle w:val="nfasis"/>
          <w:rFonts w:ascii="Open Sans" w:hAnsi="Open Sans"/>
          <w:i w:val="0"/>
          <w:color w:val="231F20"/>
          <w:sz w:val="19"/>
          <w:szCs w:val="19"/>
        </w:rPr>
        <w:t xml:space="preserve">que </w:t>
      </w:r>
      <w:r>
        <w:rPr>
          <w:rStyle w:val="nfasis"/>
          <w:rFonts w:ascii="Open Sans" w:hAnsi="Open Sans"/>
          <w:i w:val="0"/>
          <w:color w:val="231F20"/>
          <w:sz w:val="19"/>
          <w:szCs w:val="19"/>
        </w:rPr>
        <w:t xml:space="preserve">refleja las implicaciones de cada técnica de </w:t>
      </w:r>
      <w:r w:rsidRPr="00C8619C">
        <w:rPr>
          <w:rFonts w:ascii="Open Sans" w:hAnsi="Open Sans"/>
          <w:color w:val="231F20"/>
          <w:sz w:val="19"/>
          <w:szCs w:val="19"/>
        </w:rPr>
        <w:t>slowly changing dimension</w:t>
      </w:r>
      <w:r>
        <w:rPr>
          <w:rFonts w:ascii="Open Sans" w:hAnsi="Open Sans"/>
          <w:color w:val="231F20"/>
          <w:sz w:val="19"/>
          <w:szCs w:val="19"/>
        </w:rPr>
        <w:t xml:space="preserve"> en el análisis de las métricas de rendimiento de una tabla de hechos. Como advertimos anteriormente, hay más que considerar que simplemente 1,2 y 3!</w:t>
      </w:r>
    </w:p>
    <w:p w:rsidR="00F679F1" w:rsidRDefault="00F679F1" w:rsidP="00060DC7">
      <w:pPr>
        <w:pStyle w:val="NormalWeb"/>
        <w:shd w:val="clear" w:color="auto" w:fill="FFFFFF"/>
        <w:spacing w:before="0" w:beforeAutospacing="0" w:after="0" w:afterAutospacing="0"/>
        <w:jc w:val="both"/>
        <w:rPr>
          <w:rFonts w:ascii="Open Sans" w:hAnsi="Open Sans"/>
          <w:color w:val="231F20"/>
          <w:sz w:val="19"/>
          <w:szCs w:val="19"/>
        </w:rPr>
      </w:pPr>
      <w:r>
        <w:rPr>
          <w:rFonts w:ascii="Open Sans" w:hAnsi="Open Sans"/>
          <w:noProof/>
          <w:color w:val="045A9C"/>
          <w:sz w:val="19"/>
          <w:szCs w:val="19"/>
        </w:rPr>
        <w:drawing>
          <wp:inline distT="0" distB="0" distL="0" distR="0">
            <wp:extent cx="5890260" cy="3276600"/>
            <wp:effectExtent l="19050" t="0" r="0" b="0"/>
            <wp:docPr id="5" name="Imagen 5" descr="http://www.kimballgroup.com/wp-content/uploads/2013/02/SCD-recap11.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kimballgroup.com/wp-content/uploads/2013/02/SCD-recap11.png">
                      <a:hlinkClick r:id="rId13"/>
                    </pic:cNvPr>
                    <pic:cNvPicPr>
                      <a:picLocks noChangeAspect="1" noChangeArrowheads="1"/>
                    </pic:cNvPicPr>
                  </pic:nvPicPr>
                  <pic:blipFill>
                    <a:blip r:embed="rId14" cstate="print"/>
                    <a:srcRect/>
                    <a:stretch>
                      <a:fillRect/>
                    </a:stretch>
                  </pic:blipFill>
                  <pic:spPr bwMode="auto">
                    <a:xfrm>
                      <a:off x="0" y="0"/>
                      <a:ext cx="5890260" cy="3276600"/>
                    </a:xfrm>
                    <a:prstGeom prst="rect">
                      <a:avLst/>
                    </a:prstGeom>
                    <a:noFill/>
                    <a:ln w="9525">
                      <a:noFill/>
                      <a:miter lim="800000"/>
                      <a:headEnd/>
                      <a:tailEnd/>
                    </a:ln>
                  </pic:spPr>
                </pic:pic>
              </a:graphicData>
            </a:graphic>
          </wp:inline>
        </w:drawing>
      </w:r>
    </w:p>
    <w:p w:rsidR="004137F0" w:rsidRDefault="00060DC7" w:rsidP="00060DC7">
      <w:pPr>
        <w:jc w:val="both"/>
      </w:pPr>
    </w:p>
    <w:p w:rsidR="00C8619C" w:rsidRDefault="00C8619C" w:rsidP="00060DC7">
      <w:pPr>
        <w:jc w:val="both"/>
      </w:pPr>
    </w:p>
    <w:p w:rsidR="00C8619C" w:rsidRDefault="00C8619C" w:rsidP="00060DC7">
      <w:pPr>
        <w:jc w:val="both"/>
      </w:pPr>
      <w:hyperlink r:id="rId15" w:history="1">
        <w:r w:rsidRPr="002E2623">
          <w:rPr>
            <w:rStyle w:val="Hipervnculo"/>
          </w:rPr>
          <w:t>http://www.kimballgroup.com/2013/02/design-tip-152-slowly-changing-dimension-types-0-4-5-6-7/</w:t>
        </w:r>
      </w:hyperlink>
    </w:p>
    <w:p w:rsidR="00C8619C" w:rsidRPr="00F679F1" w:rsidRDefault="00C8619C" w:rsidP="00060DC7">
      <w:pPr>
        <w:jc w:val="both"/>
      </w:pPr>
    </w:p>
    <w:sectPr w:rsidR="00C8619C" w:rsidRPr="00F679F1" w:rsidSect="003B1A7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08"/>
  <w:hyphenationZone w:val="425"/>
  <w:characterSpacingControl w:val="doNotCompress"/>
  <w:compat>
    <w:useFELayout/>
  </w:compat>
  <w:rsids>
    <w:rsidRoot w:val="00C0506B"/>
    <w:rsid w:val="00023998"/>
    <w:rsid w:val="00060DC7"/>
    <w:rsid w:val="00127365"/>
    <w:rsid w:val="001F79B4"/>
    <w:rsid w:val="00261BBB"/>
    <w:rsid w:val="0038542E"/>
    <w:rsid w:val="003B1A7D"/>
    <w:rsid w:val="003F100E"/>
    <w:rsid w:val="00501523"/>
    <w:rsid w:val="005C1A6D"/>
    <w:rsid w:val="006A0AC1"/>
    <w:rsid w:val="006B559A"/>
    <w:rsid w:val="006D4DEA"/>
    <w:rsid w:val="0072654B"/>
    <w:rsid w:val="0083165F"/>
    <w:rsid w:val="00925611"/>
    <w:rsid w:val="00987D21"/>
    <w:rsid w:val="00B24A67"/>
    <w:rsid w:val="00B57844"/>
    <w:rsid w:val="00B77408"/>
    <w:rsid w:val="00B95165"/>
    <w:rsid w:val="00C0506B"/>
    <w:rsid w:val="00C35A3A"/>
    <w:rsid w:val="00C4522C"/>
    <w:rsid w:val="00C8619C"/>
    <w:rsid w:val="00F679F1"/>
  </w:rsids>
  <m:mathPr>
    <m:mathFont m:val="Cambria Math"/>
    <m:brkBin m:val="before"/>
    <m:brkBinSub m:val="--"/>
    <m:smallFrac m:val="off"/>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A7D"/>
  </w:style>
  <w:style w:type="paragraph" w:styleId="Ttulo1">
    <w:name w:val="heading 1"/>
    <w:basedOn w:val="Normal"/>
    <w:link w:val="Ttulo1Car"/>
    <w:uiPriority w:val="9"/>
    <w:qFormat/>
    <w:rsid w:val="009256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0506B"/>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C0506B"/>
    <w:rPr>
      <w:color w:val="0000FF"/>
      <w:u w:val="single"/>
    </w:rPr>
  </w:style>
  <w:style w:type="character" w:customStyle="1" w:styleId="apple-converted-space">
    <w:name w:val="apple-converted-space"/>
    <w:basedOn w:val="Fuentedeprrafopredeter"/>
    <w:rsid w:val="00C0506B"/>
  </w:style>
  <w:style w:type="character" w:styleId="nfasis">
    <w:name w:val="Emphasis"/>
    <w:basedOn w:val="Fuentedeprrafopredeter"/>
    <w:uiPriority w:val="20"/>
    <w:qFormat/>
    <w:rsid w:val="00C0506B"/>
    <w:rPr>
      <w:i/>
      <w:iCs/>
    </w:rPr>
  </w:style>
  <w:style w:type="paragraph" w:styleId="Textodeglobo">
    <w:name w:val="Balloon Text"/>
    <w:basedOn w:val="Normal"/>
    <w:link w:val="TextodegloboCar"/>
    <w:uiPriority w:val="99"/>
    <w:semiHidden/>
    <w:unhideWhenUsed/>
    <w:rsid w:val="00C0506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506B"/>
    <w:rPr>
      <w:rFonts w:ascii="Tahoma" w:hAnsi="Tahoma" w:cs="Tahoma"/>
      <w:sz w:val="16"/>
      <w:szCs w:val="16"/>
    </w:rPr>
  </w:style>
  <w:style w:type="character" w:customStyle="1" w:styleId="Ttulo1Car">
    <w:name w:val="Título 1 Car"/>
    <w:basedOn w:val="Fuentedeprrafopredeter"/>
    <w:link w:val="Ttulo1"/>
    <w:uiPriority w:val="9"/>
    <w:rsid w:val="00925611"/>
    <w:rPr>
      <w:rFonts w:ascii="Times New Roman" w:eastAsia="Times New Roman" w:hAnsi="Times New Roman" w:cs="Times New Roman"/>
      <w:b/>
      <w:bCs/>
      <w:kern w:val="36"/>
      <w:sz w:val="48"/>
      <w:szCs w:val="48"/>
    </w:rPr>
  </w:style>
  <w:style w:type="character" w:customStyle="1" w:styleId="msonormal0">
    <w:name w:val="msonormal"/>
    <w:basedOn w:val="Fuentedeprrafopredeter"/>
    <w:rsid w:val="005C1A6D"/>
  </w:style>
  <w:style w:type="character" w:styleId="Textoennegrita">
    <w:name w:val="Strong"/>
    <w:basedOn w:val="Fuentedeprrafopredeter"/>
    <w:uiPriority w:val="22"/>
    <w:qFormat/>
    <w:rsid w:val="00F679F1"/>
    <w:rPr>
      <w:b/>
      <w:bCs/>
    </w:rPr>
  </w:style>
</w:styles>
</file>

<file path=word/webSettings.xml><?xml version="1.0" encoding="utf-8"?>
<w:webSettings xmlns:r="http://schemas.openxmlformats.org/officeDocument/2006/relationships" xmlns:w="http://schemas.openxmlformats.org/wordprocessingml/2006/main">
  <w:divs>
    <w:div w:id="226427867">
      <w:bodyDiv w:val="1"/>
      <w:marLeft w:val="0"/>
      <w:marRight w:val="0"/>
      <w:marTop w:val="0"/>
      <w:marBottom w:val="0"/>
      <w:divBdr>
        <w:top w:val="none" w:sz="0" w:space="0" w:color="auto"/>
        <w:left w:val="none" w:sz="0" w:space="0" w:color="auto"/>
        <w:bottom w:val="none" w:sz="0" w:space="0" w:color="auto"/>
        <w:right w:val="none" w:sz="0" w:space="0" w:color="auto"/>
      </w:divBdr>
    </w:div>
    <w:div w:id="418790505">
      <w:bodyDiv w:val="1"/>
      <w:marLeft w:val="0"/>
      <w:marRight w:val="0"/>
      <w:marTop w:val="0"/>
      <w:marBottom w:val="0"/>
      <w:divBdr>
        <w:top w:val="none" w:sz="0" w:space="0" w:color="auto"/>
        <w:left w:val="none" w:sz="0" w:space="0" w:color="auto"/>
        <w:bottom w:val="none" w:sz="0" w:space="0" w:color="auto"/>
        <w:right w:val="none" w:sz="0" w:space="0" w:color="auto"/>
      </w:divBdr>
    </w:div>
    <w:div w:id="448089118">
      <w:bodyDiv w:val="1"/>
      <w:marLeft w:val="0"/>
      <w:marRight w:val="0"/>
      <w:marTop w:val="0"/>
      <w:marBottom w:val="0"/>
      <w:divBdr>
        <w:top w:val="none" w:sz="0" w:space="0" w:color="auto"/>
        <w:left w:val="none" w:sz="0" w:space="0" w:color="auto"/>
        <w:bottom w:val="none" w:sz="0" w:space="0" w:color="auto"/>
        <w:right w:val="none" w:sz="0" w:space="0" w:color="auto"/>
      </w:divBdr>
      <w:divsChild>
        <w:div w:id="711802795">
          <w:marLeft w:val="0"/>
          <w:marRight w:val="0"/>
          <w:marTop w:val="0"/>
          <w:marBottom w:val="0"/>
          <w:divBdr>
            <w:top w:val="none" w:sz="0" w:space="0" w:color="auto"/>
            <w:left w:val="none" w:sz="0" w:space="0" w:color="auto"/>
            <w:bottom w:val="none" w:sz="0" w:space="0" w:color="auto"/>
            <w:right w:val="none" w:sz="0" w:space="0" w:color="auto"/>
          </w:divBdr>
        </w:div>
        <w:div w:id="2100369390">
          <w:marLeft w:val="0"/>
          <w:marRight w:val="0"/>
          <w:marTop w:val="600"/>
          <w:marBottom w:val="0"/>
          <w:divBdr>
            <w:top w:val="none" w:sz="0" w:space="0" w:color="auto"/>
            <w:left w:val="none" w:sz="0" w:space="0" w:color="auto"/>
            <w:bottom w:val="none" w:sz="0" w:space="0" w:color="auto"/>
            <w:right w:val="none" w:sz="0" w:space="0" w:color="auto"/>
          </w:divBdr>
          <w:divsChild>
            <w:div w:id="80748118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198278228">
      <w:bodyDiv w:val="1"/>
      <w:marLeft w:val="0"/>
      <w:marRight w:val="0"/>
      <w:marTop w:val="0"/>
      <w:marBottom w:val="0"/>
      <w:divBdr>
        <w:top w:val="none" w:sz="0" w:space="0" w:color="auto"/>
        <w:left w:val="none" w:sz="0" w:space="0" w:color="auto"/>
        <w:bottom w:val="none" w:sz="0" w:space="0" w:color="auto"/>
        <w:right w:val="none" w:sz="0" w:space="0" w:color="auto"/>
      </w:divBdr>
    </w:div>
    <w:div w:id="1349521750">
      <w:bodyDiv w:val="1"/>
      <w:marLeft w:val="0"/>
      <w:marRight w:val="0"/>
      <w:marTop w:val="0"/>
      <w:marBottom w:val="0"/>
      <w:divBdr>
        <w:top w:val="none" w:sz="0" w:space="0" w:color="auto"/>
        <w:left w:val="none" w:sz="0" w:space="0" w:color="auto"/>
        <w:bottom w:val="none" w:sz="0" w:space="0" w:color="auto"/>
        <w:right w:val="none" w:sz="0" w:space="0" w:color="auto"/>
      </w:divBdr>
      <w:divsChild>
        <w:div w:id="1154372109">
          <w:marLeft w:val="0"/>
          <w:marRight w:val="0"/>
          <w:marTop w:val="0"/>
          <w:marBottom w:val="0"/>
          <w:divBdr>
            <w:top w:val="none" w:sz="0" w:space="0" w:color="auto"/>
            <w:left w:val="none" w:sz="0" w:space="0" w:color="auto"/>
            <w:bottom w:val="none" w:sz="0" w:space="0" w:color="auto"/>
            <w:right w:val="none" w:sz="0" w:space="0" w:color="auto"/>
          </w:divBdr>
        </w:div>
        <w:div w:id="836844060">
          <w:marLeft w:val="0"/>
          <w:marRight w:val="0"/>
          <w:marTop w:val="600"/>
          <w:marBottom w:val="0"/>
          <w:divBdr>
            <w:top w:val="none" w:sz="0" w:space="0" w:color="auto"/>
            <w:left w:val="none" w:sz="0" w:space="0" w:color="auto"/>
            <w:bottom w:val="none" w:sz="0" w:space="0" w:color="auto"/>
            <w:right w:val="none" w:sz="0" w:space="0" w:color="auto"/>
          </w:divBdr>
          <w:divsChild>
            <w:div w:id="141501048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352680010">
      <w:bodyDiv w:val="1"/>
      <w:marLeft w:val="0"/>
      <w:marRight w:val="0"/>
      <w:marTop w:val="0"/>
      <w:marBottom w:val="0"/>
      <w:divBdr>
        <w:top w:val="none" w:sz="0" w:space="0" w:color="auto"/>
        <w:left w:val="none" w:sz="0" w:space="0" w:color="auto"/>
        <w:bottom w:val="none" w:sz="0" w:space="0" w:color="auto"/>
        <w:right w:val="none" w:sz="0" w:space="0" w:color="auto"/>
      </w:divBdr>
      <w:divsChild>
        <w:div w:id="390734013">
          <w:marLeft w:val="0"/>
          <w:marRight w:val="0"/>
          <w:marTop w:val="0"/>
          <w:marBottom w:val="0"/>
          <w:divBdr>
            <w:top w:val="none" w:sz="0" w:space="0" w:color="auto"/>
            <w:left w:val="none" w:sz="0" w:space="0" w:color="auto"/>
            <w:bottom w:val="none" w:sz="0" w:space="0" w:color="auto"/>
            <w:right w:val="none" w:sz="0" w:space="0" w:color="auto"/>
          </w:divBdr>
        </w:div>
        <w:div w:id="1002703675">
          <w:marLeft w:val="0"/>
          <w:marRight w:val="0"/>
          <w:marTop w:val="600"/>
          <w:marBottom w:val="0"/>
          <w:divBdr>
            <w:top w:val="none" w:sz="0" w:space="0" w:color="auto"/>
            <w:left w:val="none" w:sz="0" w:space="0" w:color="auto"/>
            <w:bottom w:val="none" w:sz="0" w:space="0" w:color="auto"/>
            <w:right w:val="none" w:sz="0" w:space="0" w:color="auto"/>
          </w:divBdr>
          <w:divsChild>
            <w:div w:id="205549626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512790518">
      <w:bodyDiv w:val="1"/>
      <w:marLeft w:val="0"/>
      <w:marRight w:val="0"/>
      <w:marTop w:val="0"/>
      <w:marBottom w:val="0"/>
      <w:divBdr>
        <w:top w:val="none" w:sz="0" w:space="0" w:color="auto"/>
        <w:left w:val="none" w:sz="0" w:space="0" w:color="auto"/>
        <w:bottom w:val="none" w:sz="0" w:space="0" w:color="auto"/>
        <w:right w:val="none" w:sz="0" w:space="0" w:color="auto"/>
      </w:divBdr>
    </w:div>
    <w:div w:id="159234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kimballgroup.com/wp-content/uploads/2013/02/SCD-recap11.png" TargetMode="External"/><Relationship Id="rId3" Type="http://schemas.openxmlformats.org/officeDocument/2006/relationships/webSettings" Target="webSettings.xml"/><Relationship Id="rId7" Type="http://schemas.openxmlformats.org/officeDocument/2006/relationships/hyperlink" Target="http://www.kimballgroup.com/wp-content/uploads/2013/02/type-521.png"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kimballgroup.com/wp-content/uploads/2013/02/type-711.png" TargetMode="External"/><Relationship Id="rId5" Type="http://schemas.openxmlformats.org/officeDocument/2006/relationships/hyperlink" Target="http://www.kimballgroup.com/wp-content/uploads/2013/02/type-441.png" TargetMode="External"/><Relationship Id="rId15" Type="http://schemas.openxmlformats.org/officeDocument/2006/relationships/hyperlink" Target="http://www.kimballgroup.com/2013/02/design-tip-152-slowly-changing-dimension-types-0-4-5-6-7/" TargetMode="External"/><Relationship Id="rId10" Type="http://schemas.openxmlformats.org/officeDocument/2006/relationships/image" Target="media/image3.png"/><Relationship Id="rId4" Type="http://schemas.openxmlformats.org/officeDocument/2006/relationships/hyperlink" Target="http://www.amazon.com/The-Data-Warehouse-Toolkit-Dimensional/dp/1118530802/ref=sr_1_12" TargetMode="External"/><Relationship Id="rId9" Type="http://schemas.openxmlformats.org/officeDocument/2006/relationships/hyperlink" Target="http://www.kimballgroup.com/wp-content/uploads/2013/02/type-621.png"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947</Words>
  <Characters>5213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Nati</dc:creator>
  <cp:lastModifiedBy>Nati</cp:lastModifiedBy>
  <cp:revision>7</cp:revision>
  <dcterms:created xsi:type="dcterms:W3CDTF">2016-12-27T17:06:00Z</dcterms:created>
  <dcterms:modified xsi:type="dcterms:W3CDTF">2017-01-13T15:23:00Z</dcterms:modified>
</cp:coreProperties>
</file>