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1F" w:rsidRDefault="0049461F" w:rsidP="00920FE0">
      <w:pPr>
        <w:pStyle w:val="Ttulo1"/>
      </w:pPr>
      <w:r>
        <w:t xml:space="preserve">Artículos de Ralph </w:t>
      </w:r>
      <w:proofErr w:type="spellStart"/>
      <w:r>
        <w:t>Kimball</w:t>
      </w:r>
      <w:proofErr w:type="spellEnd"/>
    </w:p>
    <w:p w:rsidR="0049461F" w:rsidRDefault="0049461F" w:rsidP="00920FE0">
      <w:pPr>
        <w:pStyle w:val="Ttulo2"/>
      </w:pPr>
      <w:r>
        <w:t>Futuro (</w:t>
      </w:r>
      <w:r w:rsidR="00920FE0" w:rsidRPr="00A0124F">
        <w:t>2015/el-futuro-es-brillante.html</w:t>
      </w:r>
      <w:r>
        <w:t>)</w:t>
      </w:r>
    </w:p>
    <w:p w:rsidR="0049461F" w:rsidRPr="009E1D0E" w:rsidRDefault="0049461F" w:rsidP="00920FE0">
      <w:pPr>
        <w:pStyle w:val="Prrafodelista"/>
        <w:numPr>
          <w:ilvl w:val="0"/>
          <w:numId w:val="8"/>
        </w:numPr>
        <w:rPr>
          <w:rFonts w:ascii="Open Sans" w:hAnsi="Open Sans"/>
          <w:bCs/>
          <w:color w:val="231F20"/>
          <w:highlight w:val="green"/>
        </w:rPr>
      </w:pPr>
      <w:r w:rsidRPr="009E1D0E">
        <w:rPr>
          <w:rFonts w:ascii="Open Sans" w:hAnsi="Open Sans"/>
          <w:bCs/>
          <w:color w:val="231F20"/>
          <w:highlight w:val="green"/>
        </w:rPr>
        <w:t>El </w:t>
      </w:r>
      <w:proofErr w:type="spellStart"/>
      <w:r w:rsidRPr="009E1D0E">
        <w:rPr>
          <w:rFonts w:ascii="Open Sans" w:hAnsi="Open Sans"/>
          <w:bCs/>
          <w:i/>
          <w:iCs/>
          <w:color w:val="231F20"/>
          <w:highlight w:val="green"/>
        </w:rPr>
        <w:t>datawarehousing</w:t>
      </w:r>
      <w:proofErr w:type="spellEnd"/>
      <w:r w:rsidRPr="009E1D0E">
        <w:rPr>
          <w:rFonts w:ascii="Open Sans" w:hAnsi="Open Sans"/>
          <w:bCs/>
          <w:color w:val="231F20"/>
          <w:highlight w:val="green"/>
        </w:rPr>
        <w:t xml:space="preserve"> nunca ha sido tan valioso e interesante como es ahora. Tomar decisiones basadas en los datos es tan fundamental y obvio que la generación actual de usuarios de negocio y diseñadores/implementadores de data </w:t>
      </w:r>
      <w:proofErr w:type="spellStart"/>
      <w:r w:rsidRPr="009E1D0E">
        <w:rPr>
          <w:rFonts w:ascii="Open Sans" w:hAnsi="Open Sans"/>
          <w:bCs/>
          <w:color w:val="231F20"/>
          <w:highlight w:val="green"/>
        </w:rPr>
        <w:t>warehouses</w:t>
      </w:r>
      <w:proofErr w:type="spellEnd"/>
      <w:r w:rsidRPr="009E1D0E">
        <w:rPr>
          <w:rFonts w:ascii="Open Sans" w:hAnsi="Open Sans"/>
          <w:bCs/>
          <w:color w:val="231F20"/>
          <w:highlight w:val="green"/>
        </w:rPr>
        <w:t xml:space="preserve"> no podrían imaginar un mundo sin acceso a los datos. </w:t>
      </w:r>
    </w:p>
    <w:p w:rsidR="0049461F" w:rsidRPr="009E1D0E" w:rsidRDefault="0049461F" w:rsidP="00920FE0">
      <w:pPr>
        <w:pStyle w:val="Prrafodelista"/>
        <w:numPr>
          <w:ilvl w:val="0"/>
          <w:numId w:val="8"/>
        </w:numPr>
        <w:rPr>
          <w:rFonts w:ascii="Open Sans" w:hAnsi="Open Sans"/>
          <w:bCs/>
          <w:color w:val="231F20"/>
          <w:highlight w:val="green"/>
        </w:rPr>
      </w:pPr>
      <w:r w:rsidRPr="009E1D0E">
        <w:rPr>
          <w:rFonts w:ascii="Open Sans" w:hAnsi="Open Sans"/>
          <w:bCs/>
          <w:color w:val="231F20"/>
          <w:highlight w:val="green"/>
        </w:rPr>
        <w:t xml:space="preserve">Las bases de datos relacionales son y serán los fundamentos del data </w:t>
      </w:r>
      <w:proofErr w:type="spellStart"/>
      <w:r w:rsidRPr="009E1D0E">
        <w:rPr>
          <w:rFonts w:ascii="Open Sans" w:hAnsi="Open Sans"/>
          <w:bCs/>
          <w:color w:val="231F20"/>
          <w:highlight w:val="green"/>
        </w:rPr>
        <w:t>warehousing</w:t>
      </w:r>
      <w:proofErr w:type="spellEnd"/>
      <w:r w:rsidRPr="009E1D0E">
        <w:rPr>
          <w:rFonts w:ascii="Open Sans" w:hAnsi="Open Sans"/>
          <w:bCs/>
          <w:color w:val="231F20"/>
          <w:highlight w:val="green"/>
        </w:rPr>
        <w:t>.</w:t>
      </w:r>
    </w:p>
    <w:p w:rsidR="0049461F" w:rsidRPr="009E1D0E" w:rsidRDefault="0049461F" w:rsidP="00920FE0">
      <w:pPr>
        <w:pStyle w:val="Prrafodelista"/>
        <w:numPr>
          <w:ilvl w:val="0"/>
          <w:numId w:val="8"/>
        </w:numPr>
        <w:rPr>
          <w:rFonts w:ascii="Open Sans" w:hAnsi="Open Sans"/>
          <w:bCs/>
          <w:color w:val="231F20"/>
          <w:highlight w:val="green"/>
          <w:lang w:val="en-US"/>
        </w:rPr>
      </w:pPr>
      <w:r w:rsidRPr="009E1D0E">
        <w:rPr>
          <w:rFonts w:ascii="Open Sans" w:hAnsi="Open Sans"/>
          <w:bCs/>
          <w:color w:val="231F20"/>
          <w:highlight w:val="green"/>
          <w:lang w:val="en-US"/>
        </w:rPr>
        <w:t>I have remarked many times that a successful data warehouse professional must be interested in three things: the business, the technology, and the business users.</w:t>
      </w:r>
    </w:p>
    <w:p w:rsidR="0049461F" w:rsidRPr="00920FE0" w:rsidRDefault="0049461F" w:rsidP="00920FE0">
      <w:pPr>
        <w:pStyle w:val="Ttulo2"/>
      </w:pPr>
      <w:r w:rsidRPr="00920FE0">
        <w:t>Consejo 176 (</w:t>
      </w:r>
      <w:r w:rsidR="00920FE0" w:rsidRPr="00A0124F">
        <w:t>2015/modelado-dimensional-logico-o-fisico.html</w:t>
      </w:r>
      <w:r w:rsidRPr="00920FE0">
        <w:t>)</w:t>
      </w:r>
    </w:p>
    <w:p w:rsidR="0049461F" w:rsidRPr="009E1D0E" w:rsidRDefault="0049461F" w:rsidP="00920FE0">
      <w:pPr>
        <w:pStyle w:val="Prrafodelista"/>
        <w:numPr>
          <w:ilvl w:val="0"/>
          <w:numId w:val="8"/>
        </w:numPr>
        <w:rPr>
          <w:rFonts w:ascii="Open Sans" w:hAnsi="Open Sans"/>
          <w:bCs/>
          <w:color w:val="231F20"/>
          <w:highlight w:val="green"/>
        </w:rPr>
      </w:pPr>
      <w:r w:rsidRPr="009E1D0E">
        <w:rPr>
          <w:rFonts w:ascii="Open Sans" w:hAnsi="Open Sans"/>
          <w:bCs/>
          <w:color w:val="231F20"/>
          <w:highlight w:val="green"/>
        </w:rPr>
        <w:t xml:space="preserve">El atractivo del </w:t>
      </w:r>
      <w:r w:rsidRPr="009E1D0E">
        <w:rPr>
          <w:rFonts w:ascii="Open Sans" w:hAnsi="Open Sans"/>
          <w:b/>
          <w:bCs/>
          <w:color w:val="231F20"/>
          <w:highlight w:val="green"/>
        </w:rPr>
        <w:t>modelo dimensional</w:t>
      </w:r>
      <w:r w:rsidRPr="009E1D0E">
        <w:rPr>
          <w:rFonts w:ascii="Open Sans" w:hAnsi="Open Sans"/>
          <w:bCs/>
          <w:color w:val="231F20"/>
          <w:highlight w:val="green"/>
        </w:rPr>
        <w:t xml:space="preserve"> reside en </w:t>
      </w:r>
      <w:r w:rsidR="00217C22" w:rsidRPr="009E1D0E">
        <w:rPr>
          <w:rFonts w:ascii="Open Sans" w:hAnsi="Open Sans"/>
          <w:bCs/>
          <w:color w:val="231F20"/>
          <w:highlight w:val="green"/>
        </w:rPr>
        <w:t xml:space="preserve">su </w:t>
      </w:r>
      <w:r w:rsidRPr="009E1D0E">
        <w:rPr>
          <w:rFonts w:ascii="Open Sans" w:hAnsi="Open Sans"/>
          <w:bCs/>
          <w:color w:val="231F20"/>
          <w:highlight w:val="green"/>
        </w:rPr>
        <w:t xml:space="preserve">evidente simplicidad y en la forma natural </w:t>
      </w:r>
      <w:r w:rsidR="00647883" w:rsidRPr="009E1D0E">
        <w:rPr>
          <w:rFonts w:ascii="Open Sans" w:hAnsi="Open Sans"/>
          <w:bCs/>
          <w:color w:val="231F20"/>
          <w:highlight w:val="green"/>
        </w:rPr>
        <w:t xml:space="preserve">en </w:t>
      </w:r>
      <w:r w:rsidRPr="009E1D0E">
        <w:rPr>
          <w:rFonts w:ascii="Open Sans" w:hAnsi="Open Sans"/>
          <w:bCs/>
          <w:color w:val="231F20"/>
          <w:highlight w:val="green"/>
        </w:rPr>
        <w:t>que la gente de negocio y la gente técnica pued</w:t>
      </w:r>
      <w:r w:rsidR="00217C22" w:rsidRPr="009E1D0E">
        <w:rPr>
          <w:rFonts w:ascii="Open Sans" w:hAnsi="Open Sans"/>
          <w:bCs/>
          <w:color w:val="231F20"/>
          <w:highlight w:val="green"/>
        </w:rPr>
        <w:t>e</w:t>
      </w:r>
      <w:r w:rsidRPr="009E1D0E">
        <w:rPr>
          <w:rFonts w:ascii="Open Sans" w:hAnsi="Open Sans"/>
          <w:bCs/>
          <w:color w:val="231F20"/>
          <w:highlight w:val="green"/>
        </w:rPr>
        <w:t xml:space="preserve">n entender </w:t>
      </w:r>
      <w:r w:rsidR="00217C22" w:rsidRPr="009E1D0E">
        <w:rPr>
          <w:rFonts w:ascii="Open Sans" w:hAnsi="Open Sans"/>
          <w:bCs/>
          <w:color w:val="231F20"/>
          <w:highlight w:val="green"/>
        </w:rPr>
        <w:t>su significado</w:t>
      </w:r>
      <w:r w:rsidRPr="009E1D0E">
        <w:rPr>
          <w:rFonts w:ascii="Open Sans" w:hAnsi="Open Sans"/>
          <w:bCs/>
          <w:color w:val="231F20"/>
          <w:highlight w:val="green"/>
        </w:rPr>
        <w:t>.</w:t>
      </w:r>
    </w:p>
    <w:p w:rsidR="0049461F" w:rsidRPr="0049461F" w:rsidRDefault="0049461F" w:rsidP="0049461F"/>
    <w:p w:rsidR="0049461F" w:rsidRDefault="0049461F" w:rsidP="00920FE0">
      <w:pPr>
        <w:pStyle w:val="Ttulo2"/>
      </w:pPr>
      <w:r w:rsidRPr="00551D3F">
        <w:t>Dos ideas potentes (</w:t>
      </w:r>
      <w:r w:rsidR="00920FE0" w:rsidRPr="00551D3F">
        <w:t>2002/dos-ideas-potentes.html</w:t>
      </w:r>
      <w:r w:rsidRPr="00551D3F">
        <w:t>)</w:t>
      </w:r>
    </w:p>
    <w:p w:rsidR="0049461F" w:rsidRPr="009E1D0E" w:rsidRDefault="0049461F" w:rsidP="00920FE0">
      <w:pPr>
        <w:pStyle w:val="Prrafodelista"/>
        <w:numPr>
          <w:ilvl w:val="0"/>
          <w:numId w:val="8"/>
        </w:numPr>
        <w:rPr>
          <w:rFonts w:ascii="Open Sans" w:hAnsi="Open Sans"/>
          <w:bCs/>
          <w:color w:val="231F20"/>
          <w:highlight w:val="green"/>
          <w:lang w:val="en-US"/>
        </w:rPr>
      </w:pPr>
      <w:r w:rsidRPr="009E1D0E">
        <w:rPr>
          <w:rFonts w:ascii="Open Sans" w:hAnsi="Open Sans"/>
          <w:bCs/>
          <w:color w:val="231F20"/>
          <w:highlight w:val="green"/>
          <w:lang w:val="en-US"/>
        </w:rPr>
        <w:t>There are two powerful ideas at the foundation of most successful data warehouses. First, separate your systems. Second, build stars and cubes.</w:t>
      </w:r>
    </w:p>
    <w:p w:rsidR="0049461F" w:rsidRPr="00FD1BAA" w:rsidRDefault="00FD1BAA" w:rsidP="00FD1BAA">
      <w:pPr>
        <w:pStyle w:val="Ttulo2"/>
      </w:pPr>
      <w:r w:rsidRPr="00FD1BAA">
        <w:t>Consejo 172 (2015/kimball-sobre-analisis-predictivo.html)</w:t>
      </w:r>
    </w:p>
    <w:p w:rsidR="00FD1BAA" w:rsidRPr="009E1D0E" w:rsidRDefault="00FD1BAA" w:rsidP="00FD1BAA">
      <w:pPr>
        <w:pStyle w:val="Prrafodelista"/>
        <w:numPr>
          <w:ilvl w:val="0"/>
          <w:numId w:val="8"/>
        </w:numPr>
        <w:rPr>
          <w:rFonts w:ascii="Open Sans" w:hAnsi="Open Sans"/>
          <w:bCs/>
          <w:color w:val="231F20"/>
          <w:highlight w:val="green"/>
        </w:rPr>
      </w:pPr>
      <w:r w:rsidRPr="009E1D0E">
        <w:rPr>
          <w:rFonts w:ascii="Open Sans" w:hAnsi="Open Sans"/>
          <w:bCs/>
          <w:color w:val="231F20"/>
          <w:highlight w:val="green"/>
        </w:rPr>
        <w:t xml:space="preserve">Análisis predictivo es el nombre que recibe una amplia gama de técnicas usadas para hacer predicciones sobre comportamientos futuros. Calificación de crédito, análisis de riesgo, y </w:t>
      </w:r>
      <w:r w:rsidR="0027249F" w:rsidRPr="009E1D0E">
        <w:rPr>
          <w:rFonts w:ascii="Open Sans" w:hAnsi="Open Sans"/>
          <w:bCs/>
          <w:color w:val="231F20"/>
          <w:highlight w:val="green"/>
        </w:rPr>
        <w:t xml:space="preserve">creación de promociones </w:t>
      </w:r>
      <w:r w:rsidRPr="009E1D0E">
        <w:rPr>
          <w:rFonts w:ascii="Open Sans" w:hAnsi="Open Sans"/>
          <w:bCs/>
          <w:color w:val="231F20"/>
          <w:highlight w:val="green"/>
        </w:rPr>
        <w:t xml:space="preserve">están entre las muchas aplicaciones que han </w:t>
      </w:r>
      <w:r w:rsidR="0027249F" w:rsidRPr="009E1D0E">
        <w:rPr>
          <w:rFonts w:ascii="Open Sans" w:hAnsi="Open Sans"/>
          <w:bCs/>
          <w:color w:val="231F20"/>
          <w:highlight w:val="green"/>
        </w:rPr>
        <w:t>demostrado</w:t>
      </w:r>
      <w:r w:rsidRPr="009E1D0E">
        <w:rPr>
          <w:rFonts w:ascii="Open Sans" w:hAnsi="Open Sans"/>
          <w:bCs/>
          <w:color w:val="231F20"/>
          <w:highlight w:val="green"/>
        </w:rPr>
        <w:t xml:space="preserve"> ser útiles para generar ingresos y beneficios.</w:t>
      </w:r>
    </w:p>
    <w:p w:rsidR="00920FE0" w:rsidRPr="00FD1BAA" w:rsidRDefault="00920FE0" w:rsidP="0027249F">
      <w:pPr>
        <w:pStyle w:val="Prrafodelista"/>
        <w:numPr>
          <w:ilvl w:val="0"/>
          <w:numId w:val="8"/>
        </w:numPr>
      </w:pPr>
      <w:r w:rsidRPr="00FD1BAA">
        <w:br w:type="page"/>
      </w:r>
    </w:p>
    <w:p w:rsidR="00551D3F" w:rsidRDefault="00551D3F" w:rsidP="00920FE0">
      <w:pPr>
        <w:pStyle w:val="Ttulo1"/>
      </w:pPr>
      <w:r>
        <w:lastRenderedPageBreak/>
        <w:t xml:space="preserve">Artículos de </w:t>
      </w:r>
      <w:proofErr w:type="spellStart"/>
      <w:r>
        <w:t>Margy</w:t>
      </w:r>
      <w:proofErr w:type="spellEnd"/>
      <w:r>
        <w:t xml:space="preserve"> Ross</w:t>
      </w:r>
    </w:p>
    <w:p w:rsidR="00551D3F" w:rsidRDefault="00551D3F" w:rsidP="003F7688"/>
    <w:p w:rsidR="003F7688" w:rsidRDefault="003F7688" w:rsidP="00920FE0">
      <w:pPr>
        <w:pStyle w:val="Ttulo2"/>
      </w:pPr>
      <w:r>
        <w:t>Consejo 115</w:t>
      </w:r>
      <w:r w:rsidR="00A0124F">
        <w:t xml:space="preserve"> (</w:t>
      </w:r>
      <w:r w:rsidR="00920FE0" w:rsidRPr="003F7688">
        <w:t>2009/ciclo-de-vida-kimball.html</w:t>
      </w:r>
      <w:r w:rsidR="00A0124F">
        <w:t>)</w:t>
      </w:r>
    </w:p>
    <w:p w:rsidR="003F7688" w:rsidRPr="00885239" w:rsidRDefault="003F7688" w:rsidP="00920FE0">
      <w:pPr>
        <w:pStyle w:val="Prrafodelista"/>
        <w:numPr>
          <w:ilvl w:val="0"/>
          <w:numId w:val="8"/>
        </w:numPr>
        <w:rPr>
          <w:rFonts w:ascii="Open Sans" w:hAnsi="Open Sans"/>
          <w:bCs/>
          <w:color w:val="231F20"/>
        </w:rPr>
      </w:pPr>
      <w:r w:rsidRPr="00920FE0">
        <w:rPr>
          <w:rFonts w:ascii="Open Sans" w:hAnsi="Open Sans"/>
          <w:b/>
          <w:bCs/>
          <w:color w:val="231F20"/>
          <w:lang w:val="en-US"/>
        </w:rPr>
        <w:t>Kimball Lifecycle in a Nutshell.</w:t>
      </w:r>
      <w:r w:rsidRPr="00920FE0">
        <w:rPr>
          <w:rFonts w:ascii="Open Sans" w:hAnsi="Open Sans"/>
          <w:bCs/>
          <w:color w:val="231F20"/>
          <w:lang w:val="en-US"/>
        </w:rPr>
        <w:t xml:space="preserve"> </w:t>
      </w:r>
      <w:r w:rsidRPr="00885239">
        <w:rPr>
          <w:rFonts w:ascii="Open Sans" w:hAnsi="Open Sans"/>
          <w:bCs/>
          <w:color w:val="231F20"/>
        </w:rPr>
        <w:t xml:space="preserve">Identificar las necesidades del negocio es una tarea clave en el ciclo de vida </w:t>
      </w:r>
      <w:proofErr w:type="spellStart"/>
      <w:r w:rsidRPr="00885239">
        <w:rPr>
          <w:rFonts w:ascii="Open Sans" w:hAnsi="Open Sans"/>
          <w:bCs/>
          <w:color w:val="231F20"/>
        </w:rPr>
        <w:t>Kimball</w:t>
      </w:r>
      <w:proofErr w:type="spellEnd"/>
      <w:r w:rsidRPr="00885239">
        <w:rPr>
          <w:rFonts w:ascii="Open Sans" w:hAnsi="Open Sans"/>
          <w:bCs/>
          <w:color w:val="231F20"/>
        </w:rPr>
        <w:t xml:space="preserve"> ya que estos descubrimientos dirigen la mayoría de decisiones ascendentes y descendentes.</w:t>
      </w:r>
    </w:p>
    <w:p w:rsidR="003F7688" w:rsidRPr="009E1D0E" w:rsidRDefault="003F7688" w:rsidP="00920FE0">
      <w:pPr>
        <w:pStyle w:val="Prrafodelista"/>
        <w:numPr>
          <w:ilvl w:val="0"/>
          <w:numId w:val="8"/>
        </w:numPr>
        <w:rPr>
          <w:rFonts w:ascii="Open Sans" w:hAnsi="Open Sans"/>
          <w:bCs/>
          <w:color w:val="231F20"/>
          <w:highlight w:val="green"/>
          <w:lang w:val="en-US"/>
        </w:rPr>
      </w:pPr>
      <w:bookmarkStart w:id="0" w:name="_GoBack"/>
      <w:bookmarkEnd w:id="0"/>
      <w:r w:rsidRPr="009E1D0E">
        <w:rPr>
          <w:rFonts w:ascii="Open Sans" w:hAnsi="Open Sans"/>
          <w:b/>
          <w:bCs/>
          <w:color w:val="231F20"/>
          <w:highlight w:val="green"/>
          <w:lang w:val="en-US"/>
        </w:rPr>
        <w:t>Kimball Lifecycle in a Nutshell.</w:t>
      </w:r>
      <w:r w:rsidRPr="009E1D0E">
        <w:rPr>
          <w:rFonts w:ascii="Open Sans" w:hAnsi="Open Sans"/>
          <w:bCs/>
          <w:color w:val="231F20"/>
          <w:highlight w:val="green"/>
          <w:lang w:val="en-US"/>
        </w:rPr>
        <w:t xml:space="preserve"> Iteratively develop the solution in manageable lifecycle increments rather than attempting a Big Bang deliverable</w:t>
      </w:r>
    </w:p>
    <w:p w:rsidR="00551D3F" w:rsidRDefault="00551D3F" w:rsidP="00920FE0">
      <w:pPr>
        <w:pStyle w:val="Ttulo2"/>
      </w:pPr>
      <w:r>
        <w:t>Consejo 135 (</w:t>
      </w:r>
      <w:r w:rsidR="00920FE0" w:rsidRPr="00551D3F">
        <w:rPr>
          <w:rStyle w:val="Textoennegrita"/>
          <w:b w:val="0"/>
          <w:bCs w:val="0"/>
        </w:rPr>
        <w:t>2011/135-dimensiones-conformadas-fundamento-datawarehouse-agil.html</w:t>
      </w:r>
      <w:r>
        <w:t>)</w:t>
      </w:r>
    </w:p>
    <w:p w:rsidR="00551D3F" w:rsidRPr="00885239" w:rsidRDefault="00551D3F" w:rsidP="00920FE0">
      <w:pPr>
        <w:pStyle w:val="Prrafodelista"/>
        <w:numPr>
          <w:ilvl w:val="0"/>
          <w:numId w:val="8"/>
        </w:numPr>
        <w:rPr>
          <w:rFonts w:ascii="Open Sans" w:hAnsi="Open Sans"/>
          <w:b/>
          <w:color w:val="231F20"/>
          <w:shd w:val="clear" w:color="auto" w:fill="FFFFFF"/>
        </w:rPr>
      </w:pPr>
      <w:r w:rsidRPr="00885239">
        <w:rPr>
          <w:rFonts w:ascii="Open Sans" w:hAnsi="Open Sans"/>
          <w:bCs/>
          <w:color w:val="231F20"/>
        </w:rPr>
        <w:t>Definir una dimensión conformada requiere el consenso y compromiso de la organización.</w:t>
      </w:r>
    </w:p>
    <w:p w:rsidR="00551D3F" w:rsidRDefault="00551D3F" w:rsidP="00920FE0">
      <w:pPr>
        <w:pStyle w:val="Ttulo2"/>
      </w:pPr>
      <w:r>
        <w:t>10 reglas esenciales (</w:t>
      </w:r>
      <w:r w:rsidR="00920FE0" w:rsidRPr="00551D3F">
        <w:t>2009/los-10-mandamientos-de-kimball.html</w:t>
      </w:r>
      <w:r>
        <w:t>)</w:t>
      </w:r>
    </w:p>
    <w:p w:rsidR="00551D3F" w:rsidRPr="00920FE0" w:rsidRDefault="00551D3F" w:rsidP="00551D3F">
      <w:pPr>
        <w:pStyle w:val="Prrafodelista"/>
        <w:numPr>
          <w:ilvl w:val="0"/>
          <w:numId w:val="8"/>
        </w:numPr>
        <w:rPr>
          <w:rFonts w:ascii="Open Sans" w:hAnsi="Open Sans"/>
          <w:color w:val="231F20"/>
          <w:shd w:val="clear" w:color="auto" w:fill="FFFFFF"/>
          <w:lang w:val="en-US"/>
        </w:rPr>
      </w:pPr>
      <w:r w:rsidRPr="00920FE0">
        <w:rPr>
          <w:rFonts w:ascii="Open Sans" w:hAnsi="Open Sans"/>
          <w:color w:val="231F20"/>
          <w:shd w:val="clear" w:color="auto" w:fill="FFFFFF"/>
          <w:lang w:val="en-US"/>
        </w:rPr>
        <w:t xml:space="preserve">The 10 Essential Rules of Dimensional Modeling </w:t>
      </w:r>
    </w:p>
    <w:p w:rsidR="00551D3F" w:rsidRPr="00885239" w:rsidRDefault="00551D3F" w:rsidP="00551D3F">
      <w:pPr>
        <w:pStyle w:val="Prrafodelista"/>
        <w:numPr>
          <w:ilvl w:val="0"/>
          <w:numId w:val="8"/>
        </w:numPr>
        <w:rPr>
          <w:rFonts w:ascii="Open Sans" w:hAnsi="Open Sans"/>
          <w:color w:val="231F20"/>
          <w:shd w:val="clear" w:color="auto" w:fill="FFFFFF"/>
        </w:rPr>
      </w:pPr>
      <w:r w:rsidRPr="00885239">
        <w:rPr>
          <w:rFonts w:ascii="Open Sans" w:hAnsi="Open Sans"/>
          <w:color w:val="231F20"/>
          <w:shd w:val="clear" w:color="auto" w:fill="FFFFFF"/>
        </w:rPr>
        <w:t>Regla #1: Cargar los datos atómicos en estructuras dimensionales</w:t>
      </w:r>
    </w:p>
    <w:p w:rsidR="00551D3F" w:rsidRPr="00885239" w:rsidRDefault="00551D3F" w:rsidP="00551D3F">
      <w:pPr>
        <w:pStyle w:val="Prrafodelista"/>
        <w:numPr>
          <w:ilvl w:val="0"/>
          <w:numId w:val="8"/>
        </w:numPr>
        <w:rPr>
          <w:rFonts w:ascii="Open Sans" w:hAnsi="Open Sans"/>
          <w:color w:val="231F20"/>
          <w:shd w:val="clear" w:color="auto" w:fill="FFFFFF"/>
        </w:rPr>
      </w:pPr>
      <w:r w:rsidRPr="00885239">
        <w:rPr>
          <w:rFonts w:ascii="Open Sans" w:hAnsi="Open Sans"/>
          <w:color w:val="231F20"/>
          <w:shd w:val="clear" w:color="auto" w:fill="FFFFFF"/>
        </w:rPr>
        <w:t>Regla #2: Estructura los modelos dimensionales en función de los procesos de negocio</w:t>
      </w:r>
    </w:p>
    <w:p w:rsidR="00885239" w:rsidRDefault="00885239" w:rsidP="00885239">
      <w:pPr>
        <w:pStyle w:val="Ttulo2"/>
      </w:pPr>
      <w:r>
        <w:t>Consejo 166 (</w:t>
      </w:r>
      <w:r w:rsidRPr="00885239">
        <w:t>2014/design-tip-tabla-puente.html</w:t>
      </w:r>
      <w:r>
        <w:t>)</w:t>
      </w:r>
    </w:p>
    <w:p w:rsidR="00885239" w:rsidRDefault="00885239" w:rsidP="00885239">
      <w:pPr>
        <w:pStyle w:val="Prrafodelista"/>
        <w:numPr>
          <w:ilvl w:val="0"/>
          <w:numId w:val="13"/>
        </w:numPr>
      </w:pPr>
      <w:r>
        <w:t>Consejo #166: Tratamiento de las relaciones M-N</w:t>
      </w:r>
    </w:p>
    <w:p w:rsidR="00677A56" w:rsidRDefault="00677A56" w:rsidP="00677A56">
      <w:pPr>
        <w:pStyle w:val="Ttulo2"/>
      </w:pPr>
      <w:r>
        <w:t>Consejo 173 (</w:t>
      </w:r>
      <w:r w:rsidRPr="00677A56">
        <w:t>2015/perfiles-peligrosos.html</w:t>
      </w:r>
      <w:r>
        <w:t>)</w:t>
      </w:r>
    </w:p>
    <w:p w:rsidR="00677A56" w:rsidRPr="00677A56" w:rsidRDefault="00677A56" w:rsidP="00677A56">
      <w:pPr>
        <w:pStyle w:val="Prrafodelista"/>
        <w:numPr>
          <w:ilvl w:val="0"/>
          <w:numId w:val="13"/>
        </w:numPr>
      </w:pPr>
      <w:r>
        <w:t xml:space="preserve">Consejo #173: </w:t>
      </w:r>
      <w:r w:rsidR="00217C22">
        <w:t xml:space="preserve">Los trabajadores </w:t>
      </w:r>
      <w:r w:rsidRPr="00677A56">
        <w:t>peligrosos son un peligro para el negocio</w:t>
      </w:r>
    </w:p>
    <w:p w:rsidR="00677A56" w:rsidRDefault="00677A56" w:rsidP="00677A56">
      <w:pPr>
        <w:pStyle w:val="Ttulo2"/>
      </w:pPr>
      <w:r>
        <w:t>Consejo 177 (</w:t>
      </w:r>
      <w:r w:rsidRPr="00677A56">
        <w:t>2015/design-tip-177-colaboracion.html</w:t>
      </w:r>
      <w:r>
        <w:t>):</w:t>
      </w:r>
    </w:p>
    <w:p w:rsidR="00885239" w:rsidRPr="00885239" w:rsidRDefault="00677A56" w:rsidP="00677A56">
      <w:pPr>
        <w:pStyle w:val="Prrafodelista"/>
        <w:numPr>
          <w:ilvl w:val="0"/>
          <w:numId w:val="13"/>
        </w:numPr>
      </w:pPr>
      <w:r w:rsidRPr="00677A56">
        <w:t>La colaboración va más allá de programar una reunión con las partes interesadas</w:t>
      </w:r>
      <w:r w:rsidR="00217C22">
        <w:t>. C</w:t>
      </w:r>
      <w:r w:rsidRPr="00677A56">
        <w:t>olaborar significa trabajar diferente, involucrar a ambas partes en tomar decisiones.</w:t>
      </w:r>
      <w:r>
        <w:t xml:space="preserve"> </w:t>
      </w:r>
    </w:p>
    <w:p w:rsidR="003F7688" w:rsidRPr="00551D3F" w:rsidRDefault="0049461F" w:rsidP="00920FE0">
      <w:pPr>
        <w:pStyle w:val="Ttulo1"/>
      </w:pPr>
      <w:r>
        <w:t xml:space="preserve">Artículos de </w:t>
      </w:r>
      <w:proofErr w:type="spellStart"/>
      <w:r>
        <w:t>Joy</w:t>
      </w:r>
      <w:proofErr w:type="spellEnd"/>
      <w:r>
        <w:t xml:space="preserve"> </w:t>
      </w:r>
      <w:proofErr w:type="spellStart"/>
      <w:r>
        <w:t>Mundy</w:t>
      </w:r>
      <w:proofErr w:type="spellEnd"/>
    </w:p>
    <w:p w:rsidR="003F7688" w:rsidRPr="00920FE0" w:rsidRDefault="003F7688" w:rsidP="00920FE0">
      <w:pPr>
        <w:pStyle w:val="Ttulo2"/>
      </w:pPr>
      <w:r w:rsidRPr="00920FE0">
        <w:t>Consejo 134</w:t>
      </w:r>
      <w:r w:rsidR="00A0124F" w:rsidRPr="00920FE0">
        <w:t xml:space="preserve"> (</w:t>
      </w:r>
      <w:r w:rsidR="00920FE0" w:rsidRPr="00920FE0">
        <w:t>2011/recomendaciones-testing-datawarehouse.html</w:t>
      </w:r>
      <w:r w:rsidR="00A0124F" w:rsidRPr="00920FE0">
        <w:t>)</w:t>
      </w:r>
    </w:p>
    <w:p w:rsidR="003F7688" w:rsidRPr="003F7688" w:rsidRDefault="003F7688" w:rsidP="003F7688">
      <w:pPr>
        <w:pStyle w:val="Prrafodelista"/>
        <w:numPr>
          <w:ilvl w:val="0"/>
          <w:numId w:val="2"/>
        </w:numPr>
        <w:rPr>
          <w:rStyle w:val="apple-converted-space"/>
          <w:b/>
          <w:lang w:val="en-US"/>
        </w:rPr>
      </w:pPr>
      <w:r w:rsidRPr="003F7688">
        <w:rPr>
          <w:rStyle w:val="Textoennegrita"/>
          <w:rFonts w:ascii="Open Sans" w:hAnsi="Open Sans"/>
          <w:color w:val="231F20"/>
          <w:shd w:val="clear" w:color="auto" w:fill="FFFFFF"/>
          <w:lang w:val="en-US"/>
        </w:rPr>
        <w:t>Test early and often.</w:t>
      </w:r>
      <w:r>
        <w:rPr>
          <w:rStyle w:val="Textoennegrita"/>
          <w:rFonts w:ascii="Open Sans" w:hAnsi="Open Sans"/>
          <w:color w:val="231F20"/>
          <w:shd w:val="clear" w:color="auto" w:fill="FFFFFF"/>
          <w:lang w:val="en-US"/>
        </w:rPr>
        <w:t xml:space="preserve"> </w:t>
      </w:r>
      <w:r>
        <w:rPr>
          <w:rFonts w:ascii="Open Sans" w:hAnsi="Open Sans"/>
          <w:color w:val="231F20"/>
          <w:shd w:val="clear" w:color="auto" w:fill="FFFFFF"/>
          <w:lang w:val="en-US"/>
        </w:rPr>
        <w:t>St</w:t>
      </w:r>
      <w:r w:rsidRPr="003F7688">
        <w:rPr>
          <w:rFonts w:ascii="Open Sans" w:hAnsi="Open Sans"/>
          <w:color w:val="231F20"/>
          <w:shd w:val="clear" w:color="auto" w:fill="FFFFFF"/>
          <w:lang w:val="en-US"/>
        </w:rPr>
        <w:t>art testing as soon as you write a line of code (or connect two boxes in your ETL tool’s user interface). Developers do this all the time, of course, developing and running unit tests to ensure their code does what it’s supposed to do.</w:t>
      </w:r>
      <w:r w:rsidRPr="00920FE0">
        <w:rPr>
          <w:lang w:val="en-US"/>
        </w:rPr>
        <w:t> </w:t>
      </w:r>
    </w:p>
    <w:p w:rsidR="0049461F" w:rsidRDefault="0049461F" w:rsidP="00920FE0">
      <w:pPr>
        <w:pStyle w:val="Ttulo2"/>
      </w:pPr>
      <w:r>
        <w:t>Nombre (</w:t>
      </w:r>
      <w:r w:rsidR="00920FE0">
        <w:t>2014/</w:t>
      </w:r>
      <w:r w:rsidR="00920FE0" w:rsidRPr="00920FE0">
        <w:t xml:space="preserve"> </w:t>
      </w:r>
      <w:r w:rsidR="00920FE0" w:rsidRPr="00551D3F">
        <w:t>que-hay-en-un-nombre.html</w:t>
      </w:r>
      <w:r>
        <w:t>)</w:t>
      </w:r>
    </w:p>
    <w:p w:rsidR="0049461F" w:rsidRPr="00885239" w:rsidRDefault="0049461F" w:rsidP="00920FE0">
      <w:pPr>
        <w:pStyle w:val="Prrafodelista"/>
        <w:numPr>
          <w:ilvl w:val="0"/>
          <w:numId w:val="9"/>
        </w:numPr>
        <w:rPr>
          <w:rFonts w:ascii="Open Sans" w:hAnsi="Open Sans"/>
          <w:color w:val="231F20"/>
          <w:shd w:val="clear" w:color="auto" w:fill="FFFFFF"/>
        </w:rPr>
      </w:pPr>
      <w:r w:rsidRPr="00885239">
        <w:rPr>
          <w:rFonts w:ascii="Open Sans" w:hAnsi="Open Sans"/>
          <w:color w:val="231F20"/>
          <w:shd w:val="clear" w:color="auto" w:fill="FFFFFF"/>
        </w:rPr>
        <w:t xml:space="preserve">Nombrar correctamente tablas y columnas es particularmente importante para </w:t>
      </w:r>
      <w:r w:rsidR="00217C22">
        <w:rPr>
          <w:rFonts w:ascii="Open Sans" w:hAnsi="Open Sans"/>
          <w:color w:val="231F20"/>
          <w:shd w:val="clear" w:color="auto" w:fill="FFFFFF"/>
        </w:rPr>
        <w:t xml:space="preserve">que </w:t>
      </w:r>
      <w:r w:rsidRPr="00885239">
        <w:rPr>
          <w:rFonts w:ascii="Open Sans" w:hAnsi="Open Sans"/>
          <w:color w:val="231F20"/>
          <w:shd w:val="clear" w:color="auto" w:fill="FFFFFF"/>
        </w:rPr>
        <w:t>los usuarios ad hoc del sistema DW/BI puedan encontrar lo que buscan. Los nombres de los objetos deben estar orientados a los usuarios de negocios, no al personal técnico.</w:t>
      </w:r>
    </w:p>
    <w:p w:rsidR="0049461F" w:rsidRDefault="0049461F" w:rsidP="00920FE0">
      <w:pPr>
        <w:pStyle w:val="Ttulo2"/>
      </w:pPr>
      <w:r>
        <w:lastRenderedPageBreak/>
        <w:t>Consejo 158 (</w:t>
      </w:r>
      <w:r w:rsidR="00920FE0" w:rsidRPr="00551D3F">
        <w:t>2013/dar-sentido-capa-semnatica.html</w:t>
      </w:r>
      <w:r>
        <w:t>)</w:t>
      </w:r>
    </w:p>
    <w:p w:rsidR="0049461F" w:rsidRPr="00885239" w:rsidRDefault="0049461F" w:rsidP="0049461F">
      <w:pPr>
        <w:pStyle w:val="Prrafodelista"/>
        <w:numPr>
          <w:ilvl w:val="0"/>
          <w:numId w:val="9"/>
        </w:numPr>
        <w:rPr>
          <w:lang w:val="en-US"/>
        </w:rPr>
      </w:pPr>
      <w:r w:rsidRPr="00551D3F">
        <w:rPr>
          <w:rFonts w:ascii="Open Sans" w:hAnsi="Open Sans"/>
          <w:color w:val="231F20"/>
          <w:shd w:val="clear" w:color="auto" w:fill="FFFFFF"/>
          <w:lang w:val="en-US"/>
        </w:rPr>
        <w:t>The semantic layer provides a translation of the underlying database structures into business user oriented terms and constructs.</w:t>
      </w:r>
    </w:p>
    <w:p w:rsidR="00885239" w:rsidRPr="00885239" w:rsidRDefault="00885239" w:rsidP="00885239">
      <w:pPr>
        <w:pStyle w:val="Ttulo2"/>
      </w:pPr>
      <w:r w:rsidRPr="00885239">
        <w:t xml:space="preserve">Consejo 179 (2015/claves-metodo-kimball.html) </w:t>
      </w:r>
    </w:p>
    <w:p w:rsidR="00885239" w:rsidRDefault="00885239" w:rsidP="00885239">
      <w:pPr>
        <w:pStyle w:val="Prrafodelista"/>
        <w:numPr>
          <w:ilvl w:val="0"/>
          <w:numId w:val="9"/>
        </w:numPr>
        <w:rPr>
          <w:rFonts w:ascii="Open Sans" w:hAnsi="Open Sans"/>
          <w:color w:val="231F20"/>
          <w:shd w:val="clear" w:color="auto" w:fill="FFFFFF"/>
        </w:rPr>
      </w:pPr>
      <w:r w:rsidRPr="00647883">
        <w:rPr>
          <w:rFonts w:ascii="Open Sans" w:hAnsi="Open Sans"/>
          <w:color w:val="231F20"/>
          <w:shd w:val="clear" w:color="auto" w:fill="FFFFFF"/>
        </w:rPr>
        <w:t xml:space="preserve">Me apasionan varios principios del método </w:t>
      </w:r>
      <w:proofErr w:type="spellStart"/>
      <w:r w:rsidRPr="00647883">
        <w:rPr>
          <w:rFonts w:ascii="Open Sans" w:hAnsi="Open Sans"/>
          <w:color w:val="231F20"/>
          <w:shd w:val="clear" w:color="auto" w:fill="FFFFFF"/>
        </w:rPr>
        <w:t>Kimball</w:t>
      </w:r>
      <w:proofErr w:type="spellEnd"/>
      <w:r w:rsidRPr="00647883">
        <w:rPr>
          <w:rFonts w:ascii="Open Sans" w:hAnsi="Open Sans"/>
          <w:color w:val="231F20"/>
          <w:shd w:val="clear" w:color="auto" w:fill="FFFFFF"/>
        </w:rPr>
        <w:t xml:space="preserve">. </w:t>
      </w:r>
      <w:r w:rsidRPr="00885239">
        <w:rPr>
          <w:rFonts w:ascii="Open Sans" w:hAnsi="Open Sans"/>
          <w:color w:val="231F20"/>
          <w:shd w:val="clear" w:color="auto" w:fill="FFFFFF"/>
        </w:rPr>
        <w:t>En este art</w:t>
      </w:r>
      <w:r>
        <w:rPr>
          <w:rFonts w:ascii="Open Sans" w:hAnsi="Open Sans"/>
          <w:color w:val="231F20"/>
          <w:shd w:val="clear" w:color="auto" w:fill="FFFFFF"/>
        </w:rPr>
        <w:t xml:space="preserve">ículo </w:t>
      </w:r>
      <w:r w:rsidRPr="00885239">
        <w:rPr>
          <w:rFonts w:ascii="Open Sans" w:hAnsi="Open Sans"/>
          <w:color w:val="231F20"/>
          <w:shd w:val="clear" w:color="auto" w:fill="FFFFFF"/>
        </w:rPr>
        <w:t>enumero las cosas que repito una y otra vez, tanto a las audiencias experimentadas como a las nuevas.</w:t>
      </w:r>
    </w:p>
    <w:p w:rsidR="00885239" w:rsidRDefault="00885239" w:rsidP="00885239">
      <w:pPr>
        <w:pStyle w:val="Prrafodelista"/>
        <w:numPr>
          <w:ilvl w:val="0"/>
          <w:numId w:val="9"/>
        </w:numPr>
        <w:rPr>
          <w:rFonts w:ascii="Open Sans" w:hAnsi="Open Sans"/>
          <w:color w:val="231F20"/>
          <w:shd w:val="clear" w:color="auto" w:fill="FFFFFF"/>
        </w:rPr>
      </w:pPr>
      <w:r>
        <w:rPr>
          <w:rFonts w:ascii="Open Sans" w:hAnsi="Open Sans"/>
          <w:color w:val="231F20"/>
          <w:shd w:val="clear" w:color="auto" w:fill="FFFFFF"/>
        </w:rPr>
        <w:t xml:space="preserve">Consejo #179: Principios clave del método </w:t>
      </w:r>
      <w:proofErr w:type="spellStart"/>
      <w:r>
        <w:rPr>
          <w:rFonts w:ascii="Open Sans" w:hAnsi="Open Sans"/>
          <w:color w:val="231F20"/>
          <w:shd w:val="clear" w:color="auto" w:fill="FFFFFF"/>
        </w:rPr>
        <w:t>Kimball</w:t>
      </w:r>
      <w:proofErr w:type="spellEnd"/>
      <w:r>
        <w:rPr>
          <w:rFonts w:ascii="Open Sans" w:hAnsi="Open Sans"/>
          <w:color w:val="231F20"/>
          <w:shd w:val="clear" w:color="auto" w:fill="FFFFFF"/>
        </w:rPr>
        <w:t xml:space="preserve">  </w:t>
      </w:r>
    </w:p>
    <w:p w:rsidR="002E4050" w:rsidRDefault="002E4050" w:rsidP="002E4050">
      <w:pPr>
        <w:pStyle w:val="Ttulo2"/>
        <w:rPr>
          <w:shd w:val="clear" w:color="auto" w:fill="FFFFFF"/>
        </w:rPr>
      </w:pPr>
      <w:r>
        <w:rPr>
          <w:shd w:val="clear" w:color="auto" w:fill="FFFFFF"/>
        </w:rPr>
        <w:t>Consejo 175 (</w:t>
      </w:r>
      <w:r w:rsidRPr="002E4050">
        <w:rPr>
          <w:shd w:val="clear" w:color="auto" w:fill="FFFFFF"/>
        </w:rPr>
        <w:t>2015/design-tip-177-colaboracion.html</w:t>
      </w:r>
      <w:r>
        <w:rPr>
          <w:shd w:val="clear" w:color="auto" w:fill="FFFFFF"/>
        </w:rPr>
        <w:t>)</w:t>
      </w:r>
    </w:p>
    <w:p w:rsidR="002E4050" w:rsidRDefault="002E4050" w:rsidP="002E4050">
      <w:pPr>
        <w:pStyle w:val="Prrafodelista"/>
        <w:numPr>
          <w:ilvl w:val="0"/>
          <w:numId w:val="15"/>
        </w:numPr>
        <w:rPr>
          <w:lang w:val="en-US"/>
        </w:rPr>
      </w:pPr>
      <w:r w:rsidRPr="002E4050">
        <w:rPr>
          <w:lang w:val="en-US"/>
        </w:rPr>
        <w:t>An ever-growing set of data storage technologies offer advantages to the data warehouse architect that look pretty magical. How can you figure out what to do? Should you stick to the tried-and-true relational databases to host your data warehouse?</w:t>
      </w:r>
    </w:p>
    <w:p w:rsidR="002E4050" w:rsidRDefault="002E4050" w:rsidP="002E4050">
      <w:pPr>
        <w:pStyle w:val="Ttulo2"/>
      </w:pPr>
      <w:r>
        <w:t>Consejo 171 (</w:t>
      </w:r>
      <w:r w:rsidRPr="002E4050">
        <w:t>2015/desatacagar-la-cargas-hechos-claves-subrogadas.html</w:t>
      </w:r>
      <w:r>
        <w:t>)</w:t>
      </w:r>
    </w:p>
    <w:p w:rsidR="002E4050" w:rsidRPr="00647883" w:rsidRDefault="002E4050" w:rsidP="002E4050">
      <w:pPr>
        <w:pStyle w:val="Prrafodelista"/>
        <w:numPr>
          <w:ilvl w:val="0"/>
          <w:numId w:val="15"/>
        </w:numPr>
      </w:pPr>
      <w:r w:rsidRPr="00647883">
        <w:t>Es absolutamente imperativo que cada fila de la tabla de hechos tenga una fila correspondiente en cada tabla dimensional.</w:t>
      </w:r>
    </w:p>
    <w:p w:rsidR="0049461F" w:rsidRPr="00920FE0" w:rsidRDefault="0049461F" w:rsidP="00920FE0">
      <w:pPr>
        <w:pStyle w:val="Ttulo1"/>
      </w:pPr>
      <w:r w:rsidRPr="00920FE0">
        <w:t>Artículos de Bob Becker</w:t>
      </w:r>
    </w:p>
    <w:p w:rsidR="003F7688" w:rsidRPr="00920FE0" w:rsidRDefault="003F7688" w:rsidP="00920FE0">
      <w:pPr>
        <w:pStyle w:val="Ttulo2"/>
      </w:pPr>
      <w:r w:rsidRPr="00920FE0">
        <w:t xml:space="preserve">Seis </w:t>
      </w:r>
      <w:proofErr w:type="spellStart"/>
      <w:r w:rsidRPr="00920FE0">
        <w:t>decisions</w:t>
      </w:r>
      <w:proofErr w:type="spellEnd"/>
      <w:r w:rsidRPr="00920FE0">
        <w:t xml:space="preserve"> clave</w:t>
      </w:r>
      <w:r w:rsidR="00A0124F" w:rsidRPr="00920FE0">
        <w:t xml:space="preserve"> (</w:t>
      </w:r>
      <w:r w:rsidR="00920FE0" w:rsidRPr="003F7688">
        <w:t>2009/seis-claves-para-elegir-arquitectura-etl.html</w:t>
      </w:r>
      <w:r w:rsidR="00A0124F" w:rsidRPr="00920FE0">
        <w:t>)</w:t>
      </w:r>
    </w:p>
    <w:p w:rsidR="003F7688" w:rsidRPr="00885239" w:rsidRDefault="00920FE0" w:rsidP="00920FE0">
      <w:pPr>
        <w:pStyle w:val="Prrafodelista"/>
        <w:numPr>
          <w:ilvl w:val="0"/>
          <w:numId w:val="9"/>
        </w:numPr>
        <w:rPr>
          <w:lang w:val="en-US"/>
        </w:rPr>
      </w:pPr>
      <w:r w:rsidRPr="00920FE0">
        <w:rPr>
          <w:lang w:val="en-US"/>
        </w:rPr>
        <w:t>I</w:t>
      </w:r>
      <w:r w:rsidR="003F7688" w:rsidRPr="00920FE0">
        <w:rPr>
          <w:lang w:val="en-US"/>
        </w:rPr>
        <w:t xml:space="preserve">f your proposed ETL development team is comprised of a number of old-school hand coders, they might not adapt well to an ETL tool. </w:t>
      </w:r>
      <w:r w:rsidR="003F7688" w:rsidRPr="00885239">
        <w:rPr>
          <w:lang w:val="en-US"/>
        </w:rPr>
        <w:t>For this reason alone, some organizations find that custom ETL development is still a reasonable solution.</w:t>
      </w:r>
    </w:p>
    <w:p w:rsidR="003F7688" w:rsidRDefault="003F7688" w:rsidP="00920FE0">
      <w:pPr>
        <w:pStyle w:val="Prrafodelista"/>
        <w:numPr>
          <w:ilvl w:val="0"/>
          <w:numId w:val="9"/>
        </w:numPr>
      </w:pPr>
      <w:r w:rsidRPr="00920FE0">
        <w:t>En la mayoría de organizaciones es suficiente realizar actualizaciones diarias para la mayoría de procesos ETL.</w:t>
      </w:r>
    </w:p>
    <w:p w:rsidR="0027249F" w:rsidRDefault="0027249F" w:rsidP="0027249F">
      <w:pPr>
        <w:pStyle w:val="Ttulo2"/>
      </w:pPr>
      <w:proofErr w:type="spellStart"/>
      <w:r>
        <w:t>Analytical</w:t>
      </w:r>
      <w:proofErr w:type="spellEnd"/>
      <w:r>
        <w:t xml:space="preserve"> </w:t>
      </w:r>
      <w:proofErr w:type="spellStart"/>
      <w:r>
        <w:t>sandbox</w:t>
      </w:r>
      <w:proofErr w:type="spellEnd"/>
      <w:r>
        <w:t xml:space="preserve"> (</w:t>
      </w:r>
      <w:r w:rsidRPr="0027249F">
        <w:t>/2015/cajas-analiticas.html</w:t>
      </w:r>
      <w:r>
        <w:t>)</w:t>
      </w:r>
    </w:p>
    <w:p w:rsidR="0027249F" w:rsidRDefault="0027249F" w:rsidP="0027249F">
      <w:pPr>
        <w:pStyle w:val="Prrafodelista"/>
        <w:numPr>
          <w:ilvl w:val="0"/>
          <w:numId w:val="8"/>
        </w:numPr>
        <w:rPr>
          <w:rFonts w:ascii="Open Sans" w:hAnsi="Open Sans"/>
          <w:bCs/>
          <w:color w:val="231F20"/>
        </w:rPr>
      </w:pPr>
      <w:r>
        <w:rPr>
          <w:rFonts w:ascii="Open Sans" w:hAnsi="Open Sans"/>
          <w:bCs/>
          <w:color w:val="231F20"/>
        </w:rPr>
        <w:t xml:space="preserve">Un </w:t>
      </w:r>
      <w:proofErr w:type="spellStart"/>
      <w:r>
        <w:rPr>
          <w:rFonts w:ascii="Open Sans" w:hAnsi="Open Sans"/>
          <w:bCs/>
          <w:color w:val="231F20"/>
        </w:rPr>
        <w:t>sandbox</w:t>
      </w:r>
      <w:proofErr w:type="spellEnd"/>
      <w:r>
        <w:rPr>
          <w:rFonts w:ascii="Open Sans" w:hAnsi="Open Sans"/>
          <w:bCs/>
          <w:color w:val="231F20"/>
        </w:rPr>
        <w:t xml:space="preserve"> analítico p</w:t>
      </w:r>
      <w:r w:rsidRPr="0027249F">
        <w:rPr>
          <w:rFonts w:ascii="Open Sans" w:hAnsi="Open Sans"/>
          <w:bCs/>
          <w:color w:val="231F20"/>
        </w:rPr>
        <w:t>roporciona el entorno y los recursos requeridos para apoyar las capacidades analíticas experimentales o de desarrollo</w:t>
      </w:r>
    </w:p>
    <w:p w:rsidR="0027249F" w:rsidRDefault="0027249F" w:rsidP="0027249F">
      <w:pPr>
        <w:pStyle w:val="Ttulo2"/>
      </w:pPr>
      <w:r>
        <w:t>Consejo 178 (</w:t>
      </w:r>
      <w:r w:rsidRPr="0027249F">
        <w:t>2015/conceptos-probados-y-ciertos-datawarehouse-businessintelligence.html</w:t>
      </w:r>
      <w:r>
        <w:t>)</w:t>
      </w:r>
    </w:p>
    <w:p w:rsidR="0027249F" w:rsidRPr="0027249F" w:rsidRDefault="0027249F" w:rsidP="0027249F">
      <w:pPr>
        <w:pStyle w:val="Prrafodelista"/>
        <w:numPr>
          <w:ilvl w:val="0"/>
          <w:numId w:val="8"/>
        </w:numPr>
      </w:pPr>
      <w:r w:rsidRPr="0027249F">
        <w:rPr>
          <w:rFonts w:ascii="Open Sans" w:hAnsi="Open Sans"/>
          <w:bCs/>
          <w:color w:val="231F20"/>
        </w:rPr>
        <w:t xml:space="preserve">El tiempo pasa y pronto llegará la jubilación colectiva del </w:t>
      </w:r>
      <w:proofErr w:type="spellStart"/>
      <w:r w:rsidRPr="0027249F">
        <w:rPr>
          <w:rFonts w:ascii="Open Sans" w:hAnsi="Open Sans"/>
          <w:bCs/>
          <w:color w:val="231F20"/>
        </w:rPr>
        <w:t>Kimball</w:t>
      </w:r>
      <w:proofErr w:type="spellEnd"/>
      <w:r w:rsidRPr="0027249F">
        <w:rPr>
          <w:rFonts w:ascii="Open Sans" w:hAnsi="Open Sans"/>
          <w:bCs/>
          <w:color w:val="231F20"/>
        </w:rPr>
        <w:t xml:space="preserve"> </w:t>
      </w:r>
      <w:proofErr w:type="spellStart"/>
      <w:r w:rsidRPr="0027249F">
        <w:rPr>
          <w:rFonts w:ascii="Open Sans" w:hAnsi="Open Sans"/>
          <w:bCs/>
          <w:color w:val="231F20"/>
        </w:rPr>
        <w:t>Group</w:t>
      </w:r>
      <w:proofErr w:type="spellEnd"/>
      <w:r w:rsidRPr="0027249F">
        <w:rPr>
          <w:rFonts w:ascii="Open Sans" w:hAnsi="Open Sans"/>
          <w:bCs/>
          <w:color w:val="231F20"/>
        </w:rPr>
        <w:t>. A finales de 2015 nos jubilaremos. En mi último "Consejo de diseño" me gustaría compartir la perspectiva para el éxito del DW/BI que he alcanzado durante mis 26 años en el negocio del data warehouse/</w:t>
      </w:r>
      <w:proofErr w:type="spellStart"/>
      <w:r w:rsidRPr="0027249F">
        <w:rPr>
          <w:rFonts w:ascii="Open Sans" w:hAnsi="Open Sans"/>
          <w:bCs/>
          <w:color w:val="231F20"/>
        </w:rPr>
        <w:t>business</w:t>
      </w:r>
      <w:proofErr w:type="spellEnd"/>
      <w:r w:rsidRPr="0027249F">
        <w:rPr>
          <w:rFonts w:ascii="Open Sans" w:hAnsi="Open Sans"/>
          <w:bCs/>
          <w:color w:val="231F20"/>
        </w:rPr>
        <w:t xml:space="preserve"> </w:t>
      </w:r>
      <w:proofErr w:type="spellStart"/>
      <w:r w:rsidRPr="0027249F">
        <w:rPr>
          <w:rFonts w:ascii="Open Sans" w:hAnsi="Open Sans"/>
          <w:bCs/>
          <w:color w:val="231F20"/>
        </w:rPr>
        <w:t>intelligence</w:t>
      </w:r>
      <w:proofErr w:type="spellEnd"/>
      <w:r w:rsidRPr="0027249F">
        <w:rPr>
          <w:rFonts w:ascii="Open Sans" w:hAnsi="Open Sans"/>
          <w:bCs/>
          <w:color w:val="231F20"/>
        </w:rPr>
        <w:t>.</w:t>
      </w:r>
    </w:p>
    <w:p w:rsidR="0027249F" w:rsidRPr="00885239" w:rsidRDefault="0027249F" w:rsidP="0027249F">
      <w:pPr>
        <w:pStyle w:val="Prrafodelista"/>
        <w:numPr>
          <w:ilvl w:val="0"/>
          <w:numId w:val="8"/>
        </w:numPr>
        <w:rPr>
          <w:lang w:val="en-US"/>
        </w:rPr>
      </w:pPr>
      <w:r w:rsidRPr="0027249F">
        <w:rPr>
          <w:rFonts w:ascii="Open Sans" w:hAnsi="Open Sans"/>
          <w:color w:val="231F20"/>
          <w:shd w:val="clear" w:color="auto" w:fill="FFFFFF"/>
          <w:lang w:val="en-US"/>
        </w:rPr>
        <w:t>My suggestion for ongoing success is to keep your eyes wide open and constantly focus on the basics – the fundamental blocking and tackling of data warehousing</w:t>
      </w:r>
    </w:p>
    <w:p w:rsidR="0027249F" w:rsidRPr="00885239" w:rsidRDefault="00885239" w:rsidP="00885239">
      <w:pPr>
        <w:pStyle w:val="Ttulo2"/>
      </w:pPr>
      <w:r w:rsidRPr="00885239">
        <w:lastRenderedPageBreak/>
        <w:t>Consejo 167 (/2014/tipos-tablas-de-hecho.html)</w:t>
      </w:r>
    </w:p>
    <w:p w:rsidR="00885239" w:rsidRDefault="00885239" w:rsidP="00885239">
      <w:pPr>
        <w:pStyle w:val="Prrafodelista"/>
        <w:numPr>
          <w:ilvl w:val="0"/>
          <w:numId w:val="14"/>
        </w:numPr>
      </w:pPr>
      <w:r>
        <w:t>“</w:t>
      </w:r>
      <w:r w:rsidRPr="00885239">
        <w:t>Hay tres tipos fundamentales de tablas de hechos en el área de presentación del data warehouse</w:t>
      </w:r>
      <w:r>
        <w:t>”</w:t>
      </w:r>
    </w:p>
    <w:p w:rsidR="002E4050" w:rsidRDefault="002E4050" w:rsidP="002E4050">
      <w:pPr>
        <w:pStyle w:val="Ttulo1"/>
      </w:pPr>
      <w:r>
        <w:t xml:space="preserve">Artículos de Warren </w:t>
      </w:r>
      <w:proofErr w:type="spellStart"/>
      <w:r>
        <w:t>Thornthwaite</w:t>
      </w:r>
      <w:proofErr w:type="spellEnd"/>
    </w:p>
    <w:p w:rsidR="002E4050" w:rsidRDefault="002E4050" w:rsidP="002E4050">
      <w:pPr>
        <w:pStyle w:val="Ttulo2"/>
      </w:pPr>
      <w:r>
        <w:t>Consejo 107  (</w:t>
      </w:r>
      <w:r w:rsidRPr="002E4050">
        <w:t>2008/sql-merge-para-la-carga-de-dimensiones-variacino.lenta.html</w:t>
      </w:r>
      <w:r>
        <w:t>)</w:t>
      </w:r>
    </w:p>
    <w:p w:rsidR="002E4050" w:rsidRPr="002E4050" w:rsidRDefault="002E4050" w:rsidP="002E4050">
      <w:pPr>
        <w:pStyle w:val="Prrafodelista"/>
        <w:numPr>
          <w:ilvl w:val="0"/>
          <w:numId w:val="14"/>
        </w:numPr>
      </w:pPr>
      <w:r w:rsidRPr="002E4050">
        <w:t>La gran ventaja de la orden MERGE es que es capaz de llevar a cabo múltiples acciones en una sola transferencia de datos, sin requerir múltiples transferencias con inserciones y actualizaciones separadas. Un optimizador bien preparado podría llevar a cabo esto con extrema eficiencia.</w:t>
      </w:r>
    </w:p>
    <w:sectPr w:rsidR="002E4050" w:rsidRPr="002E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316"/>
    <w:multiLevelType w:val="hybridMultilevel"/>
    <w:tmpl w:val="F418F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82694"/>
    <w:multiLevelType w:val="hybridMultilevel"/>
    <w:tmpl w:val="620AA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93670E"/>
    <w:multiLevelType w:val="hybridMultilevel"/>
    <w:tmpl w:val="C316C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73083"/>
    <w:multiLevelType w:val="hybridMultilevel"/>
    <w:tmpl w:val="B3C04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57507"/>
    <w:multiLevelType w:val="hybridMultilevel"/>
    <w:tmpl w:val="9EDAA1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7E06E7E"/>
    <w:multiLevelType w:val="hybridMultilevel"/>
    <w:tmpl w:val="3424D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01E92"/>
    <w:multiLevelType w:val="hybridMultilevel"/>
    <w:tmpl w:val="4F96C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E83150"/>
    <w:multiLevelType w:val="hybridMultilevel"/>
    <w:tmpl w:val="11205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726B2F"/>
    <w:multiLevelType w:val="hybridMultilevel"/>
    <w:tmpl w:val="958A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7A0193"/>
    <w:multiLevelType w:val="hybridMultilevel"/>
    <w:tmpl w:val="8196C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7665BA"/>
    <w:multiLevelType w:val="hybridMultilevel"/>
    <w:tmpl w:val="A5DA1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1634BC"/>
    <w:multiLevelType w:val="hybridMultilevel"/>
    <w:tmpl w:val="B3264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7B2DCE"/>
    <w:multiLevelType w:val="hybridMultilevel"/>
    <w:tmpl w:val="C284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0374A7"/>
    <w:multiLevelType w:val="hybridMultilevel"/>
    <w:tmpl w:val="DADCE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747F81"/>
    <w:multiLevelType w:val="hybridMultilevel"/>
    <w:tmpl w:val="BB425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0"/>
  </w:num>
  <w:num w:numId="4">
    <w:abstractNumId w:val="5"/>
  </w:num>
  <w:num w:numId="5">
    <w:abstractNumId w:val="2"/>
  </w:num>
  <w:num w:numId="6">
    <w:abstractNumId w:val="11"/>
  </w:num>
  <w:num w:numId="7">
    <w:abstractNumId w:val="1"/>
  </w:num>
  <w:num w:numId="8">
    <w:abstractNumId w:val="6"/>
  </w:num>
  <w:num w:numId="9">
    <w:abstractNumId w:val="12"/>
  </w:num>
  <w:num w:numId="10">
    <w:abstractNumId w:val="10"/>
  </w:num>
  <w:num w:numId="11">
    <w:abstractNumId w:val="13"/>
  </w:num>
  <w:num w:numId="12">
    <w:abstractNumId w:val="4"/>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8"/>
    <w:rsid w:val="00217C22"/>
    <w:rsid w:val="0027249F"/>
    <w:rsid w:val="002E4050"/>
    <w:rsid w:val="003F7688"/>
    <w:rsid w:val="0049461F"/>
    <w:rsid w:val="00551D3F"/>
    <w:rsid w:val="005F6844"/>
    <w:rsid w:val="00647883"/>
    <w:rsid w:val="00677A56"/>
    <w:rsid w:val="00885239"/>
    <w:rsid w:val="00920FE0"/>
    <w:rsid w:val="009E1D0E"/>
    <w:rsid w:val="00A0124F"/>
    <w:rsid w:val="00D920CF"/>
    <w:rsid w:val="00F03178"/>
    <w:rsid w:val="00FD1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FA15B-F1CE-4689-A6A2-AA4FA8F8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7C22"/>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51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6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F7688"/>
    <w:pPr>
      <w:ind w:left="720"/>
      <w:contextualSpacing/>
    </w:pPr>
  </w:style>
  <w:style w:type="paragraph" w:styleId="Ttulo">
    <w:name w:val="Title"/>
    <w:basedOn w:val="Normal"/>
    <w:next w:val="Normal"/>
    <w:link w:val="TtuloCar"/>
    <w:uiPriority w:val="10"/>
    <w:qFormat/>
    <w:rsid w:val="003F7688"/>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688"/>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3F7688"/>
    <w:rPr>
      <w:b/>
      <w:bCs/>
    </w:rPr>
  </w:style>
  <w:style w:type="character" w:customStyle="1" w:styleId="apple-converted-space">
    <w:name w:val="apple-converted-space"/>
    <w:basedOn w:val="Fuentedeprrafopredeter"/>
    <w:rsid w:val="003F7688"/>
  </w:style>
  <w:style w:type="character" w:styleId="nfasis">
    <w:name w:val="Emphasis"/>
    <w:basedOn w:val="Fuentedeprrafopredeter"/>
    <w:uiPriority w:val="20"/>
    <w:qFormat/>
    <w:rsid w:val="00A0124F"/>
    <w:rPr>
      <w:i/>
      <w:iCs/>
    </w:rPr>
  </w:style>
  <w:style w:type="character" w:customStyle="1" w:styleId="Ttulo3Car">
    <w:name w:val="Título 3 Car"/>
    <w:basedOn w:val="Fuentedeprrafopredeter"/>
    <w:link w:val="Ttulo3"/>
    <w:uiPriority w:val="9"/>
    <w:rsid w:val="00551D3F"/>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217C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98859">
      <w:bodyDiv w:val="1"/>
      <w:marLeft w:val="0"/>
      <w:marRight w:val="0"/>
      <w:marTop w:val="0"/>
      <w:marBottom w:val="0"/>
      <w:divBdr>
        <w:top w:val="none" w:sz="0" w:space="0" w:color="auto"/>
        <w:left w:val="none" w:sz="0" w:space="0" w:color="auto"/>
        <w:bottom w:val="none" w:sz="0" w:space="0" w:color="auto"/>
        <w:right w:val="none" w:sz="0" w:space="0" w:color="auto"/>
      </w:divBdr>
    </w:div>
    <w:div w:id="629438128">
      <w:bodyDiv w:val="1"/>
      <w:marLeft w:val="0"/>
      <w:marRight w:val="0"/>
      <w:marTop w:val="0"/>
      <w:marBottom w:val="0"/>
      <w:divBdr>
        <w:top w:val="none" w:sz="0" w:space="0" w:color="auto"/>
        <w:left w:val="none" w:sz="0" w:space="0" w:color="auto"/>
        <w:bottom w:val="none" w:sz="0" w:space="0" w:color="auto"/>
        <w:right w:val="none" w:sz="0" w:space="0" w:color="auto"/>
      </w:divBdr>
    </w:div>
    <w:div w:id="945229582">
      <w:bodyDiv w:val="1"/>
      <w:marLeft w:val="0"/>
      <w:marRight w:val="0"/>
      <w:marTop w:val="0"/>
      <w:marBottom w:val="0"/>
      <w:divBdr>
        <w:top w:val="none" w:sz="0" w:space="0" w:color="auto"/>
        <w:left w:val="none" w:sz="0" w:space="0" w:color="auto"/>
        <w:bottom w:val="none" w:sz="0" w:space="0" w:color="auto"/>
        <w:right w:val="none" w:sz="0" w:space="0" w:color="auto"/>
      </w:divBdr>
    </w:div>
    <w:div w:id="1065877623">
      <w:bodyDiv w:val="1"/>
      <w:marLeft w:val="0"/>
      <w:marRight w:val="0"/>
      <w:marTop w:val="0"/>
      <w:marBottom w:val="0"/>
      <w:divBdr>
        <w:top w:val="none" w:sz="0" w:space="0" w:color="auto"/>
        <w:left w:val="none" w:sz="0" w:space="0" w:color="auto"/>
        <w:bottom w:val="none" w:sz="0" w:space="0" w:color="auto"/>
        <w:right w:val="none" w:sz="0" w:space="0" w:color="auto"/>
      </w:divBdr>
    </w:div>
    <w:div w:id="1547643291">
      <w:bodyDiv w:val="1"/>
      <w:marLeft w:val="0"/>
      <w:marRight w:val="0"/>
      <w:marTop w:val="0"/>
      <w:marBottom w:val="0"/>
      <w:divBdr>
        <w:top w:val="none" w:sz="0" w:space="0" w:color="auto"/>
        <w:left w:val="none" w:sz="0" w:space="0" w:color="auto"/>
        <w:bottom w:val="none" w:sz="0" w:space="0" w:color="auto"/>
        <w:right w:val="none" w:sz="0" w:space="0" w:color="auto"/>
      </w:divBdr>
    </w:div>
    <w:div w:id="203249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922</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Urquizu</dc:creator>
  <cp:keywords/>
  <dc:description/>
  <cp:lastModifiedBy>Pau Urquizu</cp:lastModifiedBy>
  <cp:revision>8</cp:revision>
  <dcterms:created xsi:type="dcterms:W3CDTF">2017-01-01T17:21:00Z</dcterms:created>
  <dcterms:modified xsi:type="dcterms:W3CDTF">2017-04-10T13:55:00Z</dcterms:modified>
</cp:coreProperties>
</file>