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AFRICA HISTORY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anciennement EthniAfrica</w:t>
      </w:r>
    </w:p>
    <w:p>
      <w:pPr>
        <w:spacing w:after="80"/>
      </w:pPr>
    </w:p>
    <w:p>
      <w:pPr>
        <w:pBdr>
          <w:bottom w:val="single" w:color="1B4F72" w:sz="6" w:space="1"/>
        </w:pBdr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Onboarding Projet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Méthodologie BMad Method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18 avril 2026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Méthodologie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BMad Method (workflow de planification structuré, phases numérotées)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Dépôt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ethniafrica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Branche de travail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recette (base : main)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Livrables planification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_bmad-output/planning-artifacts/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Contexte IA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_bmad-output/project-context.md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Règles techniques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/CLAUDE.md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Vue d’ensemble des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560"/>
        <w:gridCol w:w="16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— Analysis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 Brief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product-brief-vision.md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13/04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— Planning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prd.md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15/04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— Solutioning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UX Design Spec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ux-design-specification.md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15/04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— Solutioning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15/04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— Solutioning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Epics &amp; Stories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epics.md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17/04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— Solutioning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Readiness Report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implementation-readiness-report-2026-04-15.md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 15/04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— Impl.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planning + dev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_bmad-output/implementation-artifacts/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⏳ À venir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1"/>
          <w:szCs w:val="21"/>
        </w:rPr>
        <w:t xml:space="preserve">Tous les fichiers ci-dessus se trouvent dans _bmad-output/planning-artifacts/ sauf mention contraire.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 — Analysis (Vision &amp; Concept)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product-brief-vision.md (140 lignes, FR) — version condensée : product-brief-vision.distillate.md (110 lignes)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Points clés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Pourquoi ce projet existe.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Les encyclopédies actuelles (Wikipedia, Britannica) reproduisent une grammaire coloniale : exonymes par défaut, classifications figées, frontières naturalisées. Africa History inverse cette grammaire.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Triptyque éditorial : </w:t>
      </w: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Noms · Liens · Regards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× 3 modes d’accès : </w:t>
      </w: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Explorer · Comprendre · Jouer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Audience cible (par ordre de priorité)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Public africain continental — collégiens, lycéens, étudiants, enseignants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Diaspora africaine — quête identitaire, transmission familiale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Pas les académiques ni les curieux occidentaux en priorité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Fondations existantes (avril 2026)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924 fiches peuples, 24 familles linguistiques, 55 pays. Hiérarchie AFRIK : FLG → Langue → Peuple → Pays. API v2 publique en production (Next.js 16 + Supabase + OpenAPI). Page pays avec design system «Carte vivante». Migration V1→V2 terminée, FR-only.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Risque #1 identifié.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Les 924 fiches sont structurellement complètes mais factuellement non auditées (enrichissement IA-assisté). Cas détectés : PPL_TOKELAU_FAUXEX, 8 doublons non résolus, 6 mismatches FLG, 5 fiches population=0. Réponse : Module #0 «Sources &amp; Vérification».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Principes non négociables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gratuit, open data (CC-BY-SA), pas de monétisation, décolonial, mobile-first, sources traçables, français d’abord.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Métriques de succès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≥80% fiches avec 2+ sources vérifiées à 2 ans, &gt;60% trafic Afrique + diaspora, adoption éducative, réutilisation open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 — Planning (PRD)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prd.md (755 lignes, EN) — Classification : web_app + api_backend, domaine edtech + cultural-heritage, complexité high, contexte brownfield.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46 exigences fonctionnelles (FR1–FR46)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Content Discovery &amp; Exploration (FR1–5)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Source Transparency &amp; Confidence (FR6–11)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Public Contribution &amp; Moderation (FR12–17)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Content Versioning &amp; Citation (FR18–21)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Editorial Governance &amp; Doctrine (FR22–25)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Data Quality &amp; Automation (FR26–32)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Public API &amp; Open Data Reuse (FR33–38)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Account &amp; Contributor Lifecycle (FR39–42)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Accessibility, Platform &amp; Compliance (FR43–46)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45 exigences non-fonctionnelles (NFR1–NFR45)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Performance (LCP ≤ 2.5s p75 sur 4G, API 300ms p95 caché), sécurité (TLS, Supabase Auth, isolation client/admin), scalabilité (100k MAU, 10k fiches sans refonte schéma), accessibilité (WCAG 2.1 AA), fiabilité, intégration (OpenAPI 3.1), observabilité, maintenabilité, compliance (GDPR, GDPR-K 16+, EAA 2025).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Scope MVP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Module #0 (vérification) + Module #1 (page Peuple) + Module #3 (API publique formalisée). Les modules cartographiques, comparateur, gamification et assistant IA sont post-MVP.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 — Solutioning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Cette phase produit 4 livrables interconnectés.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3a. UX Design Specification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ux-design-specification.md (1535 lignes, EN)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5 personas journey-driven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Amina, 16 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Lycéenne, Dakar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 entrée de gamme, 4G, data rationnée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Kofi, 34 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Diaspora, Atlanta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Conteste une assertion, fournit contre-source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Fatou, 31 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Modératrice, UCAD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Triage ~4h/sem sur desktop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Thomas, 42 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engineer, Nairobi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Consomme l’API pour revitalisation linguistique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Ngozi, 44 ans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 d’histoire, Lagos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Unité pédagogique 6 semaines avec URL figées (@v34)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Thèse UX centrale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 transparence radicale des sources comme surface produit de premier plan — score de confiance, chaîne de sources, date du dernier audit et statut de classification au-dessus de la ligne de flottaison.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Nouveaux composants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ConfidenceChip, ClassificationBadge, SourceChainSheet, DoctrineLinkCard, PinnedVersionBanner, RevisionDrawer. Typographie : Fraunces + Nunito Sans.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3b. Architecture Decision Document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architecture.md (975 lignes, EN)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Stack verrouillée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Next.js 16 App Router, React 18, TypeScript, Tailwind + shadcn/ui, TanStack Query, Supabase (3 clients isolés), Vitest + happy-dom, Storybook react-vite.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~12 nouvelles tables : sources, source_assertion_links, fiche_revisions, confidence_scores, verification_log, flags, moderation_actions, doctrine_versions, user_roles, api_keys, api_key_usage, user_accounts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~8 nouveaux endpoints : /v2/flags, /v2/peoples/{id}/revisions, /v2/peoples/{id}@v{n}, /v2/doctrine, /v2/health/verification, /v2/internal/moderation/**, extensions /v2/peoples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Migrations DB : 007 (écrite, pas appliquée) + 008–011 à scaffolder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Nouveaux patterns : envelope API { data, meta, errors }, camelCase JSON, taxonomie 9 codes d’erreurs, URL figées @v{n}, feature flags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Pipelines CI : data integrity, OpenAPI drift, Lighthouse mobile, axe-core, contrôle URL externe hebdomadaire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3c. Epics &amp; Stories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epics.md (3344 lignes, EN) — 7 epics, 77 stories couvrant les 46 FR.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60"/>
        <w:gridCol w:w="2800"/>
        <w:gridCol w:w="22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FRs couverts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Trustworthy Data Baseline &amp; Platform Foundation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FR26–32, FR46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 Transparency Fabric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FR6–11, FR22–25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People Fiche Reading Experience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FR1–5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Pinned Versions, Revision History &amp; Citation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FR18–21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Contributions (Flags &amp; Corrections)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FR12–14, FR17, FR39–40, FR42, FR45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0, 1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Moderation &amp; Editorial Workflow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FR15–16, FR41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3, 4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API &amp; Developer Portal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FR33–38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0, 1–3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Graphe de dépendances :</w:t>
      </w:r>
    </w:p>
    <w:p>
      <w:pPr>
        <w:spacing w:after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Epic 0 ──┬─► Epic 1 ──┬─► Epic 2 ─► Epic 3 ──┐</w:t>
      </w:r>
    </w:p>
    <w:p>
      <w:pPr>
        <w:spacing w:after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│          │      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│          └─► Epic 4 ─► Epic 5     │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└──────────────────────────► Epic 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Epic 0 = hard gate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cleanup pré-MVP (supprimer PPL_TOKELAU_FAUXEX, résoudre 8 doublons, fixer 6 mismatches FLG, 5 populations=0), migrations, CI blocantes, Sentry + Plausible, Supabase Auth, bandeau cookies, headers sécurité.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3d. Implementation Readiness Report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Fichier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implementation-readiness-report-2026-04-15.md (43 lignes)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Rapport de cohérence vérifiant que PRD ↔ Architecture ↔ UX ↔ Epics sont alignés.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Statut : passant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toutes les FR sont couvertes, les dépendances techniques sont déclarées, l’UX est traçable.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Fichiers de contexte pour l’onboarding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le lire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_bmad-output/project-context.md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À lire en premier — règles non-évidentes (isolation Supabase, discipline AFRIK, contraintes Storybook, invariants V1→V2)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/CLAUDE.md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Règles techniques projet (commandes, stack, tests, conventions)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public/DIRECTIVES-AFRIK.md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Méthodologie AFRIK (comment remplir une fiche peuple)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public/modele-*.txt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Modèles stricts des fichiers AFRIK (peuple, famille linguistique, pays)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Schéma DB actuel (006 = AFRIK ; 007 = contribution V2, à appliquer)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src/lib/supabase/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clients isolés — ne jamais croiser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src/app/api/v2/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publique v2 (pattern 3 couches)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src/components/country/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Référence de design system «Carte vivante»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src/styles/country-tokens.css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Tokens CSS à étendre (--country-* → --afh-*)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docs/index.md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Documentation codebase auto-générée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Prochaine étape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Phase 4 — Implementation 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démarrer l’Epic 0 (Trustworthy Data Baseline &amp; Platform Foundation) qui constitue le hard gate avant tout développement fonctionnel.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Africa History</w:t>
    </w:r>
    <w:r>
      <w:rPr>
        <w:rFonts w:ascii="Arial" w:cs="Arial" w:eastAsia="Arial" w:hAnsi="Arial"/>
        <w:color w:val="7F8C8D"/>
        <w:sz w:val="18"/>
        <w:szCs w:val="18"/>
      </w:rPr>
      <w:t xml:space="preserve">	Onboarding 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2026-04-18T10:06:44.149Z</dcterms:created>
  <dcterms:modified xsi:type="dcterms:W3CDTF">2026-04-18T10:06:44.149Z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