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DeliriX</w:t>
      </w:r>
    </w:p>
    <w:p>
      <w:pPr>
        <w:pStyle w:val="Heading1"/>
        <w:bidi w:val="0"/>
        <w:ind w:hanging="0" w:left="0"/>
        <w:jc w:val="left"/>
        <w:rPr/>
      </w:pPr>
      <w:r>
        <w:rPr/>
        <w:t>Что это такое?</w:t>
      </w:r>
    </w:p>
    <w:p>
      <w:pPr>
        <w:pStyle w:val="Normal"/>
        <w:bidi w:val="0"/>
        <w:jc w:val="left"/>
        <w:rPr/>
      </w:pPr>
      <w:r>
        <w:rPr>
          <w:b/>
          <w:bCs/>
        </w:rPr>
        <w:t>DeliriX</w:t>
      </w:r>
      <w:r>
        <w:rPr/>
        <w:t xml:space="preserve"> - библиотека поддержки популярных форм</w:t>
      </w:r>
      <w:r>
        <w:rPr>
          <w:i/>
          <w:iCs/>
        </w:rPr>
        <w:t>а</w:t>
      </w:r>
      <w:r>
        <w:rPr/>
        <w:t xml:space="preserve">тов офисных файлов. Обеспечивает чтение видимого пользователю содержимого, передачу в декларированный интерфейс </w:t>
      </w:r>
      <w:r>
        <w:rPr>
          <w:b/>
          <w:bCs/>
        </w:rPr>
        <w:t>IText</w:t>
      </w:r>
      <w:r>
        <w:rPr/>
        <w:t xml:space="preserve"> и, при желании, выделение некоторых метаданных в виде ассоциативного массива key-value (mtc::zmap).</w:t>
      </w:r>
    </w:p>
    <w:p>
      <w:pPr>
        <w:pStyle w:val="Heading2"/>
        <w:bidi w:val="0"/>
        <w:ind w:hanging="0" w:left="0"/>
        <w:jc w:val="left"/>
        <w:rPr/>
      </w:pPr>
      <w:r>
        <w:rPr/>
        <w:t>И</w:t>
      </w:r>
      <w:r>
        <w:rPr/>
        <w:t xml:space="preserve">нтерфейс </w:t>
      </w:r>
      <w:r>
        <w:rPr/>
        <w:t>документа</w:t>
      </w:r>
    </w:p>
    <w:p>
      <w:pPr>
        <w:pStyle w:val="BodyText"/>
        <w:bidi w:val="0"/>
        <w:jc w:val="left"/>
        <w:rPr/>
      </w:pPr>
      <w:r>
        <w:rPr/>
        <w:t>Клиенское приложение предоставляет функциям разбора форматов интерфейс текстового документа, позволяющий добавлять текстовые фрагменты (строки) или блочную разметку. В последнем случае результатом должен быть такой же интерфейс IText, обеспечивающий добавление текстовых фрагментов в этот блок.</w:t>
      </w:r>
    </w:p>
    <w:tbl>
      <w:tblPr>
        <w:tblW w:w="5000" w:type="pct"/>
        <w:jc w:val="left"/>
        <w:tblInd w:w="0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struct IText: mtc::Iface</w:t>
            </w:r>
          </w:p>
          <w:p>
            <w:pPr>
              <w:pStyle w:val="TableContents"/>
              <w:bidi w:val="0"/>
              <w:jc w:val="lef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{</w:t>
            </w:r>
          </w:p>
          <w:p>
            <w:pPr>
              <w:pStyle w:val="TableContents"/>
              <w:bidi w:val="0"/>
              <w:jc w:val="lef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</w:t>
            </w:r>
            <w:r>
              <w:rPr>
                <w:rFonts w:ascii="Courier New" w:hAnsi="Courier New"/>
                <w:sz w:val="20"/>
                <w:szCs w:val="20"/>
              </w:rPr>
              <w:t>auto  AddMarkupTag( const char*, size_t = -1 ) → mtc::api&lt;IText&gt;;</w:t>
            </w:r>
          </w:p>
          <w:p>
            <w:pPr>
              <w:pStyle w:val="TableContents"/>
              <w:bidi w:val="0"/>
              <w:jc w:val="lef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</w:t>
            </w:r>
            <w:r>
              <w:rPr>
                <w:rFonts w:ascii="Courier New" w:hAnsi="Courier New"/>
                <w:sz w:val="20"/>
                <w:szCs w:val="20"/>
              </w:rPr>
              <w:t>auto</w:t>
            </w:r>
            <w:r>
              <w:rPr>
                <w:rFonts w:ascii="Courier New" w:hAnsi="Courier New"/>
                <w:sz w:val="20"/>
                <w:szCs w:val="20"/>
              </w:rPr>
              <w:t xml:space="preserve">  AddParagraph( const char*, uint32_t, uint32_t ) -&gt; Paragraph;</w:t>
            </w:r>
          </w:p>
          <w:p>
            <w:pPr>
              <w:pStyle w:val="TableContents"/>
              <w:bidi w:val="0"/>
              <w:jc w:val="lef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</w:t>
            </w:r>
            <w:r>
              <w:rPr>
                <w:rFonts w:ascii="Courier New" w:hAnsi="Courier New"/>
                <w:sz w:val="20"/>
                <w:szCs w:val="20"/>
              </w:rPr>
              <w:t>auto  AddParagraph( const widechar*, uint32_t ) -&gt; Paragraph;</w:t>
            </w:r>
          </w:p>
          <w:p>
            <w:pPr>
              <w:pStyle w:val="TableContents"/>
              <w:bidi w:val="0"/>
              <w:jc w:val="lef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 xml:space="preserve">  </w:t>
            </w:r>
            <w:r>
              <w:rPr>
                <w:rFonts w:ascii="Courier New" w:hAnsi="Courier New"/>
                <w:sz w:val="20"/>
                <w:szCs w:val="20"/>
              </w:rPr>
              <w:t>auto  AddParagraph( const Paragraph&amp; )          -&gt; Paragraph;</w:t>
            </w:r>
          </w:p>
          <w:p>
            <w:pPr>
              <w:pStyle w:val="TableContents"/>
              <w:bidi w:val="0"/>
              <w:jc w:val="left"/>
              <w:rPr>
                <w:rFonts w:ascii="Courier New" w:hAnsi="Courier New"/>
                <w:sz w:val="20"/>
                <w:szCs w:val="20"/>
              </w:rPr>
            </w:pPr>
            <w:r>
              <w:rPr>
                <w:rFonts w:ascii="Courier New" w:hAnsi="Courier New"/>
                <w:sz w:val="20"/>
                <w:szCs w:val="20"/>
              </w:rPr>
              <w:t>};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Методы: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ourier New" w:hAnsi="Courier New"/>
        </w:rPr>
      </w:pPr>
      <w:r>
        <w:rPr>
          <w:rFonts w:ascii="Courier New" w:hAnsi="Courier New"/>
        </w:rPr>
        <w:t>Ad</w:t>
      </w:r>
      <w:r>
        <w:rPr>
          <w:rFonts w:ascii="Courier New" w:hAnsi="Courier New"/>
        </w:rPr>
        <w:t>dMarkupTag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ourier New" w:hAnsi="Courier New"/>
        </w:rPr>
      </w:pPr>
      <w:r>
        <w:rPr>
          <w:rFonts w:ascii="Courier New" w:hAnsi="Courier New"/>
        </w:rPr>
        <w:t>Ad</w:t>
      </w:r>
      <w:r>
        <w:rPr>
          <w:rFonts w:ascii="Courier New" w:hAnsi="Courier New"/>
        </w:rPr>
        <w:t>d</w:t>
      </w:r>
      <w:r>
        <w:rPr>
          <w:rFonts w:ascii="Courier New" w:hAnsi="Courier New"/>
        </w:rPr>
        <w:t>Paragraph</w:t>
      </w:r>
    </w:p>
    <w:p>
      <w:pPr>
        <w:pStyle w:val="Heading3"/>
        <w:bidi w:val="0"/>
        <w:ind w:hanging="0" w:left="0"/>
        <w:jc w:val="left"/>
        <w:rPr/>
      </w:pPr>
      <w:r>
        <w:rPr/>
        <w:t>Функции разбора форматов</w:t>
      </w:r>
    </w:p>
    <w:p>
      <w:pPr>
        <w:pStyle w:val="BodyText"/>
        <w:bidi w:val="0"/>
        <w:jc w:val="left"/>
        <w:rPr/>
      </w:pPr>
      <w:r>
        <w:rPr/>
        <w:t>Для каждого из поддерживаемых форматов предоставляется функция разбора, например, ParseODT( I</w:t>
      </w:r>
      <w:r>
        <w:rPr/>
        <w:t>T</w:t>
      </w:r>
      <w:r>
        <w:rPr/>
        <w:t>ext*, … ). В случае, если формат заранее не известен, можно положиться на автоматическое определение работающее с некоторой точностью.</w:t>
      </w:r>
    </w:p>
    <w:tbl>
      <w:tblPr>
        <w:tblW w:w="5000" w:type="pct"/>
        <w:jc w:val="left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188"/>
        <w:gridCol w:w="7450"/>
      </w:tblGrid>
      <w:tr>
        <w:trPr/>
        <w:tc>
          <w:tcPr>
            <w:tcW w:w="2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Функция разбора</w:t>
            </w:r>
          </w:p>
        </w:tc>
        <w:tc>
          <w:tcPr>
            <w:tcW w:w="7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Форматы документов</w:t>
            </w:r>
          </w:p>
        </w:tc>
      </w:tr>
      <w:tr>
        <w:trPr/>
        <w:tc>
          <w:tcPr>
            <w:tcW w:w="21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ParseODT</w:t>
            </w:r>
          </w:p>
        </w:tc>
        <w:tc>
          <w:tcPr>
            <w:tcW w:w="74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OpenOffice Text</w:t>
            </w:r>
          </w:p>
        </w:tc>
      </w:tr>
      <w:tr>
        <w:trPr/>
        <w:tc>
          <w:tcPr>
            <w:tcW w:w="21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ParseDOC</w:t>
            </w:r>
          </w:p>
        </w:tc>
        <w:tc>
          <w:tcPr>
            <w:tcW w:w="74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1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ParseDOCX</w:t>
            </w:r>
          </w:p>
        </w:tc>
        <w:tc>
          <w:tcPr>
            <w:tcW w:w="74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1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ParseRTF</w:t>
            </w:r>
          </w:p>
        </w:tc>
        <w:tc>
          <w:tcPr>
            <w:tcW w:w="74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156</Words>
  <Characters>1104</Characters>
  <CharactersWithSpaces>1255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2025-11-10T14:41:34Z</dcterms:created>
  <dc:creator/>
  <dc:description/>
  <dc:language>en-US</dc:language>
  <cp:lastModifiedBy/>
  <dcterms:modified xsi:type="dcterms:W3CDTF">2025-11-11T12:41:49Z</dcterms:modified>
  <cp:revision>7</cp:revision>
  <dc:subject/>
  <dc:title/>
</cp:coreProperties>
</file>