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大规模人群的轻量化处理技术在web会议中的应用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1.引言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2.相关工作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实例化渲染技术：THREEJS中提供的实例化渲染技术虽然在渲染效率上比较可观，但是不能够实现丰富的多样性，也没有处理骨骼动画方面的问题。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3.方法概括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轻量化处理</w:t>
      </w:r>
      <w:r>
        <w:rPr>
          <w:rFonts w:hint="eastAsia"/>
          <w:lang w:val="en-US" w:eastAsia="zh-CN"/>
        </w:rPr>
        <w:t>的核心是资源重用，我们使用该技术必须首先明白哪些资源是可重用的，并且尽可以提高资源的重用度。另外为了效果要保留丰富的多样性，参数化调整每个对象，另外可以通过对不同资源进行搭配组合来提高多样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将模型划分为多个区域（在这个问题中是划分了头部、上身、下身三个区域），每个区域可以匹配不同贴图（在这个问题中使用了男性32套贴图，女性16套贴图），这样就可以通过不同贴图搭配各种效果（男性有32^3=32768种组合，女性有16^3=4086种组合，共36864种组合）。另外，可以通过对人物对象的高矮胖瘦进行设置，还可以对对象的色调进行编辑（这个问题中主要是对下身的裤子颜色进行设置），在骨骼动画方面，可以为每个人物对象设置不同的动画播放速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大规模人群的轻量化处理技术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4.1场景分析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大规模</w:t>
      </w:r>
      <w:r>
        <w:rPr>
          <w:rFonts w:hint="eastAsia"/>
        </w:rPr>
        <w:t>人群</w:t>
      </w:r>
      <w:r>
        <w:rPr>
          <w:rFonts w:hint="eastAsia"/>
          <w:lang w:val="en-US" w:eastAsia="zh-CN"/>
        </w:rPr>
        <w:t>渲染需要存储的信息可以分为三级。第一级，所有对象都共用的数据，如模型的网格信息（网格点位置，UV等信息）；第二级，选择性使用的数据（如模型贴图），这类数据每个对象只需要其中的一部分数据（如模型贴图有多套可供选择，但每个对象只使用其中的一套）；第二级，描述对象的参数信息（如，贴图类型，动画播放速度，高矮胖瘦，色调），这些信息每个对象都可以不同，所以每个对象的这些参数信息都要单独存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4.2数据预处理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在项目中我们只需要实现听众鼓掌的动作，这个动作只涉及到手臂的8个骨骼，其它的17个骨骼的状态没有发生变化，所以首先可以将骨骼数据分成两部分，手臂处骨骼和固定动作的骨骼。</w:t>
      </w:r>
      <w:r>
        <w:rPr>
          <w:rFonts w:hint="default"/>
          <w:lang w:val="en-US" w:eastAsia="zh-CN"/>
        </w:rPr>
        <w:drawing>
          <wp:inline distT="0" distB="0" distL="114300" distR="114300">
            <wp:extent cx="748030" cy="1689735"/>
            <wp:effectExtent l="0" t="0" r="1270" b="12065"/>
            <wp:docPr id="1" name="图片 1" descr="骨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骨骼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骨骼的变换矩阵因为最后一行是固定值，所以一个变换矩阵只需要存储12个float数据。有17个骨骼在动画播放的过程中的状态没有发生变化，所以这可以提前计算好这17*12=204个数据。涉及到手臂的8个骨骼，由于我们在项目中只需要实现鼓掌这个简单的动作，经过测试使用16帧就可以获得比较好的动画效果，这是16帧的鼓掌动画中后8帧可以看作前8帧的倒放，所以我们只需要8个骨骼8帧分别的变换矩阵，这8个骨骼需要的数据量为8*8*12=768。将这些数据在预处理阶段直接计算好可以减少在客户端的计算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轻量化信息传输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将场景中需要的数据细化拆分，相同部件只传输一次。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分级传输，提高初始加载速度。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轻量化内存管理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为了确保复用的人物对象资源不被重复存储，需要将场景中的人群统一管理，我们用JS设计了以一个对象来管理整个的人群。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渲染效率，所有的人物在渲染时作为一个整体，一次性将人群所需的全部数据输入着色器。这就需要我们管理好每个人的所有参数信息（位置，大小，贴图类型，等等），渲染时一次性将这些信息传入shader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轻量化场景渲染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骨骼动画数据的输入格式是32的float浮点数，经过测试发现骨骼动画数据实际上并不需要这么高的精度，所以我们设计了一种16位的浮点数格式，这样就使得传入着色器的骨骼数据量减少了一半。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</w:t>
      </w:r>
      <w:r>
        <w:rPr>
          <w:rFonts w:hint="default"/>
          <w:lang w:val="en-US" w:eastAsia="zh-CN"/>
        </w:rPr>
        <w:t>人物的贴图左右对称，所以可以只传入</w:t>
      </w:r>
      <w:r>
        <w:rPr>
          <w:rFonts w:hint="eastAsia"/>
          <w:lang w:val="en-US" w:eastAsia="zh-CN"/>
        </w:rPr>
        <w:t>着色器</w:t>
      </w:r>
      <w:r>
        <w:rPr>
          <w:rFonts w:hint="default"/>
          <w:lang w:val="en-US" w:eastAsia="zh-CN"/>
        </w:rPr>
        <w:t>左半部分贴图，这样</w:t>
      </w:r>
      <w:r>
        <w:rPr>
          <w:rFonts w:hint="eastAsia"/>
          <w:lang w:val="en-US" w:eastAsia="zh-CN"/>
        </w:rPr>
        <w:t>传入着色器的</w:t>
      </w:r>
      <w:r>
        <w:rPr>
          <w:rFonts w:hint="default"/>
          <w:lang w:val="en-US" w:eastAsia="zh-CN"/>
        </w:rPr>
        <w:t>贴图数据量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减少了一半。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5.效果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6.结论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多个小部件组合成的大型复杂模型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服务器端(轻量化处理)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模型分解-&gt;找出重用组件-&gt;外壳抽取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网络传输（提高传输速度）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优先传输先看到的部件,重用部件只传输一次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客户端（提高初始渲染速度，渲染质量）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重用部件使用实例化渲染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高精度模型处理（PM+LOD）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将复杂模型简化，并记录简化过程中删除和修改的点以及操作的次序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先传输基础模型，然后传输更新模型所需的数据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先将基础模型添加到场景中，然后不断更新模型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每更新到一定程度就记录下当前精度的模型数据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当彻底恢复成原模型后通过记录的数据实现LOD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提高初始加载速度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初始加载速度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外壳提取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静态模型的轻量化处理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模型组件拆分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找出重用组件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外壳抽取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细粒化调度机制流程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开始，轻量化预处理，找出重用部件，确定传输次序，完成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顶点着色器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一、输入的数据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模型顶点的信息：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顶点的原坐标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顶点的UV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顶点的对应骨骼编号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实例化对象的信息：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对象的动画播放速度和动画类型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对象的各部位贴图类型和色调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骨骼数据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二、数据处理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判断顶点所在的区域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根据顶点在模型中的原坐标，判断顶点在头、上身、下身哪个部分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实现模型的分区，方便片元着色器的处理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实例化对象变换矩阵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将输入的对象变换矩阵信息解码为矩阵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用于单个实例化对象的放缩、移动、旋转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骨骼动画变换矩阵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计算方法：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找出当前点对应的骨骼编号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判断是否骨骼是否运动（静止骨骼的数据单独存放）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静止：根据骨骼编号找到对应的骨骼矩阵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运动：根据速度和时间计算帧序号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根据骨骼编号和帧序号找到对应的骨骼矩阵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控制动画的播放速度、种类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不同动画的搭配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通过骨骼放缩实现人物的形态差异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数据的存储和传输：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将静止骨骼的数据单独存放：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每帧变换矩阵都相同的骨骼，只存放一帧的数据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设计了专门用于传输骨骼的数据的浮点数类型：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新的16位浮点数类型所占空间比32位的float减少了一半。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将骨骼数据以纹理贴图的格式传入着色器。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顶点对应屏幕上的位置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向片元着色器输出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贴图类型，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片元着色器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共用的unifrom类数据：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纹理贴图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顶点着色器输入的数据：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顶点所在的区域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贴图类型</w:t>
      </w:r>
    </w:p>
    <w:p>
      <w:pPr>
        <w:pBdr>
          <w:bottom w:val="single" w:color="auto" w:sz="4" w:space="0"/>
        </w:pBd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二数据处理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UV计算：由于人的纹理贴图左右对称，纹理贴图只传入了左半部分，要将UV都对应到左侧。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色调调整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三输出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对应像素的颜色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轻量化处理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大规模动态模型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方法：实例化渲染、参数化差异、模型资源分级复用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应用：听众人群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lang w:eastAsia="zh-CN"/>
        </w:rPr>
        <w:t>多个小部件组合成的</w:t>
      </w:r>
      <w:r>
        <w:rPr>
          <w:rFonts w:hint="eastAsia"/>
          <w:lang w:val="en-US" w:eastAsia="zh-CN"/>
        </w:rPr>
        <w:t>复合</w:t>
      </w:r>
      <w:r>
        <w:rPr>
          <w:rFonts w:hint="eastAsia"/>
          <w:lang w:eastAsia="zh-CN"/>
        </w:rPr>
        <w:t>模型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方法：实例化渲染、外壳提取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视锥剔除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应用：会议厅模型（尤其是椅子、门和墙壁部分）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高精度模型处理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方法：</w:t>
      </w:r>
      <w:r>
        <w:rPr>
          <w:rFonts w:hint="eastAsia"/>
          <w:lang w:eastAsia="zh-CN"/>
        </w:rPr>
        <w:t>PM、LOD、</w:t>
      </w:r>
      <w:r>
        <w:rPr>
          <w:rFonts w:hint="eastAsia"/>
          <w:lang w:val="en-US" w:eastAsia="zh-CN"/>
        </w:rPr>
        <w:t>视锥剔除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应用：嘉宾模型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84AC8"/>
    <w:multiLevelType w:val="singleLevel"/>
    <w:tmpl w:val="AF984AC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67BDB"/>
    <w:rsid w:val="1F541F46"/>
    <w:rsid w:val="2AF22C6C"/>
    <w:rsid w:val="36C5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2021-01-30T11:06:00Z</dcterms:created>
  <dc:creator>28142</dc:creator>
  <cp:lastModifiedBy>大橙子</cp:lastModifiedBy>
  <dcterms:modified xsi:type="dcterms:W3CDTF">2021-02-03T02:16:26Z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