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7.实验结果与性能分析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测试环境的硬件配置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台式机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笔记本电脑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CPU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I5-10210U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Memory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GPU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210" w:hanging="210" w:hangingChars="100"/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>Nvidia</w:t>
            </w: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>GeForceMX330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OS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Windows 10 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64Bit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Windows 10 </w:t>
            </w:r>
          </w:p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64Bit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Networks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4G Wireless 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Network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4G Wireless </w:t>
            </w:r>
          </w:p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/>
                <w:highlight w:val="none"/>
                <w:shd w:val="clear" w:color="auto" w:fill="auto"/>
                <w:lang w:val="en-US" w:eastAsia="zh-CN"/>
              </w:rPr>
              <w:t xml:space="preserve">Network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Browser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Chrome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 xml:space="preserve">Chrome </w:t>
            </w:r>
          </w:p>
        </w:tc>
      </w:tr>
    </w:tbl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测试环境的硬件配置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通过我们的优化方法可以将一部分场景渲染所需要的计算力分散给GPU，所以渲染性能有很大的提升。我们通过对</w:t>
      </w:r>
    </w:p>
    <w:tbl>
      <w:tblPr>
        <w:tblW w:w="743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2120"/>
        <w:gridCol w:w="30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PM的处理效果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低模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基模的三角面片数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原模型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三角面片数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15990</w:t>
            </w:r>
          </w:p>
        </w:tc>
      </w:tr>
    </w:tbl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PM处理效果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通过我们的优化方法可以将一部分场景渲染所需要的计算力分散给GPU，所以渲染性能有很大的提升。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3685540"/>
            <wp:effectExtent l="0" t="0" r="5080" b="10160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人群的轻量化处理技术在项目中的效果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94865"/>
            <wp:effectExtent l="0" t="0" r="11430" b="635"/>
            <wp:docPr id="11" name="图片 1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的效果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从以上结果可以明显看出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新</w:t>
      </w:r>
      <w:r>
        <w:rPr>
          <w:rFonts w:hint="default"/>
          <w:lang w:val="en-US" w:eastAsia="zh-CN"/>
        </w:rPr>
        <w:t>的方法优于先前的方法。</w:t>
      </w:r>
      <w:r>
        <w:rPr>
          <w:rFonts w:hint="eastAsia"/>
          <w:lang w:val="en-US" w:eastAsia="zh-CN"/>
        </w:rPr>
        <w:t>虽然在人数较少时新的方法表现不是很理想，但随着场景中人数的增加，轻量化处理后的优越性就体现了出来，新的方法可以达到十万人基本，但是传统的方法只能进行百人基本的渲染</w:t>
      </w:r>
      <w:r>
        <w:rPr>
          <w:rFonts w:hint="default"/>
          <w:lang w:val="en-US" w:eastAsia="zh-CN"/>
        </w:rPr>
        <w:t>。该框架确实可以满足</w:t>
      </w:r>
      <w:r>
        <w:rPr>
          <w:rFonts w:hint="eastAsia"/>
          <w:highlight w:val="none"/>
          <w:lang w:val="en-US" w:eastAsia="zh-CN"/>
        </w:rPr>
        <w:t>大规模多人在线webVR会议的千人级别渲染</w:t>
      </w:r>
      <w:r>
        <w:rPr>
          <w:rFonts w:hint="default"/>
          <w:lang w:val="en-US" w:eastAsia="zh-CN"/>
        </w:rPr>
        <w:t>要求。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bookmarkStart w:id="0" w:name="_GoBack"/>
      <w:bookmarkEnd w:id="0"/>
      <w:r>
        <w:rPr>
          <w:rFonts w:hint="eastAsia"/>
          <w:lang w:val="en-US" w:eastAsia="zh-CN"/>
        </w:rPr>
        <w:t>结论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在本研究中，我们提出了对模型的轻量化处理、传输和渲染的一整套解决方案，以解决在大规模多人在线webVR会议中遇到的挑战。 提出的解决方案满足了轻量化、多样性的需要。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对动态资源的处理上，我们通过外壳提取、模型去除、烘焙处理、实例化渲染等手段，实现了资源的快速传输和渲染的真实性。在对动态资源的处理上，我们的方法通过对3D资源的分级复用和通过shader使用GPU计算等方式，在保证人群中人物多样性的前提下拥有良好的渲染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A0686"/>
    <w:rsid w:val="348F1DAC"/>
    <w:rsid w:val="38AD13AC"/>
    <w:rsid w:val="3C620540"/>
    <w:rsid w:val="75185AD5"/>
    <w:rsid w:val="77C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2021-02-15T03:14:00Z</dcterms:created>
  <dc:creator>28142</dc:creator>
  <cp:lastModifiedBy>大橙子</cp:lastModifiedBy>
  <dcterms:modified xsi:type="dcterms:W3CDTF">2021-02-15T14:38:54Z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