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p>
    <w:p>
      <w:pPr>
        <w:ind w:firstLine="420"/>
      </w:pPr>
      <w:r>
        <w:rPr>
          <w:rFonts w:hint="eastAsia"/>
        </w:rPr>
        <w:t>请给出几个关键数据:</w:t>
      </w:r>
      <w:r>
        <w:t xml:space="preserve"> </w:t>
      </w:r>
      <w:r>
        <w:rPr>
          <w:rFonts w:hint="eastAsia"/>
        </w:rPr>
        <w:t>轻量级压缩率，传输效率，响应延迟等等</w:t>
      </w:r>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【代入感差】当前的在线会议系统不具有3D可视化。传统的音视频的方式无法充分还原会议的真实场景，代入感较弱，沉浸感差，缺少VR/AR等功能。</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【便捷性差】当前会议系统的便利性及用户友好性较差。用户需额外安装插件。目前大多用户都不喜欢安装插件或APP，而是喜欢Down-and-Play。大多数V</w:t>
      </w:r>
      <w:r>
        <w:rPr>
          <w:rFonts w:ascii="宋体" w:hAnsi="宋体" w:eastAsia="宋体" w:cstheme="minorEastAsia"/>
          <w:sz w:val="24"/>
        </w:rPr>
        <w:t>R</w:t>
      </w:r>
      <w:r>
        <w:rPr>
          <w:rFonts w:hint="eastAsia" w:ascii="宋体" w:hAnsi="宋体" w:eastAsia="宋体" w:cstheme="minorEastAsia"/>
          <w:sz w:val="24"/>
        </w:rPr>
        <w:t>较为重量级，需要用户在进行虚拟参会前安装P</w:t>
      </w:r>
      <w:r>
        <w:rPr>
          <w:rFonts w:ascii="宋体" w:hAnsi="宋体" w:eastAsia="宋体" w:cstheme="minorEastAsia"/>
          <w:sz w:val="24"/>
        </w:rPr>
        <w:t>C</w:t>
      </w:r>
      <w:r>
        <w:rPr>
          <w:rFonts w:hint="eastAsia" w:ascii="宋体" w:hAnsi="宋体" w:eastAsia="宋体" w:cstheme="minorEastAsia"/>
          <w:sz w:val="24"/>
        </w:rPr>
        <w:t>客户端或插件，给手机参会用户或电脑配置较低的用户带来了不便，与在线会议“随时随地，即时上会，快速上会”的目标相背离。</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基于后疫情时代下的Web</w:t>
      </w:r>
      <w:r>
        <w:rPr>
          <w:rFonts w:ascii="宋体" w:hAnsi="宋体" w:eastAsia="宋体" w:cstheme="minorEastAsia"/>
          <w:sz w:val="24"/>
        </w:rPr>
        <w:t>VR</w:t>
      </w:r>
      <w:r>
        <w:rPr>
          <w:rFonts w:hint="eastAsia" w:ascii="宋体" w:hAnsi="宋体" w:eastAsia="宋体" w:cstheme="minorEastAsia"/>
          <w:sz w:val="24"/>
        </w:rPr>
        <w:t>在线会议需求，想要解决当前远程会议系统存在的上述问题，主要有以下几个技术瓶颈：</w:t>
      </w:r>
    </w:p>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在线会议技术解决方案，该方案将服务端3D模型的轻量化、渐进式传输调度、高效shader调度应用于静态3</w:t>
      </w:r>
      <w:r>
        <w:rPr>
          <w:rFonts w:ascii="宋体" w:hAnsi="宋体" w:eastAsia="宋体" w:cstheme="minorEastAsia"/>
          <w:sz w:val="24"/>
        </w:rPr>
        <w:t>D</w:t>
      </w:r>
      <w:r>
        <w:rPr>
          <w:rFonts w:hint="eastAsia" w:ascii="宋体" w:hAnsi="宋体" w:eastAsia="宋体" w:cstheme="minorEastAsia"/>
          <w:sz w:val="24"/>
        </w:rPr>
        <w:t>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[1, 2]. Miyata et al. introduced an educational framework for students to collaboratively design VR applications [3]. The approach of ProteinVR uses Web application and VR to display molecular structures within 3D environment in web browser for remote users [4]. The approach of [5] used a three-year industrial VR projects to study the key factors that contribute to the failure/success of VR products. For medical usage, WebVR has become an effective tool, from medical visualization [6] to medical skills teaching and training [7, 9]. The approach of VRmol [8]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[10]. </w:t>
      </w:r>
    </w:p>
    <w:p>
      <w:pPr>
        <w:rPr>
          <w:rFonts w:ascii="Times New Roman" w:hAnsi="Times New Roman" w:eastAsia="黑体" w:cs="Times New Roman"/>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[2]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Times New Roman" w:hAnsi="Times New Roman" w:eastAsia="黑体" w:cs="Times New Roman"/>
          <w:sz w:val="24"/>
          <w:szCs w:val="32"/>
        </w:rPr>
      </w:pP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1: Nguyen, V.T. and Dang, T., 2017, October. Setting up virtual reality and augmented reality learning environment in unity. In </w:t>
      </w:r>
      <w:r>
        <w:rPr>
          <w:rFonts w:ascii="Arial" w:hAnsi="Arial" w:cs="Arial"/>
          <w:i/>
          <w:iCs/>
          <w:color w:val="222222"/>
          <w:sz w:val="20"/>
          <w:szCs w:val="20"/>
          <w:shd w:val="clear" w:color="auto" w:fill="FFFFFF"/>
        </w:rPr>
        <w:t>2017 IEEE International Symposium on Mixed and Augmented Reality (ISMAR-Adjunct)</w:t>
      </w:r>
      <w:r>
        <w:rPr>
          <w:rFonts w:ascii="Arial" w:hAnsi="Arial" w:cs="Arial"/>
          <w:color w:val="222222"/>
          <w:sz w:val="20"/>
          <w:szCs w:val="20"/>
          <w:shd w:val="clear" w:color="auto" w:fill="FFFFFF"/>
        </w:rPr>
        <w:t> (pp. 315-320). IEEE.</w:t>
      </w:r>
    </w:p>
    <w:p>
      <w:pPr>
        <w:rPr>
          <w:rFonts w:ascii="Times New Roman" w:hAnsi="Times New Roman" w:eastAsia="黑体" w:cs="Times New Roman"/>
          <w:sz w:val="24"/>
          <w:szCs w:val="32"/>
        </w:rPr>
      </w:pPr>
      <w:r>
        <w:rPr>
          <w:rFonts w:ascii="Arial" w:hAnsi="Arial" w:cs="Arial"/>
          <w:color w:val="222222"/>
          <w:sz w:val="20"/>
          <w:szCs w:val="20"/>
          <w:shd w:val="clear" w:color="auto" w:fill="FFFFFF"/>
        </w:rPr>
        <w:t>2: Nguyen, V.T., Hite, R. and Dang, T., 2018, December. Web-based virtual reality development in classroom: From learner's perspectives. In </w:t>
      </w:r>
      <w:r>
        <w:rPr>
          <w:rFonts w:ascii="Arial" w:hAnsi="Arial" w:cs="Arial"/>
          <w:i/>
          <w:iCs/>
          <w:color w:val="222222"/>
          <w:sz w:val="20"/>
          <w:szCs w:val="20"/>
          <w:shd w:val="clear" w:color="auto" w:fill="FFFFFF"/>
        </w:rPr>
        <w:t>2018 IEEE International Conference on Artificial Intelligence and Virtual Reality (AIVR)</w:t>
      </w:r>
      <w:r>
        <w:rPr>
          <w:rFonts w:ascii="Arial" w:hAnsi="Arial" w:cs="Arial"/>
          <w:color w:val="222222"/>
          <w:sz w:val="20"/>
          <w:szCs w:val="20"/>
          <w:shd w:val="clear" w:color="auto" w:fill="FFFFFF"/>
        </w:rPr>
        <w:t> (pp. 11-18). IEEE.</w:t>
      </w:r>
    </w:p>
    <w:p>
      <w:pPr>
        <w:rPr>
          <w:rFonts w:ascii="Times New Roman" w:hAnsi="Times New Roman" w:eastAsia="黑体" w:cs="Times New Roman"/>
          <w:sz w:val="24"/>
          <w:szCs w:val="32"/>
        </w:rPr>
      </w:pPr>
      <w:r>
        <w:rPr>
          <w:rFonts w:ascii="Times New Roman" w:hAnsi="Times New Roman" w:eastAsia="黑体" w:cs="Times New Roman"/>
          <w:sz w:val="24"/>
          <w:szCs w:val="32"/>
        </w:rPr>
        <w:t xml:space="preserve">3: </w:t>
      </w:r>
      <w:r>
        <w:rPr>
          <w:rFonts w:ascii="Arial" w:hAnsi="Arial" w:cs="Arial"/>
          <w:color w:val="222222"/>
          <w:sz w:val="20"/>
          <w:szCs w:val="20"/>
          <w:shd w:val="clear" w:color="auto" w:fill="FFFFFF"/>
        </w:rPr>
        <w:t>Miyata, K., Umemoto, K. and Higuchi, T., 2010. An educational framework for creating VR application through groupwork. </w:t>
      </w:r>
      <w:r>
        <w:rPr>
          <w:rFonts w:ascii="Arial" w:hAnsi="Arial" w:cs="Arial"/>
          <w:i/>
          <w:iCs/>
          <w:color w:val="222222"/>
          <w:sz w:val="20"/>
          <w:szCs w:val="20"/>
          <w:shd w:val="clear" w:color="auto" w:fill="FFFFFF"/>
        </w:rPr>
        <w:t>Computers &amp; Graphics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(6), pp.811-819.</w:t>
      </w:r>
    </w:p>
    <w:p>
      <w:pPr>
        <w:rPr>
          <w:rFonts w:ascii="Arial" w:hAnsi="Arial" w:cs="Arial"/>
          <w:color w:val="222222"/>
          <w:sz w:val="20"/>
          <w:szCs w:val="20"/>
          <w:shd w:val="clear" w:color="auto" w:fill="FFFFFF"/>
        </w:rPr>
      </w:pPr>
      <w:r>
        <w:rPr>
          <w:rFonts w:ascii="Times New Roman" w:hAnsi="Times New Roman" w:eastAsia="黑体" w:cs="Times New Roman"/>
          <w:sz w:val="24"/>
          <w:szCs w:val="32"/>
        </w:rPr>
        <w:t xml:space="preserve">4: </w:t>
      </w:r>
      <w:r>
        <w:rPr>
          <w:rFonts w:ascii="Arial" w:hAnsi="Arial" w:cs="Arial"/>
          <w:color w:val="222222"/>
          <w:sz w:val="20"/>
          <w:szCs w:val="20"/>
          <w:shd w:val="clear" w:color="auto" w:fill="FFFFFF"/>
        </w:rPr>
        <w:t>Cassidy, K.C., Šefčík, J., Raghav, Y., Chang, A. and Durrant, J.D., 2020. ProteinVR: Web-based molecular visualization in virtual reality. </w:t>
      </w:r>
      <w:r>
        <w:rPr>
          <w:rFonts w:ascii="Arial" w:hAnsi="Arial" w:cs="Arial"/>
          <w:i/>
          <w:iCs/>
          <w:color w:val="222222"/>
          <w:sz w:val="20"/>
          <w:szCs w:val="20"/>
          <w:shd w:val="clear" w:color="auto" w:fill="FFFFFF"/>
        </w:rPr>
        <w:t>PLoS computational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p.e1007747.</w:t>
      </w:r>
    </w:p>
    <w:p>
      <w:pPr>
        <w:rPr>
          <w:rFonts w:ascii="Times New Roman" w:hAnsi="Times New Roman" w:eastAsia="黑体" w:cs="Times New Roman"/>
          <w:sz w:val="24"/>
          <w:szCs w:val="32"/>
        </w:rPr>
      </w:pPr>
      <w:r>
        <w:rPr>
          <w:rFonts w:ascii="Times New Roman" w:hAnsi="Times New Roman" w:eastAsia="黑体" w:cs="Times New Roman"/>
          <w:sz w:val="24"/>
          <w:szCs w:val="32"/>
        </w:rPr>
        <w:t xml:space="preserve">5: </w:t>
      </w:r>
      <w:r>
        <w:rPr>
          <w:rFonts w:ascii="Arial" w:hAnsi="Arial" w:cs="Arial"/>
          <w:color w:val="222222"/>
          <w:sz w:val="20"/>
          <w:szCs w:val="20"/>
          <w:shd w:val="clear" w:color="auto" w:fill="FFFFFF"/>
        </w:rPr>
        <w:t>Häfner, P., Häfner, V. and Ovtcharova, J., 2013. Teaching methodology for virtual reality practical course in engineering education. </w:t>
      </w:r>
      <w:r>
        <w:rPr>
          <w:rFonts w:ascii="Arial" w:hAnsi="Arial" w:cs="Arial"/>
          <w:i/>
          <w:iCs/>
          <w:color w:val="222222"/>
          <w:sz w:val="20"/>
          <w:szCs w:val="20"/>
          <w:shd w:val="clear" w:color="auto" w:fill="FFFFFF"/>
        </w:rPr>
        <w:t>Procedia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 pp.251-260.</w:t>
      </w:r>
    </w:p>
    <w:p>
      <w:pPr>
        <w:rPr>
          <w:rFonts w:ascii="Arial" w:hAnsi="Arial" w:cs="Arial"/>
          <w:color w:val="222222"/>
          <w:sz w:val="20"/>
          <w:szCs w:val="20"/>
          <w:shd w:val="clear" w:color="auto" w:fill="FFFFFF"/>
        </w:rPr>
      </w:pPr>
      <w:r>
        <w:rPr>
          <w:rFonts w:ascii="Times New Roman" w:hAnsi="Times New Roman" w:eastAsia="黑体" w:cs="Times New Roman"/>
          <w:sz w:val="24"/>
          <w:szCs w:val="32"/>
        </w:rPr>
        <w:t xml:space="preserve">6: </w:t>
      </w:r>
      <w:r>
        <w:rPr>
          <w:rFonts w:ascii="Arial" w:hAnsi="Arial" w:cs="Arial"/>
          <w:color w:val="222222"/>
          <w:sz w:val="20"/>
          <w:szCs w:val="20"/>
          <w:shd w:val="clear" w:color="auto" w:fill="FFFFFF"/>
        </w:rPr>
        <w:t>Kokelj, Ž., Bohak, C. and Marolt, M., 2018, May. A web-based virtual reality environment for medical visualization. In </w:t>
      </w:r>
      <w:r>
        <w:rPr>
          <w:rFonts w:ascii="Arial" w:hAnsi="Arial" w:cs="Arial"/>
          <w:i/>
          <w:iCs/>
          <w:color w:val="222222"/>
          <w:sz w:val="20"/>
          <w:szCs w:val="20"/>
          <w:shd w:val="clear" w:color="auto" w:fill="FFFFFF"/>
        </w:rPr>
        <w:t>2018 41st International Convention on Information and Communication Technology, Electronics and Microelectronics (MIPRO)</w:t>
      </w:r>
      <w:r>
        <w:rPr>
          <w:rFonts w:ascii="Arial" w:hAnsi="Arial" w:cs="Arial"/>
          <w:color w:val="222222"/>
          <w:sz w:val="20"/>
          <w:szCs w:val="20"/>
          <w:shd w:val="clear" w:color="auto" w:fill="FFFFFF"/>
        </w:rPr>
        <w:t> (pp. 0299-0302). IEEE.</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7: Grundman, J.A., Wigton, R.S. and Nickol, D., 2000. A controlled trial of an interactive, web-based virtual reality program for teaching physical diagnosis skills to medical students. </w:t>
      </w:r>
      <w:r>
        <w:rPr>
          <w:rFonts w:ascii="Arial" w:hAnsi="Arial" w:cs="Arial"/>
          <w:i/>
          <w:iCs/>
          <w:color w:val="222222"/>
          <w:sz w:val="20"/>
          <w:szCs w:val="20"/>
          <w:shd w:val="clear" w:color="auto" w:fill="FFFFFF"/>
        </w:rPr>
        <w:t>Academic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(10), pp.S47-S49.</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8: Xu, K., Liu, N., Xu, J., Guo, C., Zhao, L., Wang, H.W. and Zhang, Q.C., 2020. VRmol: an Integrative Web-Based Virtual Reality System to Explore Macromolecular Structure. </w:t>
      </w:r>
      <w:r>
        <w:rPr>
          <w:rFonts w:ascii="Arial" w:hAnsi="Arial" w:cs="Arial"/>
          <w:i/>
          <w:iCs/>
          <w:color w:val="222222"/>
          <w:sz w:val="20"/>
          <w:szCs w:val="20"/>
          <w:shd w:val="clear" w:color="auto" w:fill="FFFFFF"/>
        </w:rPr>
        <w:t>Bioinformatics</w:t>
      </w:r>
      <w:r>
        <w:rPr>
          <w:rFonts w:ascii="Arial" w:hAnsi="Arial" w:cs="Arial"/>
          <w:color w:val="222222"/>
          <w:sz w:val="20"/>
          <w:szCs w:val="20"/>
          <w:shd w:val="clear" w:color="auto" w:fill="FFFFFF"/>
        </w:rPr>
        <w:t>.</w:t>
      </w:r>
    </w:p>
    <w:p>
      <w:pPr>
        <w:rPr>
          <w:rFonts w:ascii="Arial" w:hAnsi="Arial" w:cs="Arial"/>
          <w:color w:val="222222"/>
          <w:sz w:val="20"/>
          <w:szCs w:val="20"/>
          <w:shd w:val="clear" w:color="auto" w:fill="FFFFFF"/>
        </w:rPr>
      </w:pPr>
      <w:r>
        <w:rPr>
          <w:rFonts w:ascii="Arial" w:hAnsi="Arial" w:cs="Arial"/>
          <w:color w:val="222222"/>
          <w:sz w:val="20"/>
          <w:szCs w:val="20"/>
          <w:shd w:val="clear" w:color="auto" w:fill="FFFFFF"/>
        </w:rPr>
        <w:t>9: Samadbeik, M., Yaaghobi, D., Bastani, P., Abhari, S., Rezaee, R. and Garavand, A., 2018. The applications of virtual reality technology in medical groups teaching. </w:t>
      </w:r>
      <w:r>
        <w:rPr>
          <w:rFonts w:ascii="Arial" w:hAnsi="Arial" w:cs="Arial"/>
          <w:i/>
          <w:iCs/>
          <w:color w:val="222222"/>
          <w:sz w:val="20"/>
          <w:szCs w:val="20"/>
          <w:shd w:val="clear" w:color="auto" w:fill="FFFFFF"/>
        </w:rPr>
        <w:t>Journal of Advances in Medical Education &amp; Professionalism</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(3), p.123.</w:t>
      </w:r>
    </w:p>
    <w:p>
      <w:pPr>
        <w:rPr>
          <w:rFonts w:ascii="Arial" w:hAnsi="Arial" w:cs="Arial"/>
          <w:b/>
          <w:bCs/>
          <w:color w:val="222222"/>
          <w:sz w:val="20"/>
          <w:szCs w:val="20"/>
          <w:shd w:val="clear" w:color="auto" w:fill="FFFFFF"/>
        </w:rPr>
      </w:pPr>
      <w:r>
        <w:rPr>
          <w:rFonts w:ascii="Arial" w:hAnsi="Arial" w:cs="Arial"/>
          <w:b w:val="0"/>
          <w:bCs w:val="0"/>
          <w:color w:val="222222"/>
          <w:sz w:val="20"/>
          <w:szCs w:val="20"/>
          <w:shd w:val="clear" w:color="auto" w:fill="FFFFFF"/>
        </w:rPr>
        <w:t>10:</w:t>
      </w:r>
      <w:r>
        <w:rPr>
          <w:rFonts w:ascii="Arial" w:hAnsi="Arial" w:cs="Arial"/>
          <w:b/>
          <w:bCs/>
          <w:color w:val="222222"/>
          <w:sz w:val="20"/>
          <w:szCs w:val="20"/>
          <w:shd w:val="clear" w:color="auto" w:fill="FFFFFF"/>
        </w:rPr>
        <w:t xml:space="preserve"> </w:t>
      </w:r>
      <w:r>
        <w:rPr>
          <w:rFonts w:ascii="Arial" w:hAnsi="Arial" w:cs="Arial"/>
          <w:color w:val="222222"/>
          <w:sz w:val="20"/>
          <w:szCs w:val="20"/>
          <w:shd w:val="clear" w:color="auto" w:fill="FFFFFF"/>
        </w:rPr>
        <w:t>Dixon, R.A., Hall, C. and Shawon, F., 2019. Using Virtual Reality and Web Conferencing Technologies: Exploring Alternatives for Microteaching in a Rural Region. </w:t>
      </w:r>
      <w:r>
        <w:rPr>
          <w:rFonts w:ascii="Arial" w:hAnsi="Arial" w:cs="Arial"/>
          <w:i/>
          <w:iCs/>
          <w:color w:val="222222"/>
          <w:sz w:val="20"/>
          <w:szCs w:val="20"/>
          <w:shd w:val="clear" w:color="auto" w:fill="FFFFFF"/>
        </w:rPr>
        <w:t>Northwest Journal of Teacher Education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w:t>
      </w:r>
      <w:r>
        <w:rPr>
          <w:rFonts w:ascii="Arial" w:hAnsi="Arial" w:cs="Arial"/>
          <w:color w:val="222222"/>
          <w:sz w:val="20"/>
          <w:szCs w:val="20"/>
          <w:shd w:val="clear" w:color="auto" w:fill="FFFFFF"/>
        </w:rPr>
        <w:t>(1), p.4.</w:t>
      </w:r>
    </w:p>
    <w:p>
      <w:pPr>
        <w:rPr>
          <w:rFonts w:hint="eastAsia"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rPr>
          <w:rFonts w:ascii="Segoe UI" w:hAnsi="Segoe UI" w:cs="Segoe UI"/>
          <w:color w:val="24292E"/>
          <w:sz w:val="16"/>
          <w:szCs w:val="16"/>
          <w:shd w:val="clear" w:color="auto" w:fill="FFFFFF"/>
        </w:rPr>
      </w:pP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优点度高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方法概要，简要解释每个模块的功能</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pStyle w:val="3"/>
        <w:jc w:val="center"/>
        <w:rPr>
          <w:b/>
          <w:bCs/>
        </w:rPr>
      </w:pPr>
      <w:r>
        <w:t xml:space="preserve">图 </w:t>
      </w:r>
      <w:r>
        <w:rPr>
          <w:rFonts w:hint="eastAsia"/>
          <w:lang w:val="en-US" w:eastAsia="zh-CN"/>
        </w:rPr>
        <w:t>2</w:t>
      </w:r>
      <w:r>
        <w:rPr>
          <w:rFonts w:hint="eastAsia"/>
        </w:rPr>
        <w:t xml:space="preserve">     </w:t>
      </w:r>
      <w:r>
        <w:rPr>
          <w:rFonts w:hint="eastAsia"/>
          <w:b/>
          <w:bCs/>
        </w:rPr>
        <w:t>静态会场场景的轻量化处理， 简要解释每个模块</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tbl>
      <w:tblPr>
        <w:tblStyle w:val="5"/>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模型网格</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骨骼动画</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纹理贴图</w:t>
            </w:r>
          </w:p>
        </w:tc>
      </w:tr>
      <w:tr>
        <w:tblPrEx>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资源个数</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平均重用度</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项目中人群资源的重用效果</w:t>
      </w:r>
    </w:p>
    <w:p>
      <w:pPr>
        <w:jc w:val="center"/>
      </w:pPr>
      <w:r>
        <w:drawing>
          <wp:inline distT="0" distB="0" distL="114300" distR="114300">
            <wp:extent cx="5268595" cy="2879725"/>
            <wp:effectExtent l="0" t="0" r="190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5268595" cy="2879725"/>
                    </a:xfrm>
                    <a:prstGeom prst="rect">
                      <a:avLst/>
                    </a:prstGeom>
                    <a:noFill/>
                    <a:ln>
                      <a:noFill/>
                    </a:ln>
                  </pic:spPr>
                </pic:pic>
              </a:graphicData>
            </a:graphic>
          </wp:inline>
        </w:drawing>
      </w:r>
    </w:p>
    <w:p>
      <w:pPr>
        <w:pStyle w:val="3"/>
        <w:ind w:firstLine="400" w:firstLineChars="200"/>
        <w:jc w:val="center"/>
      </w:pPr>
      <w:r>
        <w:t xml:space="preserve">图 </w:t>
      </w:r>
      <w:r>
        <w:rPr>
          <w:rFonts w:hint="eastAsia"/>
          <w:lang w:val="en-US" w:eastAsia="zh-CN"/>
        </w:rPr>
        <w:t>3</w:t>
      </w:r>
      <w:r>
        <w:rPr>
          <w:rFonts w:hint="eastAsia"/>
        </w:rPr>
        <w:t xml:space="preserve"> 大规模参会人群的轻量级行为建模</w:t>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rFonts w:hint="eastAsia"/>
        </w:rPr>
      </w:pPr>
      <w:r>
        <w:rPr>
          <w:rFonts w:hint="eastAsia"/>
        </w:rPr>
        <w:t>我们定义一个叫</w:t>
      </w:r>
      <w:r>
        <w:rPr>
          <w:rFonts w:hint="eastAsia"/>
          <w:b/>
          <w:bCs/>
        </w:rPr>
        <w:t>分散度</w:t>
      </w:r>
      <w:r>
        <w:rPr>
          <w:rFonts w:hint="eastAsia"/>
        </w:rPr>
        <w:t>概念，用来描述相似对象的分散程度。分散度的值为相同类型相同的元素间距离的最小值。我们要求一个最佳的人群设置方式A，使得分散度最大。</w:t>
      </w:r>
    </w:p>
    <w:p/>
    <w:p>
      <w:r>
        <w:rPr>
          <w:rFonts w:hint="eastAsia"/>
        </w:rPr>
        <w:t>公式中的每个参数与变量都应该做说明。</w:t>
      </w:r>
    </w:p>
    <w:p>
      <w:r>
        <w:rPr>
          <w:rFonts w:hint="eastAsia"/>
        </w:rPr>
        <w:t>我们以平均散度作为我们的目标函数:</w:t>
      </w:r>
      <w:r>
        <w:t xml:space="preserve"> </w:t>
      </w:r>
      <m:oMath>
        <m:func>
          <m:funcPr>
            <m:ctrlPr>
              <w:rPr>
                <w:rFonts w:ascii="Cambria Math" w:hAnsi="Cambria Math"/>
              </w:rPr>
            </m:ctrlPr>
          </m:funcPr>
          <m:fName>
            <m:r>
              <w:rPr>
                <w:rFonts w:ascii="Cambria Math" w:hAnsi="Cambria Math"/>
              </w:rPr>
              <m:t>max</m:t>
            </m:r>
            <m:ctrlPr>
              <w:rPr>
                <w:rFonts w:ascii="Cambria Math" w:hAnsi="Cambria Math"/>
              </w:rPr>
            </m:ctrlPr>
          </m:fName>
          <m:e>
            <m:r>
              <w:rPr>
                <w:rFonts w:ascii="Cambria Math" w:hAnsi="Cambria Math"/>
              </w:rPr>
              <m:t>f</m:t>
            </m:r>
            <m:r>
              <m:rPr>
                <m:sty m:val="p"/>
              </m:rPr>
              <w:rPr>
                <w:rFonts w:ascii="Cambria Math" w:hAnsi="Cambria Math"/>
              </w:rPr>
              <m:t xml:space="preserve">= </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limLoc m:val="subSup"/>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D</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 I(S</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m:t>
                    </m:r>
                    <m:ctrlPr>
                      <w:rPr>
                        <w:rFonts w:ascii="Cambria Math" w:hAnsi="Cambria Math"/>
                        <w:i/>
                      </w:rPr>
                    </m:ctrlPr>
                  </m:e>
                </m:d>
                <m:ctrlPr>
                  <w:rPr>
                    <w:rFonts w:ascii="Cambria Math" w:hAnsi="Cambria Math"/>
                    <w:i/>
                  </w:rPr>
                </m:ctrlPr>
              </m:e>
            </m:nary>
            <m:ctrlPr>
              <w:rPr>
                <w:rFonts w:ascii="Cambria Math" w:hAnsi="Cambria Math"/>
              </w:rPr>
            </m:ctrlPr>
          </m:e>
        </m:func>
      </m:oMath>
      <w:r>
        <w:rPr>
          <w:rFonts w:hint="eastAsia"/>
        </w:rPr>
        <w:t>，</w:t>
      </w:r>
      <m:oMath>
        <m:r>
          <w:rPr>
            <w:rFonts w:ascii="Cambria Math" w:hAnsi="Cambria Math"/>
          </w:rPr>
          <m:t>m</m:t>
        </m:r>
      </m:oMath>
      <w:r>
        <w:rPr>
          <w:rFonts w:hint="eastAsia"/>
        </w:rPr>
        <w:t>为总体参会人数，</w:t>
      </w:r>
      <m:oMath>
        <m:r>
          <w:rPr>
            <w:rFonts w:ascii="Cambria Math" w:hAnsi="Cambria Math"/>
          </w:rPr>
          <m:t>D</m:t>
        </m:r>
      </m:oMath>
      <w:r>
        <w:t xml:space="preserve"> </w:t>
      </w:r>
      <w:r>
        <w:rPr>
          <w:rFonts w:hint="eastAsia"/>
        </w:rPr>
        <w:t>为欧式距离，</w:t>
      </w:r>
      <m:oMath>
        <m:r>
          <w:rPr>
            <w:rFonts w:ascii="Cambria Math" w:hAnsi="Cambria Math"/>
          </w:rPr>
          <m:t>I(i)</m:t>
        </m:r>
      </m:oMath>
      <w:r>
        <w:rPr>
          <w:rFonts w:hint="eastAsia"/>
        </w:rPr>
        <w:t xml:space="preserve">为用户 </w:t>
      </w:r>
      <m:oMath>
        <m:r>
          <w:rPr>
            <w:rFonts w:ascii="Cambria Math" w:hAnsi="Cambria Math"/>
          </w:rPr>
          <m:t>i</m:t>
        </m:r>
      </m:oMath>
      <w:r>
        <w:t xml:space="preserve"> </w:t>
      </w:r>
      <w:r>
        <w:rPr>
          <w:rFonts w:hint="eastAsia"/>
        </w:rPr>
        <w:t>的行列坐标，</w:t>
      </w:r>
      <m:oMath>
        <m:r>
          <w:rPr>
            <w:rFonts w:ascii="Cambria Math" w:hAnsi="Cambria Math"/>
          </w:rPr>
          <m:t>S</m:t>
        </m:r>
        <m:d>
          <m:dPr>
            <m:ctrlPr>
              <w:rPr>
                <w:rFonts w:ascii="Cambria Math" w:hAnsi="Cambria Math"/>
                <w:i/>
              </w:rPr>
            </m:ctrlPr>
          </m:dPr>
          <m:e>
            <m:r>
              <w:rPr>
                <w:rFonts w:ascii="Cambria Math" w:hAnsi="Cambria Math"/>
              </w:rPr>
              <m:t>i</m:t>
            </m:r>
            <m:ctrlPr>
              <w:rPr>
                <w:rFonts w:ascii="Cambria Math" w:hAnsi="Cambria Math"/>
                <w:i/>
              </w:rPr>
            </m:ctrlPr>
          </m:e>
        </m:d>
      </m:oMath>
      <w:r>
        <w:t xml:space="preserve"> </w:t>
      </w:r>
      <w:r>
        <w:rPr>
          <w:rFonts w:hint="eastAsia"/>
        </w:rPr>
        <w:t xml:space="preserve">为距离用户 </w:t>
      </w:r>
      <m:oMath>
        <m:r>
          <w:rPr>
            <w:rFonts w:ascii="Cambria Math" w:hAnsi="Cambria Math"/>
          </w:rPr>
          <m:t>i</m:t>
        </m:r>
      </m:oMath>
      <w:r>
        <w:t xml:space="preserve"> </w:t>
      </w:r>
      <w:r>
        <w:rPr>
          <w:rFonts w:hint="eastAsia"/>
        </w:rPr>
        <w:t>最近且使用相同类型元素用户的坐标。</w:t>
      </w:r>
    </w:p>
    <w:p>
      <w:pPr>
        <w:ind w:firstLine="420"/>
      </w:pPr>
      <w:r>
        <w:rPr>
          <w:rFonts w:hint="eastAsia"/>
        </w:rPr>
        <w:t>（</w:t>
      </w:r>
      <w:r>
        <w:rPr>
          <w:rFonts w:hint="eastAsia"/>
          <w:lang w:val="en-US" w:eastAsia="zh-CN"/>
        </w:rPr>
        <w:t>3</w:t>
      </w:r>
      <w:r>
        <w:rPr>
          <w:rFonts w:hint="eastAsia"/>
        </w:rPr>
        <w:t>）优化效果</w:t>
      </w:r>
    </w:p>
    <w:p>
      <w:pPr>
        <w:ind w:firstLine="420"/>
        <w:rPr>
          <w:b/>
          <w:bCs/>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
      <w:pPr>
        <w:numPr>
          <w:ilvl w:val="0"/>
          <w:numId w:val="5"/>
        </w:numPr>
        <w:rPr>
          <w:b/>
          <w:bCs/>
        </w:rPr>
      </w:pPr>
      <w:r>
        <w:rPr>
          <w:rFonts w:hint="eastAsia"/>
          <w:b/>
          <w:bCs/>
        </w:rPr>
        <w:t>关键技术之二：细粒度化渐进式传输调度</w:t>
      </w:r>
    </w:p>
    <w:p>
      <w:pPr>
        <w:widowControl/>
        <w:ind w:firstLine="420" w:firstLineChars="200"/>
        <w:jc w:val="left"/>
        <w:rPr>
          <w:rFonts w:hint="default" w:eastAsiaTheme="minor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69865" cy="2991485"/>
            <wp:effectExtent l="0" t="0" r="63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69865" cy="2991485"/>
                    </a:xfrm>
                    <a:prstGeom prst="rect">
                      <a:avLst/>
                    </a:prstGeom>
                    <a:noFill/>
                    <a:ln>
                      <a:noFill/>
                    </a:ln>
                  </pic:spPr>
                </pic:pic>
              </a:graphicData>
            </a:graphic>
          </wp:inline>
        </w:drawing>
      </w:r>
    </w:p>
    <w:p>
      <w:pPr>
        <w:pStyle w:val="3"/>
        <w:jc w:val="center"/>
      </w:pPr>
      <w:r>
        <w:t xml:space="preserve">图 </w:t>
      </w:r>
      <w:r>
        <w:rPr>
          <w:rFonts w:hint="eastAsia"/>
          <w:lang w:val="en-US" w:eastAsia="zh-CN"/>
        </w:rPr>
        <w:t>4</w:t>
      </w:r>
      <w:r>
        <w:rPr>
          <w:rFonts w:hint="eastAsia"/>
        </w:rPr>
        <w:t xml:space="preserve">     </w:t>
      </w:r>
      <w:r>
        <w:rPr>
          <w:rFonts w:hint="eastAsia"/>
          <w:b/>
          <w:bCs/>
        </w:rPr>
        <w:t>细粒度化渐进式传输调度</w:t>
      </w:r>
    </w:p>
    <w:p>
      <w:r>
        <w:rPr>
          <w:rFonts w:hint="eastAsia"/>
        </w:rPr>
        <w:t>5.1轻量化内存管理</w:t>
      </w:r>
    </w:p>
    <w:p>
      <w:pPr>
        <w:ind w:firstLine="420" w:firstLineChars="20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的人物对象资源不被重复存储，需要将场景中的人群统一管理，我们用JS设计了以一个对象来管理整个的人群。</w:t>
      </w:r>
      <w:r>
        <w:rPr>
          <w:rStyle w:val="7"/>
          <w:rFonts w:hint="eastAsia"/>
          <w:lang w:val="en-US" w:eastAsia="zh-CN"/>
        </w:rPr>
        <w:t>我们将人群作为一个整体，单个人物的操作通过人群对象提供的接口来进行。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firstLineChars="200"/>
        <w:rPr>
          <w:rFonts w:hint="default" w:eastAsiaTheme="minorEastAsia"/>
          <w:lang w:val="en-US" w:eastAsia="zh-CN"/>
        </w:rPr>
      </w:pPr>
      <w:r>
        <w:rPr>
          <w:rStyle w:val="7"/>
          <w:rFonts w:hint="eastAsia"/>
          <w:lang w:val="en-US" w:eastAsia="zh-CN"/>
        </w:rPr>
        <w:t>为了方便将我们的人群轻量化处理技术应用于其它项目，我们进行了完整的方法封装和提供了丰富的接口，</w:t>
      </w:r>
      <w:r>
        <w:rPr>
          <w:rFonts w:hint="eastAsia" w:asciiTheme="minorHAnsi" w:hAnsiTheme="minorHAnsi" w:eastAsiaTheme="minorEastAsia" w:cstheme="minorBidi"/>
          <w:i w:val="0"/>
          <w:caps w:val="0"/>
          <w:spacing w:val="0"/>
          <w:sz w:val="21"/>
          <w:szCs w:val="24"/>
          <w:shd w:val="clear"/>
        </w:rPr>
        <w:t>增强安全性和简化编程，使用者不必了解</w:t>
      </w:r>
      <w:r>
        <w:rPr>
          <w:rFonts w:hint="eastAsia" w:asciiTheme="minorHAnsi" w:hAnsiTheme="minorHAnsi" w:eastAsiaTheme="minorEastAsia" w:cstheme="minorBidi"/>
          <w:i w:val="0"/>
          <w:caps w:val="0"/>
          <w:spacing w:val="0"/>
          <w:sz w:val="21"/>
          <w:szCs w:val="24"/>
          <w:shd w:val="clear"/>
          <w:lang w:val="en-US" w:eastAsia="zh-CN"/>
        </w:rPr>
        <w:t>轻量化处理的</w:t>
      </w:r>
      <w:r>
        <w:rPr>
          <w:rFonts w:hint="eastAsia" w:asciiTheme="minorHAnsi" w:hAnsiTheme="minorHAnsi" w:eastAsiaTheme="minorEastAsia" w:cstheme="minorBidi"/>
          <w:i w:val="0"/>
          <w:caps w:val="0"/>
          <w:spacing w:val="0"/>
          <w:sz w:val="21"/>
          <w:szCs w:val="24"/>
          <w:shd w:val="clear"/>
        </w:rPr>
        <w:t>具体实现细节，而只是要</w:t>
      </w:r>
      <w:r>
        <w:rPr>
          <w:rFonts w:hint="eastAsia" w:asciiTheme="minorHAnsi" w:hAnsiTheme="minorHAnsi" w:eastAsiaTheme="minorEastAsia" w:cstheme="minorBidi"/>
          <w:i w:val="0"/>
          <w:caps w:val="0"/>
          <w:spacing w:val="0"/>
          <w:sz w:val="21"/>
          <w:szCs w:val="24"/>
          <w:shd w:val="clear"/>
          <w:lang w:val="en-US" w:eastAsia="zh-CN"/>
        </w:rPr>
        <w:t>调用</w:t>
      </w:r>
      <w:r>
        <w:rPr>
          <w:rFonts w:hint="eastAsia" w:asciiTheme="minorHAnsi" w:hAnsiTheme="minorHAnsi" w:eastAsiaTheme="minorEastAsia" w:cstheme="minorBidi"/>
          <w:i w:val="0"/>
          <w:caps w:val="0"/>
          <w:spacing w:val="0"/>
          <w:sz w:val="21"/>
          <w:szCs w:val="24"/>
          <w:shd w:val="clear"/>
        </w:rPr>
        <w:t>接口</w:t>
      </w:r>
      <w:r>
        <w:rPr>
          <w:rFonts w:hint="eastAsia" w:asciiTheme="minorHAnsi" w:hAnsiTheme="minorHAnsi" w:eastAsiaTheme="minorEastAsia" w:cstheme="minorBidi"/>
          <w:i w:val="0"/>
          <w:caps w:val="0"/>
          <w:spacing w:val="0"/>
          <w:sz w:val="21"/>
          <w:szCs w:val="24"/>
          <w:shd w:val="clear"/>
          <w:lang w:val="en-US" w:eastAsia="zh-CN"/>
        </w:rPr>
        <w:t>就可以将轻量化技术用于其它项目</w:t>
      </w:r>
      <w:r>
        <w:rPr>
          <w:rFonts w:hint="eastAsia" w:asciiTheme="minorHAnsi" w:hAnsiTheme="minorHAnsi" w:eastAsiaTheme="minorEastAsia" w:cstheme="minorBidi"/>
          <w:i w:val="0"/>
          <w:caps w:val="0"/>
          <w:spacing w:val="0"/>
          <w:sz w:val="21"/>
          <w:szCs w:val="24"/>
          <w:shd w:val="clear"/>
        </w:rPr>
        <w:t>。</w:t>
      </w:r>
      <w:r>
        <w:rPr>
          <w:rFonts w:hint="eastAsia" w:cstheme="minorBidi"/>
          <w:i w:val="0"/>
          <w:caps w:val="0"/>
          <w:spacing w:val="0"/>
          <w:sz w:val="21"/>
          <w:szCs w:val="24"/>
          <w:shd w:val="clear"/>
          <w:lang w:val="en-US" w:eastAsia="zh-CN"/>
        </w:rPr>
        <w:t>我们提供的接口主要分为人物多样性设置接口和人物操控接口两类，多样性设置接口可以设置身体不同部位的贴图还可以调整人物的色调，人物操控接口可以操纵人物进行移动、旋转，设置人物的高矮胖瘦、动画的种类和播放速度。</w:t>
      </w:r>
    </w:p>
    <w:p/>
    <w:p>
      <w:pPr>
        <w:rPr>
          <w:rFonts w:hint="eastAsia" w:eastAsiaTheme="minorEastAsia"/>
          <w:lang w:eastAsia="zh-CN"/>
        </w:rPr>
      </w:pPr>
      <w:r>
        <w:rPr>
          <w:rFonts w:hint="eastAsia"/>
        </w:rPr>
        <w:t>5.2基于兴趣度的细粒度化</w:t>
      </w:r>
      <w:r>
        <w:rPr>
          <w:rFonts w:hint="eastAsia"/>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bookmarkStart w:id="4" w:name="_GoBack"/>
      <w:bookmarkEnd w:id="4"/>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ind w:firstLine="420" w:firstLineChars="200"/>
        <w:jc w:val="center"/>
        <w:rPr>
          <w:rFonts w:hint="eastAsia"/>
          <w:lang w:val="en-US" w:eastAsia="zh-CN"/>
        </w:rPr>
      </w:pPr>
      <w:r>
        <w:rPr>
          <w:rFonts w:hint="eastAsia"/>
          <w:lang w:val="en-US" w:eastAsia="zh-CN"/>
        </w:rPr>
        <w:t>ID=a×AS+b×FD+c×RD+d×AD</w:t>
      </w:r>
    </w:p>
    <w:p>
      <w:pPr>
        <w:widowControl/>
        <w:ind w:firstLine="420" w:firstLineChars="200"/>
        <w:jc w:val="left"/>
        <w:rPr>
          <w:rFonts w:hint="default"/>
          <w:lang w:val="en-US"/>
        </w:rPr>
      </w:pPr>
      <w:r>
        <w:rPr>
          <w:rFonts w:hint="eastAsia"/>
          <w:lang w:val="en-US" w:eastAsia="zh-CN"/>
        </w:rPr>
        <w:t>公式中a、b、c、d为权重。ID(Interest Degree)是兴趣度。AS(Animation Speed)是动画播放速度。填充度（Fill Degree, FD）指模型所占的包围盒体 。重用度(Reuse Degree, RD）指模型的实例构件数量与其文件大小的比值。关注度（Attention Degree, AD）反应了模型在单 位传输消耗下于用户对其可能的关注程度高低积与其文件大小的比值。</w:t>
      </w:r>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rPr>
          <w:rFonts w:hint="default" w:eastAsiaTheme="minorEastAsia"/>
          <w:lang w:val="en-US" w:eastAsia="zh-CN"/>
        </w:rPr>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ind w:firstLine="0" w:firstLineChars="0"/>
      </w:pPr>
    </w:p>
    <w:p>
      <w:pPr>
        <w:rPr>
          <w:b/>
          <w:bCs/>
        </w:rPr>
      </w:pPr>
      <w:r>
        <w:rPr>
          <w:rFonts w:hint="eastAsia"/>
          <w:b/>
          <w:bCs/>
        </w:rPr>
        <w:t>6 轻量级大规模会议场景在线渲染</w:t>
      </w:r>
    </w:p>
    <w:p>
      <w:pPr>
        <w:pStyle w:val="3"/>
        <w:jc w:val="center"/>
      </w:pPr>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pStyle w:val="3"/>
        <w:jc w:val="center"/>
      </w:pPr>
      <w:r>
        <w:t xml:space="preserve">图 </w:t>
      </w:r>
      <w:r>
        <w:rPr>
          <w:rFonts w:hint="eastAsia"/>
          <w:lang w:val="en-US" w:eastAsia="zh-CN"/>
        </w:rPr>
        <w:t>5</w:t>
      </w:r>
      <w:r>
        <w:rPr>
          <w:rFonts w:hint="eastAsia"/>
        </w:rPr>
        <w:t xml:space="preserve">     大规模人群的轻量化</w:t>
      </w:r>
      <w:r>
        <w:rPr>
          <w:rFonts w:hint="eastAsia"/>
          <w:b w:val="0"/>
          <w:bCs w:val="0"/>
        </w:rPr>
        <w:t>在线渲染</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594100" cy="4533900"/>
                    </a:xfrm>
                    <a:prstGeom prst="rect">
                      <a:avLst/>
                    </a:prstGeom>
                    <a:noFill/>
                    <a:ln>
                      <a:noFill/>
                    </a:ln>
                  </pic:spPr>
                </pic:pic>
              </a:graphicData>
            </a:graphic>
          </wp:inline>
        </w:drawing>
      </w:r>
    </w:p>
    <w:p>
      <w:pPr>
        <w:rPr>
          <w:rFonts w:hint="eastAsia"/>
        </w:rPr>
      </w:pPr>
      <w:r>
        <w:rPr>
          <w:rFonts w:hint="eastAsia"/>
        </w:rPr>
        <w:t>7.实验结果与性能分析</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0"/>
                    <a:stretch>
                      <a:fillRect/>
                    </a:stretch>
                  </pic:blipFill>
                  <pic:spPr>
                    <a:xfrm>
                      <a:off x="0" y="0"/>
                      <a:ext cx="5269865" cy="1940560"/>
                    </a:xfrm>
                    <a:prstGeom prst="rect">
                      <a:avLst/>
                    </a:prstGeom>
                  </pic:spPr>
                </pic:pic>
              </a:graphicData>
            </a:graphic>
          </wp:inline>
        </w:drawing>
      </w:r>
    </w:p>
    <w:p>
      <w:pPr>
        <w:pStyle w:val="3"/>
        <w:jc w:val="center"/>
        <w:rPr>
          <w:rFonts w:hint="eastAsia" w:eastAsia="黑体"/>
          <w:lang w:val="en-US" w:eastAsia="zh-CN"/>
        </w:rPr>
      </w:pPr>
      <w:r>
        <w:t xml:space="preserve">图 </w:t>
      </w:r>
      <w:r>
        <w:rPr>
          <w:rFonts w:hint="eastAsia"/>
          <w:lang w:val="en-US" w:eastAsia="zh-CN"/>
        </w:rPr>
        <w:t>6 静态场景的</w:t>
      </w:r>
      <w:r>
        <w:rPr>
          <w:rFonts w:hint="eastAsia"/>
          <w:lang w:eastAsia="zh-CN"/>
        </w:rPr>
        <w:t>轻量化处理效果</w:t>
      </w:r>
    </w:p>
    <w:p>
      <w:pPr>
        <w:jc w:val="center"/>
        <w:rPr>
          <w:rFonts w:hint="eastAsia" w:eastAsiaTheme="minorEastAsia"/>
          <w:lang w:eastAsia="zh-CN"/>
        </w:rPr>
      </w:pPr>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1"/>
                    <a:stretch>
                      <a:fillRect/>
                    </a:stretch>
                  </pic:blipFill>
                  <pic:spPr>
                    <a:xfrm>
                      <a:off x="0" y="0"/>
                      <a:ext cx="4305300" cy="20701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7</w:t>
      </w:r>
      <w:r>
        <w:rPr>
          <w:rFonts w:hint="eastAsia"/>
          <w:lang w:eastAsia="zh-CN"/>
        </w:rPr>
        <w:t xml:space="preserve">     静态场景轻量化处理后减少的数据量</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测试环境的硬件配置</w:t>
      </w:r>
    </w:p>
    <w:p>
      <w:pPr>
        <w:pStyle w:val="3"/>
        <w:jc w:val="center"/>
      </w:pPr>
      <w: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2"/>
                    <a:stretch>
                      <a:fillRect/>
                    </a:stretch>
                  </pic:blipFill>
                  <pic:spPr>
                    <a:xfrm>
                      <a:off x="0" y="0"/>
                      <a:ext cx="2012950" cy="19685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8</w:t>
      </w:r>
      <w:r>
        <w:rPr>
          <w:rFonts w:hint="eastAsia"/>
          <w:lang w:eastAsia="zh-CN"/>
        </w:rPr>
        <w:t xml:space="preserve">     PM处理的数据量</w:t>
      </w:r>
    </w:p>
    <w:p>
      <w:pPr>
        <w:pStyle w:val="3"/>
        <w:jc w:val="center"/>
        <w:rPr>
          <w:rFonts w:eastAsia="宋体"/>
        </w:rPr>
      </w:pPr>
    </w:p>
    <w:p>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3"/>
                    <a:stretch>
                      <a:fillRect/>
                    </a:stretch>
                  </pic:blipFill>
                  <pic:spPr>
                    <a:xfrm>
                      <a:off x="0" y="0"/>
                      <a:ext cx="4632325" cy="3469005"/>
                    </a:xfrm>
                    <a:prstGeom prst="rect">
                      <a:avLst/>
                    </a:prstGeom>
                  </pic:spPr>
                </pic:pic>
              </a:graphicData>
            </a:graphic>
          </wp:inline>
        </w:drawing>
      </w:r>
    </w:p>
    <w:p>
      <w:pPr>
        <w:pStyle w:val="3"/>
        <w:jc w:val="center"/>
        <w:rPr>
          <w:rFonts w:eastAsiaTheme="minorEastAsia"/>
        </w:rPr>
      </w:pPr>
      <w:r>
        <w:t>图</w:t>
      </w:r>
      <w:r>
        <w:rPr>
          <w:rFonts w:hint="eastAsia"/>
          <w:lang w:val="en-US" w:eastAsia="zh-CN"/>
        </w:rPr>
        <w:t>9</w:t>
      </w:r>
      <w:r>
        <w:rPr>
          <w:rFonts w:hint="eastAsia"/>
        </w:rPr>
        <w:t xml:space="preserve">     人群的轻量化处理技术在项目中的效果， 解释FPS</w:t>
      </w:r>
      <w:r>
        <w:t xml:space="preserve"> ()</w:t>
      </w:r>
    </w:p>
    <w:p>
      <w: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4"/>
                    <a:stretch>
                      <a:fillRect/>
                    </a:stretch>
                  </pic:blipFill>
                  <pic:spPr>
                    <a:xfrm>
                      <a:off x="0" y="0"/>
                      <a:ext cx="5271770" cy="2094865"/>
                    </a:xfrm>
                    <a:prstGeom prst="rect">
                      <a:avLst/>
                    </a:prstGeom>
                  </pic:spPr>
                </pic:pic>
              </a:graphicData>
            </a:graphic>
          </wp:inline>
        </w:drawing>
      </w:r>
    </w:p>
    <w:p>
      <w:pPr>
        <w:pStyle w:val="4"/>
        <w:jc w:val="center"/>
      </w:pPr>
      <w:r>
        <w:t xml:space="preserve">图 </w:t>
      </w:r>
      <w:r>
        <w:rPr>
          <w:rFonts w:hint="eastAsia"/>
          <w:lang w:val="en-US" w:eastAsia="zh-CN"/>
        </w:rPr>
        <w:t>10</w:t>
      </w:r>
      <w:r>
        <w:rPr>
          <w:rFonts w:hint="eastAsia"/>
        </w:rPr>
        <w:t xml:space="preserve">  同样帧率下能支持的在线虚拟参会的最大人数</w:t>
      </w:r>
    </w:p>
    <w:p>
      <w:pPr>
        <w:pStyle w:val="3"/>
        <w:jc w:val="center"/>
      </w:pPr>
    </w:p>
    <w:p>
      <w:pPr>
        <w:ind w:firstLine="420"/>
        <w:rPr>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项目效果图</w:t>
      </w:r>
    </w:p>
    <w:p>
      <w:pPr>
        <w:rPr>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hint="default" w:eastAsiaTheme="minorEastAsia"/>
          <w:lang w:val="en-US" w:eastAsia="zh-CN"/>
        </w:rPr>
      </w:pPr>
      <w:r>
        <w:rPr>
          <w:rFonts w:hint="eastAsia"/>
          <w:lang w:val="en-US" w:eastAsia="zh-CN"/>
        </w:rPr>
        <w:t>[22]The Virtual Conference: Extending Professional Education in Cyberspace</w:t>
      </w:r>
    </w:p>
    <w:p>
      <w:pPr>
        <w:rPr>
          <w:rFonts w:hint="eastAsia"/>
          <w:lang w:val="en-US" w:eastAsia="zh-CN"/>
        </w:rPr>
      </w:pPr>
      <w:r>
        <w:rPr>
          <w:rFonts w:hint="eastAsia"/>
          <w:lang w:val="en-US" w:eastAsia="zh-CN"/>
        </w:rPr>
        <w:t>[23]Development of Virtual Poster Session Service based on WebVR for conference</w:t>
      </w:r>
    </w:p>
    <w:p>
      <w:pPr>
        <w:rPr>
          <w:rFonts w:hint="eastAsia"/>
          <w:lang w:val="en-US" w:eastAsia="zh-CN"/>
        </w:rPr>
      </w:pPr>
      <w:r>
        <w:rPr>
          <w:rFonts w:hint="eastAsia"/>
          <w:lang w:val="en-US" w:eastAsia="zh-CN"/>
        </w:rPr>
        <w:t>[24]Synchronous interaction among hundreds: an evaluation of a conference in an avatar-based virtual environment</w:t>
      </w:r>
    </w:p>
    <w:p>
      <w:pPr>
        <w:rPr>
          <w:rFonts w:hint="eastAsia"/>
          <w:lang w:val="en-US" w:eastAsia="zh-CN"/>
        </w:rPr>
      </w:pPr>
      <w:r>
        <w:rPr>
          <w:rFonts w:hint="eastAsia"/>
          <w:lang w:val="en-US" w:eastAsia="zh-CN"/>
        </w:rPr>
        <w:t>[25]Ten Simple Rules for Organizing a Virtual Conference—Anywhere</w:t>
      </w:r>
    </w:p>
    <w:p>
      <w:pPr>
        <w:rPr>
          <w:rFonts w:hint="eastAsia"/>
          <w:lang w:val="en-US" w:eastAsia="zh-CN"/>
        </w:rPr>
      </w:pPr>
      <w:r>
        <w:rPr>
          <w:rFonts w:hint="eastAsia"/>
          <w:lang w:val="en-US" w:eastAsia="zh-CN"/>
        </w:rPr>
        <w:t>[26]The value of virtual conferencing for ecology and conservation</w:t>
      </w:r>
    </w:p>
    <w:p>
      <w:pPr>
        <w:rPr>
          <w:rFonts w:hint="default"/>
          <w:lang w:val="en-US" w:eastAsia="zh-CN"/>
        </w:rPr>
      </w:pPr>
      <w:r>
        <w:rPr>
          <w:rFonts w:hint="eastAsia"/>
          <w:lang w:val="en-US" w:eastAsia="zh-CN"/>
        </w:rPr>
        <w:t>[27]A model of dynamic interest management: interaction analysis in collaborative virtual environment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0EDB22AC"/>
    <w:rsid w:val="1CB441AF"/>
    <w:rsid w:val="1F4F1D41"/>
    <w:rsid w:val="27A37492"/>
    <w:rsid w:val="2AAB0DDA"/>
    <w:rsid w:val="333109FA"/>
    <w:rsid w:val="46F35B5F"/>
    <w:rsid w:val="5F500430"/>
    <w:rsid w:val="6C816236"/>
    <w:rsid w:val="6EEB4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2021-02-20T09:51:58Z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