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r>
        <w:drawing>
          <wp:inline distT="0" distB="0" distL="114300" distR="114300">
            <wp:extent cx="5271135" cy="292417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924175"/>
                    </a:xfrm>
                    <a:prstGeom prst="rect">
                      <a:avLst/>
                    </a:prstGeom>
                    <a:noFill/>
                    <a:ln>
                      <a:noFill/>
                    </a:ln>
                  </pic:spPr>
                </pic:pic>
              </a:graphicData>
            </a:graphic>
          </wp:inline>
        </w:drawing>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ind w:firstLine="420" w:firstLineChars="0"/>
        <w:rPr>
          <w:rFonts w:hint="eastAsia"/>
        </w:rPr>
      </w:pPr>
    </w:p>
    <w:p>
      <w:pPr>
        <w:jc w:val="center"/>
      </w:pPr>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2023745" cy="38735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0"/>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Generating large crowds using progressive mesh</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3"/>
        <w:jc w:val="center"/>
      </w:pPr>
      <w:r>
        <w:rPr>
          <w:rFonts w:hint="eastAsia"/>
        </w:rPr>
        <w:t>Figure</w:t>
      </w:r>
      <w:r>
        <w:t xml:space="preserve"> </w:t>
      </w:r>
      <w:r>
        <w:rPr>
          <w:rFonts w:hint="eastAsia"/>
          <w:lang w:val="en-US" w:eastAsia="zh-CN"/>
        </w:rPr>
        <w:t>6</w:t>
      </w:r>
      <w:r>
        <w:rPr>
          <w:rFonts w:hint="eastAsia"/>
        </w:rPr>
        <w:t xml:space="preserve">   Lightweight rendering process for large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594100" cy="4533900"/>
                    </a:xfrm>
                    <a:prstGeom prst="rect">
                      <a:avLst/>
                    </a:prstGeom>
                    <a:noFill/>
                    <a:ln>
                      <a:noFill/>
                    </a:ln>
                  </pic:spPr>
                </pic:pic>
              </a:graphicData>
            </a:graphic>
          </wp:inline>
        </w:drawing>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RESULTS</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bookmarkStart w:id="4" w:name="_GoBack"/>
      <w:r>
        <w:rPr>
          <w:rFonts w:hint="eastAsia" w:eastAsiaTheme="minorEastAsia"/>
          <w:lang w:eastAsia="zh-CN"/>
        </w:rPr>
        <w:drawing>
          <wp:inline distT="0" distB="0" distL="114300" distR="114300">
            <wp:extent cx="5137150" cy="4641850"/>
            <wp:effectExtent l="0" t="0" r="6350" b="6350"/>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13"/>
                    <a:stretch>
                      <a:fillRect/>
                    </a:stretch>
                  </pic:blipFill>
                  <pic:spPr>
                    <a:xfrm>
                      <a:off x="0" y="0"/>
                      <a:ext cx="5137150" cy="4641850"/>
                    </a:xfrm>
                    <a:prstGeom prst="rect">
                      <a:avLst/>
                    </a:prstGeom>
                  </pic:spPr>
                </pic:pic>
              </a:graphicData>
            </a:graphic>
          </wp:inline>
        </w:drawing>
      </w:r>
      <w:bookmarkEnd w:id="4"/>
    </w:p>
    <w:p>
      <w:pPr>
        <w:pStyle w:val="3"/>
        <w:jc w:val="center"/>
        <w:rPr>
          <w:rFonts w:hint="eastAsia" w:eastAsia="黑体"/>
          <w:lang w:val="en-US" w:eastAsia="zh-CN"/>
        </w:rPr>
      </w:pPr>
      <w:r>
        <w:rPr>
          <w:rFonts w:hint="eastAsia"/>
        </w:rPr>
        <w:t>Figure</w:t>
      </w:r>
      <w:r>
        <w:t xml:space="preserve"> </w:t>
      </w:r>
      <w:r>
        <w:rPr>
          <w:rFonts w:hint="eastAsia"/>
          <w:lang w:val="en-US" w:eastAsia="zh-CN"/>
        </w:rPr>
        <w:t>7 Lightweight processing effect of static scene</w:t>
      </w:r>
    </w:p>
    <w:tbl>
      <w:tblPr>
        <w:tblStyle w:val="5"/>
        <w:tblW w:w="7960" w:type="dxa"/>
        <w:jc w:val="center"/>
        <w:shd w:val="clear" w:color="auto" w:fill="auto"/>
        <w:tblLayout w:type="autofit"/>
        <w:tblCellMar>
          <w:top w:w="0" w:type="dxa"/>
          <w:left w:w="0" w:type="dxa"/>
          <w:bottom w:w="0" w:type="dxa"/>
          <w:right w:w="0" w:type="dxa"/>
        </w:tblCellMar>
      </w:tblPr>
      <w:tblGrid>
        <w:gridCol w:w="1858"/>
        <w:gridCol w:w="1681"/>
        <w:gridCol w:w="1634"/>
        <w:gridCol w:w="1447"/>
        <w:gridCol w:w="1340"/>
      </w:tblGrid>
      <w:tr>
        <w:tblPrEx>
          <w:shd w:val="clear" w:color="auto" w:fill="auto"/>
          <w:tblCellMar>
            <w:top w:w="0" w:type="dxa"/>
            <w:left w:w="0" w:type="dxa"/>
            <w:bottom w:w="0" w:type="dxa"/>
            <w:right w:w="0" w:type="dxa"/>
          </w:tblCellMar>
        </w:tblPrEx>
        <w:trPr>
          <w:trHeight w:val="560" w:hRule="atLeast"/>
          <w:jc w:val="center"/>
        </w:trPr>
        <w:tc>
          <w:tcPr>
            <w:tcW w:w="1859"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Model component</w:t>
            </w:r>
          </w:p>
        </w:tc>
        <w:tc>
          <w:tcPr>
            <w:tcW w:w="168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Triangular surface</w:t>
            </w:r>
          </w:p>
        </w:tc>
        <w:tc>
          <w:tcPr>
            <w:tcW w:w="1635"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geometry data</w:t>
            </w:r>
          </w:p>
        </w:tc>
        <w:tc>
          <w:tcPr>
            <w:tcW w:w="1447"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material data</w:t>
            </w:r>
          </w:p>
        </w:tc>
        <w:tc>
          <w:tcPr>
            <w:tcW w:w="1341" w:type="dxa"/>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mesh data</w:t>
            </w:r>
          </w:p>
        </w:tc>
      </w:tr>
      <w:tr>
        <w:tblPrEx>
          <w:tblCellMar>
            <w:top w:w="0" w:type="dxa"/>
            <w:left w:w="0" w:type="dxa"/>
            <w:bottom w:w="0" w:type="dxa"/>
            <w:right w:w="0" w:type="dxa"/>
          </w:tblCellMar>
        </w:tblPrEx>
        <w:trPr>
          <w:trHeight w:val="280" w:hRule="atLeast"/>
          <w:jc w:val="center"/>
        </w:trPr>
        <w:tc>
          <w:tcPr>
            <w:tcW w:w="1859"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168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1635"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1447"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1341" w:type="dxa"/>
            <w:tcBorders>
              <w:top w:val="single" w:color="5B9BD5" w:sz="4" w:space="0"/>
              <w:left w:val="nil"/>
              <w:bottom w:val="single" w:color="5B9BD5" w:sz="4" w:space="0"/>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2</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p>
        </w:tc>
        <w:tc>
          <w:tcPr>
            <w:tcW w:w="2130" w:type="dxa"/>
          </w:tcPr>
          <w:p>
            <w:pPr>
              <w:rPr>
                <w:rFonts w:hint="default"/>
                <w:lang w:val="en-US" w:eastAsia="zh-CN"/>
              </w:rPr>
            </w:pPr>
            <w:r>
              <w:rPr>
                <w:rFonts w:hint="eastAsia"/>
                <w:lang w:val="en-US" w:eastAsia="zh-CN"/>
              </w:rPr>
              <w:t>PC1</w:t>
            </w:r>
          </w:p>
        </w:tc>
        <w:tc>
          <w:tcPr>
            <w:tcW w:w="2131" w:type="dxa"/>
          </w:tcPr>
          <w:p>
            <w:pPr>
              <w:rPr>
                <w:rFonts w:hint="default"/>
                <w:lang w:val="en-US"/>
              </w:rPr>
            </w:pPr>
            <w:r>
              <w:rPr>
                <w:rFonts w:hint="eastAsia"/>
                <w:lang w:val="en-US" w:eastAsia="zh-CN"/>
              </w:rPr>
              <w:t>PC2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rPr>
          <w:rFonts w:hint="eastAsia"/>
          <w:lang w:val="en-US" w:eastAsia="zh-CN"/>
        </w:rPr>
        <w:t>Table</w:t>
      </w:r>
      <w:r>
        <w:t xml:space="preserve"> </w:t>
      </w:r>
      <w:r>
        <w:rPr>
          <w:rFonts w:hint="eastAsia"/>
          <w:lang w:val="en-US" w:eastAsia="zh-CN"/>
        </w:rPr>
        <w:t>3</w:t>
      </w:r>
      <w:r>
        <w:rPr>
          <w:rFonts w:hint="eastAsia"/>
        </w:rPr>
        <w:t xml:space="preserve">     Hardware configuration of test environment</w:t>
      </w:r>
    </w:p>
    <w:p>
      <w:pPr>
        <w:pStyle w:val="3"/>
        <w:jc w:val="center"/>
      </w:pPr>
    </w:p>
    <w:p>
      <w:pPr>
        <w:rPr>
          <w:rFonts w:hint="eastAsia" w:eastAsiaTheme="minorEastAsia"/>
          <w:lang w:eastAsia="zh-CN"/>
        </w:rPr>
      </w:pPr>
      <w:r>
        <w:rPr>
          <w:rFonts w:hint="eastAsia" w:eastAsiaTheme="minorEastAsia"/>
          <w:lang w:eastAsia="zh-CN"/>
        </w:rPr>
        <w:drawing>
          <wp:inline distT="0" distB="0" distL="114300" distR="114300">
            <wp:extent cx="5271135" cy="2087245"/>
            <wp:effectExtent l="0" t="0" r="12065" b="825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14"/>
                    <a:stretch>
                      <a:fillRect/>
                    </a:stretch>
                  </pic:blipFill>
                  <pic:spPr>
                    <a:xfrm>
                      <a:off x="0" y="0"/>
                      <a:ext cx="5271135" cy="2087245"/>
                    </a:xfrm>
                    <a:prstGeom prst="rect">
                      <a:avLst/>
                    </a:prstGeom>
                  </pic:spPr>
                </pic:pic>
              </a:graphicData>
            </a:graphic>
          </wp:inline>
        </w:drawing>
      </w:r>
    </w:p>
    <w:p>
      <w:pPr>
        <w:pStyle w:val="4"/>
        <w:jc w:val="center"/>
      </w:pPr>
      <w:r>
        <w:rPr>
          <w:rFonts w:hint="eastAsia" w:ascii="Arial" w:hAnsi="Arial" w:eastAsia="黑体" w:cstheme="minorBidi"/>
          <w:kern w:val="2"/>
          <w:sz w:val="20"/>
          <w:szCs w:val="24"/>
          <w:lang w:val="en-US" w:eastAsia="zh-CN" w:bidi="ar-SA"/>
        </w:rPr>
        <w:t>Figure 8  Effect of crowd size on rendering performance（FPS:Frames Per Second）</w:t>
      </w:r>
    </w:p>
    <w:p>
      <w:pPr>
        <w:ind w:firstLine="420"/>
        <w:rPr>
          <w:rFonts w:hint="default"/>
          <w:lang w:val="en-US" w:eastAsia="zh-CN"/>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rPr>
          <w:rFonts w:hint="eastAsia"/>
        </w:rPr>
        <w:t>Figure</w:t>
      </w:r>
      <w:r>
        <w:t xml:space="preserve"> </w:t>
      </w:r>
      <w:r>
        <w:rPr>
          <w:rFonts w:hint="eastAsia"/>
          <w:lang w:val="en-US" w:eastAsia="zh-CN"/>
        </w:rPr>
        <w:t>9</w:t>
      </w:r>
      <w:r>
        <w:rPr>
          <w:rFonts w:hint="eastAsia"/>
          <w:lang w:eastAsia="zh-CN"/>
        </w:rPr>
        <w:t xml:space="preserve">    Program running effect</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8.RESULTS</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[22]</w:t>
      </w:r>
      <w:r>
        <w:rPr>
          <w:rFonts w:ascii="Arial" w:hAnsi="Arial" w:cs="Arial"/>
          <w:color w:val="222222"/>
          <w:sz w:val="20"/>
          <w:szCs w:val="20"/>
          <w:shd w:val="clear" w:color="auto" w:fill="FFFFFF"/>
        </w:rPr>
        <w:t xml:space="preserve">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hint="eastAsia" w:ascii="Arial" w:hAnsi="Arial" w:cs="Arial"/>
          <w:color w:val="222222"/>
          <w:sz w:val="20"/>
          <w:szCs w:val="20"/>
          <w:shd w:val="clear" w:color="auto" w:fill="FFFFFF"/>
          <w:lang w:val="en-US" w:eastAsia="zh-CN"/>
        </w:rPr>
        <w:t xml:space="preserve">[23] </w:t>
      </w:r>
      <w:r>
        <w:rPr>
          <w:rFonts w:ascii="Arial" w:hAnsi="Arial" w:cs="Arial"/>
          <w:color w:val="222222"/>
          <w:sz w:val="20"/>
          <w:szCs w:val="20"/>
          <w:shd w:val="clear" w:color="auto" w:fill="FFFFFF"/>
        </w:rPr>
        <w:t>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 xml:space="preserve">[26]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[28]</w:t>
      </w:r>
      <w:r>
        <w:rPr>
          <w:rFonts w:ascii="Arial" w:hAnsi="Arial" w:cs="Arial"/>
          <w:color w:val="222222"/>
          <w:sz w:val="20"/>
          <w:szCs w:val="20"/>
          <w:shd w:val="clear" w:color="auto" w:fill="FFFFFF"/>
        </w:rPr>
        <w:t xml:space="preserve">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[29]</w:t>
      </w:r>
      <w:r>
        <w:rPr>
          <w:rFonts w:ascii="Arial" w:hAnsi="Arial" w:cs="Arial"/>
          <w:color w:val="222222"/>
          <w:sz w:val="20"/>
          <w:szCs w:val="20"/>
          <w:shd w:val="clear" w:color="auto" w:fill="FFFFFF"/>
        </w:rPr>
        <w:t xml:space="preserve">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[30]</w:t>
      </w:r>
      <w:r>
        <w:rPr>
          <w:rFonts w:ascii="Arial" w:hAnsi="Arial" w:cs="Arial"/>
          <w:color w:val="222222"/>
          <w:sz w:val="20"/>
          <w:szCs w:val="20"/>
          <w:shd w:val="clear" w:color="auto" w:fill="FFFFFF"/>
        </w:rPr>
        <w:t xml:space="preserve">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color w:val="222222"/>
          <w:sz w:val="20"/>
          <w:szCs w:val="20"/>
          <w:shd w:val="clear" w:color="auto" w:fill="FFFFFF"/>
        </w:rPr>
      </w:pPr>
      <w:r>
        <w:rPr>
          <w:rFonts w:hint="eastAsia" w:ascii="Arial" w:hAnsi="Arial" w:cs="Arial"/>
          <w:b w:val="0"/>
          <w:bCs w:val="0"/>
          <w:color w:val="222222"/>
          <w:sz w:val="20"/>
          <w:szCs w:val="20"/>
          <w:shd w:val="clear" w:color="auto" w:fill="FFFFFF"/>
          <w:lang w:val="en-US" w:eastAsia="zh-CN"/>
        </w:rPr>
        <w:t>[31]</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numPr>
          <w:ilvl w:val="0"/>
          <w:numId w:val="0"/>
        </w:numPr>
        <w:rPr>
          <w:rFonts w:hint="default"/>
          <w:lang w:val="en-US" w:eastAsia="zh-CN"/>
        </w:rPr>
      </w:pPr>
      <w:r>
        <w:rPr>
          <w:rFonts w:hint="eastAsia" w:ascii="Arial" w:hAnsi="Arial" w:cs="Arial"/>
          <w:color w:val="222222"/>
          <w:sz w:val="20"/>
          <w:szCs w:val="20"/>
          <w:shd w:val="clear" w:color="auto" w:fill="FFFFFF"/>
          <w:lang w:val="en-US" w:eastAsia="zh-CN"/>
        </w:rPr>
        <w:t xml:space="preserve">[32] </w:t>
      </w:r>
      <w:r>
        <w:t xml:space="preserve">Thomas Erickson, N. Sadat Shami, Wendy A. Kellogg, and David W. Levine. 2011. Synchronous interaction among hundreds: an evaluation of a conference in an avatar-based virtual environment. </w:t>
      </w:r>
      <w:r>
        <w:rPr>
          <w:rFonts w:hint="eastAsia"/>
          <w:lang w:val="en-US" w:eastAsia="zh-CN"/>
        </w:rPr>
        <w:t>CHI</w:t>
      </w:r>
      <w:r>
        <w:rPr>
          <w:rFonts w:hint="default"/>
          <w:lang w:val="en-US" w:eastAsia="zh-CN"/>
        </w:rPr>
        <w:t>’</w:t>
      </w:r>
      <w:r>
        <w:rPr>
          <w:rFonts w:hint="eastAsia"/>
          <w:lang w:val="en-US" w:eastAsia="zh-CN"/>
        </w:rPr>
        <w:t xml:space="preserve"> 11</w:t>
      </w:r>
      <w:r>
        <w:rPr>
          <w:rFonts w:hint="default"/>
        </w:rPr>
        <w:t xml:space="preserve">. Association for Computing Machinery, New York, NY, USA, 503–512. </w:t>
      </w:r>
      <w:r>
        <w:rPr>
          <w:rFonts w:hint="eastAsia"/>
          <w:lang w:val="en-US" w:eastAsia="zh-CN"/>
        </w:rPr>
        <w:t>doi</w:t>
      </w:r>
      <w:r>
        <w:rPr>
          <w:rFonts w:hint="default"/>
        </w:rPr>
        <w:t>:https://doi.org/10.1145/1978942.1979013</w:t>
      </w: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89E62F9"/>
    <w:rsid w:val="0B894AC9"/>
    <w:rsid w:val="0BC5073B"/>
    <w:rsid w:val="0EDB22AC"/>
    <w:rsid w:val="110761DD"/>
    <w:rsid w:val="11CC11E4"/>
    <w:rsid w:val="178F505D"/>
    <w:rsid w:val="19AB6B59"/>
    <w:rsid w:val="1B9A75E6"/>
    <w:rsid w:val="1CB441AF"/>
    <w:rsid w:val="1F4F1D41"/>
    <w:rsid w:val="20261535"/>
    <w:rsid w:val="23FA5628"/>
    <w:rsid w:val="2738766D"/>
    <w:rsid w:val="27A37492"/>
    <w:rsid w:val="29526853"/>
    <w:rsid w:val="2AAB0DDA"/>
    <w:rsid w:val="2DF04226"/>
    <w:rsid w:val="333109FA"/>
    <w:rsid w:val="3E106CBB"/>
    <w:rsid w:val="4223039B"/>
    <w:rsid w:val="46F35B5F"/>
    <w:rsid w:val="48F73E99"/>
    <w:rsid w:val="52E01FFA"/>
    <w:rsid w:val="5F500430"/>
    <w:rsid w:val="6075359A"/>
    <w:rsid w:val="6A086A1F"/>
    <w:rsid w:val="6C816236"/>
    <w:rsid w:val="6EEB4742"/>
    <w:rsid w:val="780C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2021-02-22T08:04:26Z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