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动态资源经过轻量化处理后，在保证场景帧数不低于30帧的情况下，在测试设备1中可容纳的最大人群规模提高为原来的1090.5倍，在测试设备2中可容纳的最大人群规模提高为原来的74倍。</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commentRangeStart w:id="0"/>
      <w:r>
        <w:drawing>
          <wp:inline distT="0" distB="0" distL="114300" distR="114300">
            <wp:extent cx="5271135" cy="2924175"/>
            <wp:effectExtent l="0" t="0" r="1206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2924175"/>
                    </a:xfrm>
                    <a:prstGeom prst="rect">
                      <a:avLst/>
                    </a:prstGeom>
                    <a:noFill/>
                    <a:ln>
                      <a:noFill/>
                    </a:ln>
                  </pic:spPr>
                </pic:pic>
              </a:graphicData>
            </a:graphic>
          </wp:inline>
        </w:drawing>
      </w:r>
      <w:commentRangeEnd w:id="0"/>
      <w:r>
        <w:commentReference w:id="0"/>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p>
      <w:pPr>
        <w:rPr>
          <w:rFonts w:hint="eastAsia"/>
        </w:rPr>
      </w:pPr>
    </w:p>
    <w:p>
      <w:pPr>
        <w:rPr>
          <w:rFonts w:hint="eastAsia"/>
        </w:rPr>
      </w:pPr>
    </w:p>
    <w:p>
      <w:pPr>
        <w:rPr>
          <w:rFonts w:hint="eastAsia"/>
        </w:rPr>
      </w:pP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的矩阵A</w:t>
      </w:r>
      <w:r>
        <w:rPr>
          <w:rFonts w:hint="eastAsia"/>
          <w:lang w:val="en-US" w:eastAsia="zh-CN"/>
        </w:rPr>
        <w:t>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整数表示矩阵A中每个元素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A中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A</w:t>
      </w:r>
      <w:r>
        <w:rPr>
          <w:rFonts w:hint="eastAsia"/>
        </w:rPr>
        <w:t>，使得</w:t>
      </w:r>
      <w:r>
        <w:rPr>
          <w:rFonts w:hint="eastAsia"/>
          <w:lang w:val="en-US" w:eastAsia="zh-CN"/>
        </w:rPr>
        <w:t>分散度f(A)最大</w:t>
      </w:r>
      <w:r>
        <w:rPr>
          <w:rFonts w:hint="eastAsia"/>
        </w:rPr>
        <w:t>。</w:t>
      </w:r>
    </w:p>
    <w:p>
      <w:pPr>
        <w:ind w:firstLine="420" w:firstLineChars="0"/>
        <w:rPr>
          <w:rFonts w:hint="eastAsia"/>
        </w:rPr>
      </w:pPr>
    </w:p>
    <w:p>
      <w:pPr>
        <w:jc w:val="center"/>
      </w:pPr>
      <w:commentRangeStart w:id="1"/>
      <w:r>
        <w:drawing>
          <wp:inline distT="0" distB="0" distL="114300" distR="114300">
            <wp:extent cx="2023745" cy="387350"/>
            <wp:effectExtent l="0" t="0" r="8255"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2023745" cy="387350"/>
                    </a:xfrm>
                    <a:prstGeom prst="rect">
                      <a:avLst/>
                    </a:prstGeom>
                    <a:noFill/>
                    <a:ln>
                      <a:noFill/>
                    </a:ln>
                  </pic:spPr>
                </pic:pic>
              </a:graphicData>
            </a:graphic>
          </wp:inline>
        </w:drawing>
      </w:r>
      <w:commentRangeEnd w:id="1"/>
      <w:r>
        <w:commentReference w:id="1"/>
      </w:r>
    </w:p>
    <w:p>
      <w:pPr>
        <w:jc w:val="both"/>
        <w:rPr>
          <w:rFonts w:hint="default" w:eastAsiaTheme="minorEastAsia"/>
          <w:lang w:val="en-US" w:eastAsia="zh-CN"/>
        </w:rPr>
      </w:pPr>
      <w:r>
        <w:rPr>
          <w:rFonts w:hint="eastAsia"/>
          <w:lang w:val="en-US" w:eastAsia="zh-CN"/>
        </w:rPr>
        <w:t xml:space="preserve">                        </w:t>
      </w:r>
      <w:r>
        <w:drawing>
          <wp:inline distT="0" distB="0" distL="114300" distR="114300">
            <wp:extent cx="2078355" cy="156210"/>
            <wp:effectExtent l="0" t="0" r="4445" b="889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2078355" cy="156210"/>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commentRangeStart w:id="2"/>
      <w:r>
        <w:rPr>
          <w:rFonts w:hint="eastAsia"/>
          <w:lang w:val="en-US" w:eastAsia="zh-CN"/>
        </w:rPr>
        <w:t>f表示人群的分散度，值为A中相似对象间的最小距离，如果A中没有相似的人物对象，即任意两个人物对象的头部贴图都不同，此时的分散度定义为正无穷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rPr>
        <w:t>A</w:t>
      </w:r>
      <w:r>
        <w:rPr>
          <w:rFonts w:hint="eastAsia"/>
          <w:lang w:val="en-US" w:eastAsia="zh-CN"/>
        </w:rPr>
        <w:t>表示的</w:t>
      </w:r>
      <w:r>
        <w:rPr>
          <w:rFonts w:hint="eastAsia"/>
        </w:rPr>
        <w:t>人群设置方式</w:t>
      </w:r>
      <w:r>
        <w:rPr>
          <w:rFonts w:hint="eastAsia"/>
          <w:lang w:eastAsia="zh-CN"/>
        </w:rPr>
        <w:t>，</w:t>
      </w:r>
      <w:r>
        <w:rPr>
          <w:rFonts w:hint="eastAsia"/>
          <w:lang w:val="en-US" w:eastAsia="zh-CN"/>
        </w:rPr>
        <w:t>A中的每一个元素为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P为矩阵A中元素的位置（由矩阵行号和列号组成）。</w:t>
      </w:r>
    </w:p>
    <w:p>
      <w:pPr>
        <w:ind w:firstLine="420" w:firstLineChars="0"/>
        <w:rPr>
          <w:rFonts w:hint="default"/>
          <w:lang w:val="en-US" w:eastAsia="zh-CN"/>
        </w:rPr>
      </w:pPr>
      <w:r>
        <w:rPr>
          <w:rFonts w:hint="eastAsia"/>
          <w:lang w:val="en-US" w:eastAsia="zh-CN"/>
        </w:rPr>
        <w:t>S(A)表示相似对象的的位置集合，S中的每个元素都由A中的两个位置组成，并且这两个位置的的贴图设置方式都已经求出（不为-1）并且设置方式相同，如果S为空集，表示A中任意两个位置的设置方式都不同，这时分散度最大，为正无穷。</w:t>
      </w:r>
      <w:commentRangeEnd w:id="2"/>
      <w:r>
        <w:commentReference w:id="2"/>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2"/>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 xml:space="preserve">Bandwidth-adaptive progressive transmission of conferencing crowds  </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commentRangeStart w:id="3"/>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commentRangeEnd w:id="3"/>
      <w:r>
        <w:commentReference w:id="3"/>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6</w:t>
      </w:r>
      <w:r>
        <w:rPr>
          <w:rFonts w:hint="eastAsia"/>
          <w:highlight w:val="yellow"/>
        </w:rPr>
        <w:t xml:space="preserve"> </w:t>
      </w:r>
      <w:r>
        <w:rPr>
          <w:rFonts w:hint="eastAsia"/>
          <w:highlight w:val="yellow"/>
          <w:lang w:val="en-US" w:eastAsia="zh-CN"/>
        </w:rPr>
        <w:t xml:space="preserve"> </w:t>
      </w:r>
      <w:r>
        <w:rPr>
          <w:rFonts w:hint="eastAsia"/>
          <w:highlight w:val="yellow"/>
        </w:rPr>
        <w:t>Lightweight rendering p</w:t>
      </w:r>
      <w:r>
        <w:rPr>
          <w:rFonts w:hint="eastAsia"/>
          <w:highlight w:val="yellow"/>
          <w:lang w:val="en-US" w:eastAsia="zh-CN"/>
        </w:rPr>
        <w:t>ipeline</w:t>
      </w:r>
      <w:r>
        <w:rPr>
          <w:rFonts w:hint="eastAsia"/>
          <w:highlight w:val="yellow"/>
        </w:rPr>
        <w:t xml:space="preserve"> </w:t>
      </w:r>
      <w:r>
        <w:rPr>
          <w:rFonts w:hint="eastAsia"/>
          <w:highlight w:val="yellow"/>
          <w:lang w:val="en-US" w:eastAsia="zh-CN"/>
        </w:rPr>
        <w:t>of</w:t>
      </w:r>
      <w:r>
        <w:rPr>
          <w:rFonts w:hint="eastAsia"/>
          <w:highlight w:val="yellow"/>
        </w:rPr>
        <w:t xml:space="preserve"> large </w:t>
      </w:r>
      <w:r>
        <w:rPr>
          <w:rFonts w:hint="eastAsia"/>
          <w:highlight w:val="yellow"/>
          <w:lang w:val="en-US" w:eastAsia="zh-CN"/>
        </w:rPr>
        <w:t>scale virtual conferencing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commentRangeStart w:id="4"/>
      <w:r>
        <w:drawing>
          <wp:inline distT="0" distB="0" distL="114300" distR="114300">
            <wp:extent cx="405765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057650" cy="4533900"/>
                    </a:xfrm>
                    <a:prstGeom prst="rect">
                      <a:avLst/>
                    </a:prstGeom>
                    <a:noFill/>
                    <a:ln>
                      <a:noFill/>
                    </a:ln>
                  </pic:spPr>
                </pic:pic>
              </a:graphicData>
            </a:graphic>
          </wp:inline>
        </w:drawing>
      </w:r>
      <w:commentRangeEnd w:id="4"/>
      <w:r>
        <w:commentReference w:id="4"/>
      </w:r>
    </w:p>
    <w:p>
      <w:pPr>
        <w:numPr>
          <w:ilvl w:val="0"/>
          <w:numId w:val="0"/>
        </w:numPr>
        <w:rPr>
          <w:rFonts w:hint="default"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Experimental Results and Performance Analysis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5"/>
          </w:p>
        </w:tc>
        <w:tc>
          <w:tcPr>
            <w:tcW w:w="2130" w:type="dxa"/>
          </w:tcPr>
          <w:p>
            <w:pPr>
              <w:rPr>
                <w:rFonts w:hint="default"/>
                <w:lang w:val="en-US" w:eastAsia="zh-CN"/>
              </w:rPr>
            </w:pPr>
            <w:r>
              <w:rPr>
                <w:rFonts w:hint="eastAsia"/>
                <w:lang w:val="en-US" w:eastAsia="zh-CN"/>
              </w:rPr>
              <w:t>PC</w:t>
            </w:r>
          </w:p>
        </w:tc>
        <w:tc>
          <w:tcPr>
            <w:tcW w:w="2131" w:type="dxa"/>
          </w:tcPr>
          <w:p>
            <w:pPr>
              <w:rPr>
                <w:rFonts w:hint="eastAsia" w:eastAsiaTheme="minorEastAsia"/>
                <w:lang w:val="en-US" w:eastAsia="zh-CN"/>
              </w:rPr>
            </w:pPr>
            <w:r>
              <w:rPr>
                <w:rFonts w:hint="eastAsia"/>
                <w:lang w:val="en-US" w:eastAsia="zh-CN"/>
              </w:rPr>
              <w:t>Laptop</w:t>
            </w:r>
          </w:p>
        </w:tc>
        <w:tc>
          <w:tcPr>
            <w:tcW w:w="2131" w:type="dxa"/>
          </w:tcPr>
          <w:p>
            <w:pPr>
              <w:rPr>
                <w:rFonts w:hint="eastAsia"/>
                <w:lang w:val="en-US" w:eastAsia="zh-CN"/>
              </w:rPr>
            </w:pPr>
            <w:r>
              <w:rPr>
                <w:rFonts w:hint="eastAsia"/>
                <w:lang w:val="en-US" w:eastAsia="zh-CN"/>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c>
          <w:tcPr>
            <w:tcW w:w="2131" w:type="dxa"/>
          </w:tcPr>
          <w:p>
            <w:pPr>
              <w:rPr>
                <w:rFonts w:hint="eastAsia"/>
              </w:rPr>
            </w:pPr>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c>
          <w:tcPr>
            <w:tcW w:w="2131" w:type="dxa"/>
          </w:tcPr>
          <w:p>
            <w:pPr>
              <w:rPr>
                <w:rFonts w:hint="default" w:eastAsiaTheme="minorEastAsia"/>
                <w:lang w:val="en-US" w:eastAsia="zh-CN"/>
              </w:rPr>
            </w:pPr>
            <w:r>
              <w:rPr>
                <w:rFonts w:hint="eastAsia"/>
                <w:lang w:val="en-US" w:eastAsia="zh-CN"/>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c>
          <w:tcPr>
            <w:tcW w:w="2131" w:type="dxa"/>
          </w:tcPr>
          <w:p>
            <w:pPr>
              <w:rPr>
                <w:rFonts w:hint="default" w:eastAsiaTheme="minorEastAsia"/>
                <w:lang w:val="en-US" w:eastAsia="zh-CN"/>
              </w:rPr>
            </w:pPr>
            <w:r>
              <w:rPr>
                <w:rFonts w:hint="eastAsia"/>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pPr>
              <w:rPr>
                <w:rFonts w:hint="default" w:eastAsiaTheme="minorEastAsia"/>
                <w:lang w:val="en-US" w:eastAsia="zh-CN"/>
              </w:rPr>
            </w:pPr>
            <w:r>
              <w:rPr>
                <w:rFonts w:hint="eastAsia"/>
                <w:lang w:val="en-US" w:eastAsia="zh-CN"/>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5"/>
            <w:r>
              <w:commentReference w:id="5"/>
            </w:r>
          </w:p>
        </w:tc>
        <w:tc>
          <w:tcPr>
            <w:tcW w:w="2131" w:type="dxa"/>
          </w:tcPr>
          <w:p>
            <w:pPr>
              <w:rPr>
                <w:rFonts w:hint="default" w:eastAsiaTheme="minorEastAsia"/>
                <w:lang w:val="en-US" w:eastAsia="zh-CN"/>
              </w:rPr>
            </w:pPr>
            <w:r>
              <w:rPr>
                <w:rFonts w:hint="eastAsia"/>
                <w:lang w:val="en-US" w:eastAsia="zh-CN"/>
              </w:rPr>
              <w:t>WeChat</w:t>
            </w:r>
          </w:p>
        </w:tc>
      </w:tr>
    </w:tbl>
    <w:p>
      <w:pPr>
        <w:pStyle w:val="3"/>
        <w:jc w:val="center"/>
        <w:rPr>
          <w:rFonts w:eastAsia="宋体"/>
        </w:rPr>
      </w:pPr>
      <w:r>
        <w:rPr>
          <w:rFonts w:hint="eastAsia"/>
          <w:lang w:val="en-US" w:eastAsia="zh-CN"/>
        </w:rPr>
        <w:t>Table2</w:t>
      </w:r>
      <w:r>
        <w:rPr>
          <w:rFonts w:hint="eastAsia"/>
        </w:rPr>
        <w:t xml:space="preserve">     Hardware configuration of test environment</w:t>
      </w:r>
    </w:p>
    <w:p>
      <w:pPr>
        <w:ind w:firstLine="420" w:firstLineChars="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5"/>
                    <a:stretch>
                      <a:fillRect/>
                    </a:stretch>
                  </pic:blipFill>
                  <pic:spPr>
                    <a:xfrm>
                      <a:off x="0" y="0"/>
                      <a:ext cx="4616450" cy="4305300"/>
                    </a:xfrm>
                    <a:prstGeom prst="rect">
                      <a:avLst/>
                    </a:prstGeom>
                  </pic:spPr>
                </pic:pic>
              </a:graphicData>
            </a:graphic>
          </wp:inline>
        </w:drawing>
      </w:r>
      <w:r>
        <w:commentReference w:id="6"/>
      </w:r>
    </w:p>
    <w:p>
      <w:pPr>
        <w:pStyle w:val="3"/>
        <w:jc w:val="center"/>
        <w:rPr>
          <w:rFonts w:hint="eastAsia"/>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7 Performance data of lightweighting conference sceneriao</w:t>
      </w:r>
    </w:p>
    <w:p>
      <w:pPr>
        <w:rPr>
          <w:rFonts w:hint="default"/>
          <w:highlight w:val="yellow"/>
          <w:lang w:val="en-US" w:eastAsia="zh-CN"/>
        </w:rPr>
      </w:pPr>
    </w:p>
    <w:p>
      <w:pPr>
        <w:rPr>
          <w:rFonts w:hint="default"/>
          <w:highlight w:val="yellow"/>
          <w:lang w:val="en-US" w:eastAsia="zh-CN"/>
        </w:rPr>
      </w:pPr>
    </w:p>
    <w:tbl>
      <w:tblPr>
        <w:tblW w:w="4998" w:type="pct"/>
        <w:tblInd w:w="0" w:type="dxa"/>
        <w:shd w:val="clear"/>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19" w:type="pct"/>
            <w:tcBorders>
              <w:top w:val="single" w:color="5B9BD5" w:sz="4" w:space="0"/>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bdr w:val="none" w:color="auto" w:sz="0" w:space="0"/>
                <w:lang w:val="en-US" w:eastAsia="zh-CN" w:bidi="ar"/>
              </w:rPr>
              <w:t># of 3D components</w:t>
            </w:r>
          </w:p>
        </w:tc>
        <w:tc>
          <w:tcPr>
            <w:tcW w:w="830" w:type="pct"/>
            <w:tcBorders>
              <w:top w:val="single" w:color="5B9BD5" w:sz="4" w:space="0"/>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bdr w:val="none" w:color="auto" w:sz="0" w:space="0"/>
                <w:lang w:val="en-US" w:eastAsia="zh-CN" w:bidi="ar"/>
              </w:rPr>
              <w:t># of Triangles</w:t>
            </w:r>
          </w:p>
        </w:tc>
        <w:tc>
          <w:tcPr>
            <w:tcW w:w="808" w:type="pct"/>
            <w:tcBorders>
              <w:top w:val="single" w:color="5B9BD5" w:sz="4" w:space="0"/>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bdr w:val="none" w:color="auto" w:sz="0" w:space="0"/>
                <w:lang w:val="en-US" w:eastAsia="zh-CN" w:bidi="ar"/>
              </w:rPr>
              <w:t>Meshes Data Size</w:t>
            </w:r>
          </w:p>
        </w:tc>
        <w:tc>
          <w:tcPr>
            <w:tcW w:w="715" w:type="pct"/>
            <w:tcBorders>
              <w:top w:val="single" w:color="5B9BD5" w:sz="4" w:space="0"/>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bdr w:val="none" w:color="auto" w:sz="0" w:space="0"/>
                <w:lang w:val="en-US" w:eastAsia="zh-CN" w:bidi="ar"/>
              </w:rPr>
              <w:t>Material Data Size</w:t>
            </w:r>
          </w:p>
        </w:tc>
        <w:tc>
          <w:tcPr>
            <w:tcW w:w="663" w:type="pct"/>
            <w:tcBorders>
              <w:top w:val="single" w:color="5B9BD5" w:sz="4" w:space="0"/>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bdr w:val="none" w:color="auto" w:sz="0" w:space="0"/>
                <w:lang w:val="en-US" w:eastAsia="zh-CN"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i w:val="0"/>
                <w:color w:val="2F75B5"/>
                <w:sz w:val="22"/>
                <w:szCs w:val="22"/>
                <w:u w:val="none"/>
                <w:lang w:val="en-US"/>
              </w:rPr>
            </w:pPr>
            <w:r>
              <w:rPr>
                <w:rFonts w:hint="eastAsia" w:ascii="宋体" w:hAnsi="宋体" w:eastAsia="宋体" w:cs="宋体"/>
                <w:i w:val="0"/>
                <w:color w:val="2F75B5"/>
                <w:kern w:val="0"/>
                <w:sz w:val="22"/>
                <w:szCs w:val="22"/>
                <w:u w:val="none"/>
                <w:bdr w:val="none" w:color="auto" w:sz="0" w:space="0"/>
                <w:lang w:val="en-US" w:eastAsia="zh-CN"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30</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c>
          <w:tcPr>
            <w:tcW w:w="6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757.5</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r>
      <w:tr>
        <w:tblPrEx>
          <w:shd w:val="clear"/>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After lightweight treatment</w:t>
            </w:r>
          </w:p>
        </w:tc>
        <w:tc>
          <w:tcPr>
            <w:tcW w:w="919"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43</w:t>
            </w:r>
          </w:p>
        </w:tc>
        <w:tc>
          <w:tcPr>
            <w:tcW w:w="830"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49395</w:t>
            </w:r>
          </w:p>
        </w:tc>
        <w:tc>
          <w:tcPr>
            <w:tcW w:w="808"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 xml:space="preserve">8 </w:t>
            </w:r>
            <w:r>
              <w:rPr>
                <w:rFonts w:hint="eastAsia" w:ascii="宋体" w:hAnsi="宋体" w:eastAsia="宋体" w:cs="宋体"/>
                <w:i w:val="0"/>
                <w:color w:val="2F75B5"/>
                <w:kern w:val="0"/>
                <w:sz w:val="22"/>
                <w:szCs w:val="22"/>
                <w:u w:val="none"/>
                <w:lang w:val="en-US" w:eastAsia="zh-CN" w:bidi="ar"/>
              </w:rPr>
              <w:t>MB</w:t>
            </w:r>
          </w:p>
        </w:tc>
        <w:tc>
          <w:tcPr>
            <w:tcW w:w="715"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10.7</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c>
          <w:tcPr>
            <w:tcW w:w="663" w:type="pct"/>
            <w:tcBorders>
              <w:top w:val="nil"/>
              <w:left w:val="nil"/>
              <w:bottom w:val="nil"/>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18.7</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r>
      <w:tr>
        <w:tblPrEx>
          <w:shd w:val="clear"/>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Reduced amount of data</w:t>
            </w:r>
          </w:p>
        </w:tc>
        <w:tc>
          <w:tcPr>
            <w:tcW w:w="919"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1631</w:t>
            </w:r>
          </w:p>
        </w:tc>
        <w:tc>
          <w:tcPr>
            <w:tcW w:w="830"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733255</w:t>
            </w:r>
          </w:p>
        </w:tc>
        <w:tc>
          <w:tcPr>
            <w:tcW w:w="808"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 xml:space="preserve">719.5 </w:t>
            </w:r>
            <w:r>
              <w:rPr>
                <w:rFonts w:hint="eastAsia" w:ascii="宋体" w:hAnsi="宋体" w:eastAsia="宋体" w:cs="宋体"/>
                <w:i w:val="0"/>
                <w:color w:val="2F75B5"/>
                <w:kern w:val="0"/>
                <w:sz w:val="22"/>
                <w:szCs w:val="22"/>
                <w:u w:val="none"/>
                <w:lang w:val="en-US" w:eastAsia="zh-CN" w:bidi="ar"/>
              </w:rPr>
              <w:t>MB</w:t>
            </w:r>
          </w:p>
        </w:tc>
        <w:tc>
          <w:tcPr>
            <w:tcW w:w="715"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19.3</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c>
          <w:tcPr>
            <w:tcW w:w="6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738.8</w:t>
            </w:r>
            <w:r>
              <w:rPr>
                <w:rFonts w:hint="eastAsia" w:ascii="宋体" w:hAnsi="宋体" w:eastAsia="宋体" w:cs="宋体"/>
                <w:i w:val="0"/>
                <w:color w:val="2F75B5"/>
                <w:kern w:val="0"/>
                <w:sz w:val="22"/>
                <w:szCs w:val="22"/>
                <w:u w:val="none"/>
                <w:lang w:val="en-US" w:eastAsia="zh-CN" w:bidi="ar"/>
              </w:rPr>
              <w:t xml:space="preserve"> </w:t>
            </w:r>
            <w:r>
              <w:rPr>
                <w:rFonts w:hint="eastAsia" w:ascii="宋体" w:hAnsi="宋体" w:eastAsia="宋体" w:cs="宋体"/>
                <w:i w:val="0"/>
                <w:color w:val="2F75B5"/>
                <w:kern w:val="0"/>
                <w:sz w:val="22"/>
                <w:szCs w:val="22"/>
                <w:u w:val="none"/>
                <w:lang w:val="en-US" w:eastAsia="zh-CN" w:bidi="ar"/>
              </w:rPr>
              <w:t>MB</w:t>
            </w:r>
          </w:p>
        </w:tc>
      </w:tr>
      <w:tr>
        <w:tblPrEx>
          <w:shd w:val="clear"/>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Reduced ratio of data</w:t>
            </w:r>
          </w:p>
        </w:tc>
        <w:tc>
          <w:tcPr>
            <w:tcW w:w="919"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97.40%</w:t>
            </w:r>
          </w:p>
        </w:tc>
        <w:tc>
          <w:tcPr>
            <w:tcW w:w="830"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93.70%</w:t>
            </w:r>
          </w:p>
        </w:tc>
        <w:tc>
          <w:tcPr>
            <w:tcW w:w="808"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99%</w:t>
            </w:r>
          </w:p>
        </w:tc>
        <w:tc>
          <w:tcPr>
            <w:tcW w:w="715"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64%</w:t>
            </w:r>
          </w:p>
        </w:tc>
        <w:tc>
          <w:tcPr>
            <w:tcW w:w="663" w:type="pct"/>
            <w:tcBorders>
              <w:top w:val="nil"/>
              <w:left w:val="nil"/>
              <w:bottom w:val="single" w:color="5B9BD5" w:sz="4" w:space="0"/>
              <w:right w:val="nil"/>
            </w:tcBorders>
            <w:shd w:val="clear"/>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bdr w:val="none" w:color="auto" w:sz="0" w:space="0"/>
                <w:lang w:val="en-US" w:eastAsia="zh-CN" w:bidi="ar"/>
              </w:rPr>
              <w:t>97.60%</w:t>
            </w:r>
          </w:p>
        </w:tc>
      </w:tr>
    </w:tbl>
    <w:p>
      <w:pPr>
        <w:pStyle w:val="3"/>
        <w:jc w:val="center"/>
        <w:rPr>
          <w:rFonts w:hint="default" w:eastAsiaTheme="minorEastAsia"/>
          <w:lang w:val="en-US" w:eastAsia="zh-CN"/>
        </w:rPr>
      </w:pPr>
      <w:r>
        <w:rPr>
          <w:rFonts w:hint="eastAsia"/>
          <w:lang w:val="en-US" w:eastAsia="zh-CN"/>
        </w:rPr>
        <w:t>Table 3</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p>
      <w:pPr>
        <w:rPr>
          <w:rFonts w:hint="eastAsia"/>
        </w:rPr>
      </w:pPr>
    </w:p>
    <w:p>
      <w:pPr>
        <w:pStyle w:val="3"/>
        <w:jc w:val="center"/>
      </w:pPr>
    </w:p>
    <w:p>
      <w:pPr>
        <w:rPr>
          <w:rFonts w:hint="eastAsia" w:eastAsiaTheme="minorEastAsia"/>
          <w:lang w:eastAsia="zh-CN"/>
        </w:rPr>
      </w:pPr>
      <w:commentRangeStart w:id="7"/>
      <w:r>
        <w:rPr>
          <w:rFonts w:hint="eastAsia" w:eastAsiaTheme="minorEastAsia"/>
          <w:lang w:eastAsia="zh-CN"/>
        </w:rPr>
        <w:drawing>
          <wp:inline distT="0" distB="0" distL="114300" distR="114300">
            <wp:extent cx="5271135" cy="2087245"/>
            <wp:effectExtent l="0" t="0" r="12065" b="825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16"/>
                    <a:stretch>
                      <a:fillRect/>
                    </a:stretch>
                  </pic:blipFill>
                  <pic:spPr>
                    <a:xfrm>
                      <a:off x="0" y="0"/>
                      <a:ext cx="5271135" cy="2087245"/>
                    </a:xfrm>
                    <a:prstGeom prst="rect">
                      <a:avLst/>
                    </a:prstGeom>
                  </pic:spPr>
                </pic:pic>
              </a:graphicData>
            </a:graphic>
          </wp:inline>
        </w:drawing>
      </w:r>
      <w:commentRangeEnd w:id="7"/>
      <w:r>
        <w:commentReference w:id="7"/>
      </w:r>
    </w:p>
    <w:p>
      <w:pPr>
        <w:pStyle w:val="4"/>
        <w:spacing w:line="360" w:lineRule="auto"/>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highlight w:val="yellow"/>
          <w:lang w:val="en-US" w:eastAsia="zh-CN" w:bidi="ar-SA"/>
        </w:rPr>
        <w:t xml:space="preserve">Figure 8 </w:t>
      </w:r>
      <w:r>
        <w:rPr>
          <w:rFonts w:hint="eastAsia" w:ascii="Arial" w:hAnsi="Arial" w:eastAsia="黑体" w:cstheme="minorBidi"/>
          <w:kern w:val="2"/>
          <w:sz w:val="20"/>
          <w:szCs w:val="24"/>
          <w:lang w:val="en-US" w:eastAsia="zh-CN" w:bidi="ar-SA"/>
        </w:rPr>
        <w:t xml:space="preserve"> Performance data on population of Web3D conferencing crowds </w:t>
      </w:r>
    </w:p>
    <w:p>
      <w:pPr>
        <w:pStyle w:val="4"/>
        <w:spacing w:line="360" w:lineRule="auto"/>
        <w:ind w:firstLine="420" w:firstLineChars="0"/>
        <w:jc w:val="left"/>
        <w:rPr>
          <w:rFonts w:hint="default" w:ascii="Arial" w:hAnsi="Arial" w:eastAsia="黑体" w:cstheme="minorBidi"/>
          <w:kern w:val="2"/>
          <w:sz w:val="20"/>
          <w:szCs w:val="24"/>
          <w:lang w:val="en-US" w:eastAsia="zh-CN" w:bidi="ar-SA"/>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p>
    <w:tbl>
      <w:tblPr>
        <w:tblStyle w:val="5"/>
        <w:tblW w:w="4998" w:type="pct"/>
        <w:tblInd w:w="0" w:type="dxa"/>
        <w:shd w:val="clear" w:color="auto" w:fill="auto"/>
        <w:tblLayout w:type="autofit"/>
        <w:tblCellMar>
          <w:top w:w="0" w:type="dxa"/>
          <w:left w:w="0" w:type="dxa"/>
          <w:bottom w:w="0" w:type="dxa"/>
          <w:right w:w="0" w:type="dxa"/>
        </w:tblCellMar>
      </w:tblPr>
      <w:tblGrid>
        <w:gridCol w:w="1378"/>
        <w:gridCol w:w="2737"/>
        <w:gridCol w:w="2639"/>
        <w:gridCol w:w="1572"/>
      </w:tblGrid>
      <w:tr>
        <w:tblPrEx>
          <w:shd w:val="clear" w:color="auto" w:fill="auto"/>
          <w:tblCellMar>
            <w:top w:w="0" w:type="dxa"/>
            <w:left w:w="0" w:type="dxa"/>
            <w:bottom w:w="0" w:type="dxa"/>
            <w:right w:w="0" w:type="dxa"/>
          </w:tblCellMar>
        </w:tblPrEx>
        <w:trPr>
          <w:trHeight w:val="280" w:hRule="atLeast"/>
        </w:trPr>
        <w:tc>
          <w:tcPr>
            <w:tcW w:w="867"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Test equipment</w:t>
            </w:r>
          </w:p>
        </w:tc>
        <w:tc>
          <w:tcPr>
            <w:tcW w:w="1600"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Before lightweight treatment</w:t>
            </w:r>
          </w:p>
        </w:tc>
        <w:tc>
          <w:tcPr>
            <w:tcW w:w="1506"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After lightweight treatment</w:t>
            </w:r>
          </w:p>
        </w:tc>
        <w:tc>
          <w:tcPr>
            <w:tcW w:w="1025" w:type="pct"/>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Rate of increase</w:t>
            </w:r>
          </w:p>
        </w:tc>
      </w:tr>
      <w:tr>
        <w:tblPrEx>
          <w:shd w:val="clear" w:color="auto" w:fill="auto"/>
          <w:tblCellMar>
            <w:top w:w="0" w:type="dxa"/>
            <w:left w:w="0" w:type="dxa"/>
            <w:bottom w:w="0" w:type="dxa"/>
            <w:right w:w="0" w:type="dxa"/>
          </w:tblCellMar>
        </w:tblPrEx>
        <w:trPr>
          <w:trHeight w:val="280" w:hRule="atLeast"/>
        </w:trPr>
        <w:tc>
          <w:tcPr>
            <w:tcW w:w="867"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w:t>
            </w:r>
          </w:p>
        </w:tc>
        <w:tc>
          <w:tcPr>
            <w:tcW w:w="1600"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58</w:t>
            </w:r>
          </w:p>
        </w:tc>
        <w:tc>
          <w:tcPr>
            <w:tcW w:w="1506"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63250</w:t>
            </w:r>
          </w:p>
        </w:tc>
        <w:tc>
          <w:tcPr>
            <w:tcW w:w="1025" w:type="pct"/>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1090.5</w:t>
            </w:r>
          </w:p>
        </w:tc>
      </w:tr>
      <w:tr>
        <w:tblPrEx>
          <w:shd w:val="clear" w:color="auto" w:fill="auto"/>
          <w:tblCellMar>
            <w:top w:w="0" w:type="dxa"/>
            <w:left w:w="0" w:type="dxa"/>
            <w:bottom w:w="0" w:type="dxa"/>
            <w:right w:w="0" w:type="dxa"/>
          </w:tblCellMar>
        </w:tblPrEx>
        <w:trPr>
          <w:trHeight w:val="280" w:hRule="atLeast"/>
        </w:trPr>
        <w:tc>
          <w:tcPr>
            <w:tcW w:w="867"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sz w:val="22"/>
                <w:szCs w:val="22"/>
                <w:u w:val="none"/>
              </w:rPr>
              <w:t>Laptop</w:t>
            </w:r>
          </w:p>
        </w:tc>
        <w:tc>
          <w:tcPr>
            <w:tcW w:w="1600"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54</w:t>
            </w:r>
          </w:p>
        </w:tc>
        <w:tc>
          <w:tcPr>
            <w:tcW w:w="1506"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4000</w:t>
            </w:r>
          </w:p>
        </w:tc>
        <w:tc>
          <w:tcPr>
            <w:tcW w:w="1025" w:type="pct"/>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74</w:t>
            </w:r>
          </w:p>
        </w:tc>
      </w:tr>
      <w:tr>
        <w:tblPrEx>
          <w:shd w:val="clear" w:color="auto" w:fill="auto"/>
          <w:tblCellMar>
            <w:top w:w="0" w:type="dxa"/>
            <w:left w:w="0" w:type="dxa"/>
            <w:bottom w:w="0" w:type="dxa"/>
            <w:right w:w="0" w:type="dxa"/>
          </w:tblCellMar>
        </w:tblPrEx>
        <w:trPr>
          <w:trHeight w:val="280" w:hRule="atLeast"/>
        </w:trPr>
        <w:tc>
          <w:tcPr>
            <w:tcW w:w="867"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sz w:val="22"/>
                <w:szCs w:val="22"/>
                <w:u w:val="none"/>
              </w:rPr>
              <w:t>Handset</w:t>
            </w:r>
          </w:p>
        </w:tc>
        <w:tc>
          <w:tcPr>
            <w:tcW w:w="1600"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bookmarkStart w:id="4" w:name="_GoBack"/>
            <w:bookmarkEnd w:id="4"/>
          </w:p>
        </w:tc>
        <w:tc>
          <w:tcPr>
            <w:tcW w:w="1506"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p>
        </w:tc>
        <w:tc>
          <w:tcPr>
            <w:tcW w:w="1025" w:type="pct"/>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p>
        </w:tc>
      </w:tr>
    </w:tbl>
    <w:p>
      <w:pPr>
        <w:pStyle w:val="3"/>
        <w:jc w:val="center"/>
        <w:rPr>
          <w:rFonts w:hint="eastAsia"/>
          <w:lang w:val="en-US" w:eastAsia="zh-CN"/>
        </w:rPr>
      </w:pPr>
      <w:r>
        <w:rPr>
          <w:rFonts w:hint="eastAsia"/>
          <w:lang w:val="en-US" w:eastAsia="zh-CN"/>
        </w:rPr>
        <w:t>Table</w:t>
      </w:r>
      <w:r>
        <w:t xml:space="preserve"> </w:t>
      </w:r>
      <w:r>
        <w:rPr>
          <w:rFonts w:hint="eastAsia"/>
          <w:lang w:val="en-US" w:eastAsia="zh-CN"/>
        </w:rPr>
        <w:t>4</w:t>
      </w:r>
      <w:r>
        <w:rPr>
          <w:rFonts w:hint="eastAsia"/>
          <w:lang w:eastAsia="zh-CN"/>
        </w:rPr>
        <w:t xml:space="preserve">   The maximum size of the crowd when the number of frames is not less than 30</w:t>
      </w:r>
    </w:p>
    <w:p>
      <w:pPr>
        <w:ind w:firstLine="420"/>
      </w:pPr>
      <w:r>
        <w:rPr>
          <w:rFonts w:hint="eastAsia"/>
          <w:lang w:val="en-US" w:eastAsia="zh-CN"/>
        </w:rPr>
        <w:t>从表4可以看出，在保证场景帧数不低于30帧的情况下，测试设备1中可容纳的最大人群规模提高为原来的1090.5倍，测试设备2中可容纳的最大人群规模提高为原来的74倍。</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3040" cy="2615565"/>
                    </a:xfrm>
                    <a:prstGeom prst="rect">
                      <a:avLst/>
                    </a:prstGeom>
                    <a:noFill/>
                    <a:ln>
                      <a:noFill/>
                    </a:ln>
                  </pic:spPr>
                </pic:pic>
              </a:graphicData>
            </a:graphic>
          </wp:inline>
        </w:drawing>
      </w:r>
    </w:p>
    <w:p>
      <w:pPr>
        <w:pStyle w:val="3"/>
        <w:jc w:val="center"/>
        <w:rPr>
          <w:rFonts w:hint="default"/>
          <w:lang w:val="en-US" w:eastAsia="zh-CN"/>
        </w:rPr>
      </w:pPr>
      <w:r>
        <w:rPr>
          <w:rFonts w:hint="eastAsia"/>
        </w:rPr>
        <w:t>Figure</w:t>
      </w:r>
      <w:r>
        <w:t xml:space="preserve"> </w:t>
      </w:r>
      <w:r>
        <w:rPr>
          <w:rFonts w:hint="eastAsia"/>
          <w:lang w:val="en-US" w:eastAsia="zh-CN"/>
        </w:rPr>
        <w:t>9</w:t>
      </w:r>
      <w:r>
        <w:rPr>
          <w:rFonts w:hint="eastAsia"/>
          <w:lang w:eastAsia="zh-CN"/>
        </w:rPr>
        <w:t xml:space="preserve"> </w:t>
      </w:r>
      <w:r>
        <w:rPr>
          <w:rFonts w:hint="eastAsia"/>
          <w:lang w:val="en-US" w:eastAsia="zh-CN"/>
        </w:rPr>
        <w:t>Monocular snapshots of our large-scale Web3D online conferencing Scenario</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w:t>
      </w:r>
      <w:r>
        <w:rPr>
          <w:rFonts w:hint="eastAsia"/>
          <w:b/>
          <w:bCs/>
          <w:color w:val="FF0000"/>
          <w:highlight w:val="yellow"/>
          <w:lang w:val="en-US" w:eastAsia="zh-CN"/>
        </w:rPr>
        <w:t>艾子豪</w:t>
      </w:r>
      <w:r>
        <w:rPr>
          <w:rFonts w:hint="eastAsia"/>
          <w:lang w:val="en-US" w:eastAsia="zh-CN"/>
        </w:rPr>
        <w:t>】下面再来插入一张VR双目显示的会议场景（分别左右眼两张截图）</w:t>
      </w:r>
    </w:p>
    <w:p>
      <w:pPr>
        <w:rPr>
          <w:rFonts w:hint="default"/>
          <w:lang w:val="en-US" w:eastAsia="zh-CN"/>
        </w:rPr>
      </w:pPr>
      <w:r>
        <w:rPr>
          <w:rFonts w:hint="eastAsia"/>
          <w:lang w:val="en-US" w:eastAsia="zh-CN"/>
        </w:rPr>
        <w:t xml:space="preserve">                            </w:t>
      </w:r>
      <w:r>
        <w:rPr>
          <w:rFonts w:hint="eastAsia"/>
          <w:b/>
          <w:bCs/>
          <w:highlight w:val="yellow"/>
          <w:lang w:val="en-US" w:eastAsia="zh-CN"/>
        </w:rPr>
        <w:t>先把截图弄好</w:t>
      </w:r>
    </w:p>
    <w:p>
      <w:pPr>
        <w:jc w:val="center"/>
        <w:rPr>
          <w:rFonts w:hint="eastAsia"/>
          <w:lang w:val="en-US" w:eastAsia="zh-CN"/>
        </w:rPr>
      </w:pPr>
      <w:r>
        <w:rPr>
          <w:rFonts w:hint="eastAsia"/>
        </w:rPr>
        <w:t>Figure</w:t>
      </w:r>
      <w:r>
        <w:t xml:space="preserve"> </w:t>
      </w:r>
      <w:r>
        <w:rPr>
          <w:rFonts w:hint="eastAsia"/>
          <w:lang w:val="en-US" w:eastAsia="zh-CN"/>
        </w:rPr>
        <w:t>10</w:t>
      </w:r>
      <w:r>
        <w:rPr>
          <w:rFonts w:hint="eastAsia"/>
          <w:lang w:eastAsia="zh-CN"/>
        </w:rPr>
        <w:t xml:space="preserve"> </w:t>
      </w:r>
      <w:r>
        <w:rPr>
          <w:rFonts w:hint="eastAsia"/>
          <w:lang w:val="en-US" w:eastAsia="zh-CN"/>
        </w:rPr>
        <w:t>Binocular snapshots of our large-scale WebVR online conferencing Scenario</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图9和图10是测试时项目运行的效果截图，项目的地址是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pPr>
        <w:jc w:val="center"/>
        <w:rPr>
          <w:rFonts w:hint="default"/>
          <w:lang w:val="en-US" w:eastAsia="zh-CN"/>
        </w:rPr>
      </w:pPr>
    </w:p>
    <w:p>
      <w:pPr>
        <w:numPr>
          <w:ilvl w:val="0"/>
          <w:numId w:val="0"/>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[22]</w:t>
      </w:r>
      <w:r>
        <w:rPr>
          <w:rFonts w:ascii="Arial" w:hAnsi="Arial" w:cs="Arial"/>
          <w:color w:val="222222"/>
          <w:sz w:val="20"/>
          <w:szCs w:val="20"/>
          <w:shd w:val="clear" w:color="auto" w:fill="FFFFFF"/>
        </w:rPr>
        <w:t xml:space="preserve">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hint="eastAsia" w:ascii="Arial" w:hAnsi="Arial" w:cs="Arial"/>
          <w:color w:val="222222"/>
          <w:sz w:val="20"/>
          <w:szCs w:val="20"/>
          <w:shd w:val="clear" w:color="auto" w:fill="FFFFFF"/>
          <w:lang w:val="en-US" w:eastAsia="zh-CN"/>
        </w:rPr>
        <w:t xml:space="preserve">[23] </w:t>
      </w:r>
      <w:r>
        <w:rPr>
          <w:rFonts w:ascii="Arial" w:hAnsi="Arial" w:cs="Arial"/>
          <w:color w:val="222222"/>
          <w:sz w:val="20"/>
          <w:szCs w:val="20"/>
          <w:shd w:val="clear" w:color="auto" w:fill="FFFFFF"/>
        </w:rPr>
        <w:t>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hint="eastAsia" w:ascii="Times New Roman" w:hAnsi="Times New Roman" w:eastAsia="黑体" w:cs="Times New Roman"/>
          <w:sz w:val="24"/>
          <w:szCs w:val="32"/>
          <w:lang w:val="en-US" w:eastAsia="zh-CN"/>
        </w:rPr>
        <w:t xml:space="preserve">[26]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xml:space="preserve">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[28]</w:t>
      </w:r>
      <w:r>
        <w:rPr>
          <w:rFonts w:ascii="Arial" w:hAnsi="Arial" w:cs="Arial"/>
          <w:color w:val="222222"/>
          <w:sz w:val="20"/>
          <w:szCs w:val="20"/>
          <w:shd w:val="clear" w:color="auto" w:fill="FFFFFF"/>
        </w:rPr>
        <w:t xml:space="preserve">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[29]</w:t>
      </w:r>
      <w:r>
        <w:rPr>
          <w:rFonts w:ascii="Arial" w:hAnsi="Arial" w:cs="Arial"/>
          <w:color w:val="222222"/>
          <w:sz w:val="20"/>
          <w:szCs w:val="20"/>
          <w:shd w:val="clear" w:color="auto" w:fill="FFFFFF"/>
        </w:rPr>
        <w:t xml:space="preserve">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lang w:val="en-US" w:eastAsia="zh-CN"/>
        </w:rPr>
        <w:t>[30]</w:t>
      </w:r>
      <w:r>
        <w:rPr>
          <w:rFonts w:ascii="Arial" w:hAnsi="Arial" w:cs="Arial"/>
          <w:color w:val="222222"/>
          <w:sz w:val="20"/>
          <w:szCs w:val="20"/>
          <w:shd w:val="clear" w:color="auto" w:fill="FFFFFF"/>
        </w:rPr>
        <w:t xml:space="preserve">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color w:val="222222"/>
          <w:sz w:val="20"/>
          <w:szCs w:val="20"/>
          <w:shd w:val="clear" w:color="auto" w:fill="FFFFFF"/>
        </w:rPr>
      </w:pPr>
      <w:r>
        <w:rPr>
          <w:rFonts w:hint="eastAsia" w:ascii="Arial" w:hAnsi="Arial" w:cs="Arial"/>
          <w:b w:val="0"/>
          <w:bCs w:val="0"/>
          <w:color w:val="222222"/>
          <w:sz w:val="20"/>
          <w:szCs w:val="20"/>
          <w:shd w:val="clear" w:color="auto" w:fill="FFFFFF"/>
          <w:lang w:val="en-US" w:eastAsia="zh-CN"/>
        </w:rPr>
        <w:t>[31]</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numPr>
          <w:ilvl w:val="0"/>
          <w:numId w:val="0"/>
        </w:numPr>
        <w:rPr>
          <w:rFonts w:hint="default"/>
          <w:lang w:val="en-US" w:eastAsia="zh-CN"/>
        </w:rPr>
      </w:pPr>
      <w:r>
        <w:rPr>
          <w:rFonts w:hint="eastAsia" w:ascii="Arial" w:hAnsi="Arial" w:cs="Arial"/>
          <w:color w:val="222222"/>
          <w:sz w:val="20"/>
          <w:szCs w:val="20"/>
          <w:shd w:val="clear" w:color="auto" w:fill="FFFFFF"/>
          <w:lang w:val="en-US" w:eastAsia="zh-CN"/>
        </w:rPr>
        <w:t xml:space="preserve">[32] </w:t>
      </w:r>
      <w:r>
        <w:t xml:space="preserve">Thomas Erickson, N. Sadat Shami, Wendy A. Kellogg, and David W. Levine. 2011. Synchronous interaction among hundreds: an evaluation of a conference in an avatar-based virtual environment. </w:t>
      </w:r>
      <w:r>
        <w:rPr>
          <w:rFonts w:hint="eastAsia"/>
          <w:lang w:val="en-US" w:eastAsia="zh-CN"/>
        </w:rPr>
        <w:t>CHI</w:t>
      </w:r>
      <w:r>
        <w:rPr>
          <w:rFonts w:hint="default"/>
          <w:lang w:val="en-US" w:eastAsia="zh-CN"/>
        </w:rPr>
        <w:t>’</w:t>
      </w:r>
      <w:r>
        <w:rPr>
          <w:rFonts w:hint="eastAsia"/>
          <w:lang w:val="en-US" w:eastAsia="zh-CN"/>
        </w:rPr>
        <w:t xml:space="preserve"> 11</w:t>
      </w:r>
      <w:r>
        <w:rPr>
          <w:rFonts w:hint="default"/>
        </w:rPr>
        <w:t xml:space="preserve">. Association for Computing Machinery, New York, NY, USA, 503–512. </w:t>
      </w:r>
      <w:r>
        <w:rPr>
          <w:rFonts w:hint="eastAsia"/>
          <w:lang w:val="en-US" w:eastAsia="zh-CN"/>
        </w:rPr>
        <w:t>doi</w:t>
      </w:r>
      <w:r>
        <w:rPr>
          <w:rFonts w:hint="default"/>
        </w:rPr>
        <w:t>:https://doi.org/10.1145/1978942.1979013</w:t>
      </w:r>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11Z" w:initials="">
    <w:p w14:paraId="5B951B07">
      <w:pPr>
        <w:pStyle w:val="4"/>
        <w:rPr>
          <w:rFonts w:hint="default" w:eastAsiaTheme="minorEastAsia"/>
          <w:lang w:val="en-US" w:eastAsia="zh-CN"/>
        </w:rPr>
      </w:pPr>
      <w:r>
        <w:rPr>
          <w:rFonts w:hint="eastAsia"/>
          <w:lang w:val="en-US" w:eastAsia="zh-CN"/>
        </w:rPr>
        <w:t>没有表达清楚分级复用 分几级？每一级复用了哪些构件呢？</w:t>
      </w:r>
    </w:p>
  </w:comment>
  <w:comment w:id="1" w:author="贾金原Jinyuan Jia-Tongji" w:date="2021-02-22T17:37:23Z" w:initials="">
    <w:p w14:paraId="61D54039">
      <w:pPr>
        <w:pStyle w:val="4"/>
        <w:rPr>
          <w:rFonts w:hint="default" w:eastAsiaTheme="minorEastAsia"/>
          <w:lang w:val="en-US" w:eastAsia="zh-CN"/>
        </w:rPr>
      </w:pPr>
      <w:r>
        <w:rPr>
          <w:rFonts w:hint="eastAsia"/>
          <w:lang w:val="en-US" w:eastAsia="zh-CN"/>
        </w:rPr>
        <w:t>该公式的上下两行置换一下 显得更自然</w:t>
      </w:r>
    </w:p>
  </w:comment>
  <w:comment w:id="2" w:author="贾金原Jinyuan Jia-Tongji" w:date="2021-02-22T17:38:29Z" w:initials="">
    <w:p w14:paraId="4EDD071D">
      <w:pPr>
        <w:pStyle w:val="4"/>
        <w:rPr>
          <w:rFonts w:hint="default" w:eastAsiaTheme="minorEastAsia"/>
          <w:lang w:val="en-US" w:eastAsia="zh-CN"/>
        </w:rPr>
      </w:pPr>
      <w:r>
        <w:rPr>
          <w:rFonts w:hint="eastAsia"/>
          <w:lang w:val="en-US" w:eastAsia="zh-CN"/>
        </w:rPr>
        <w:t>配上一个图来说明下 效果会更好</w:t>
      </w:r>
    </w:p>
  </w:comment>
  <w:comment w:id="3" w:author="贾金原Jinyuan Jia-Tongji" w:date="2021-02-22T17:22:41Z" w:initials="">
    <w:p w14:paraId="0DDF0F00">
      <w:pPr>
        <w:pStyle w:val="4"/>
        <w:rPr>
          <w:rFonts w:hint="default" w:eastAsiaTheme="minorEastAsia"/>
          <w:lang w:val="en-US" w:eastAsia="zh-CN"/>
        </w:rPr>
      </w:pPr>
      <w:r>
        <w:rPr>
          <w:rFonts w:hint="eastAsia"/>
          <w:lang w:val="en-US" w:eastAsia="zh-CN"/>
        </w:rPr>
        <w:t>有些图中的人太小了，都看不清楚，建议去掉</w:t>
      </w:r>
    </w:p>
  </w:comment>
  <w:comment w:id="4" w:author="贾金原Jinyuan Jia-Tongji" w:date="2021-02-22T17:13:20Z" w:initials="">
    <w:p w14:paraId="7ED50319">
      <w:pPr>
        <w:pStyle w:val="4"/>
        <w:rPr>
          <w:rFonts w:hint="eastAsia"/>
          <w:lang w:val="en-US" w:eastAsia="zh-CN"/>
        </w:rPr>
      </w:pPr>
      <w:r>
        <w:rPr>
          <w:rFonts w:hint="eastAsia"/>
          <w:lang w:val="en-US" w:eastAsia="zh-CN"/>
        </w:rPr>
        <w:t>跟前面的流程有什么关系呢？差异度多大呢？</w:t>
      </w:r>
    </w:p>
    <w:p w14:paraId="16ED2694">
      <w:pPr>
        <w:pStyle w:val="4"/>
        <w:rPr>
          <w:rFonts w:hint="default"/>
          <w:lang w:val="en-US" w:eastAsia="zh-CN"/>
        </w:rPr>
      </w:pPr>
      <w:r>
        <w:rPr>
          <w:rFonts w:hint="eastAsia"/>
          <w:lang w:val="en-US" w:eastAsia="zh-CN"/>
        </w:rPr>
        <w:t>这一块不用用图片 使用文本更容易修改英文</w:t>
      </w:r>
    </w:p>
  </w:comment>
  <w:comment w:id="5" w:author="贾金原Jinyuan Jia-Tongji" w:date="2021-02-22T16:48:56Z" w:initials="">
    <w:p w14:paraId="554725D2">
      <w:pPr>
        <w:pStyle w:val="4"/>
        <w:rPr>
          <w:rFonts w:hint="default" w:eastAsiaTheme="minorEastAsia"/>
          <w:lang w:val="en-US" w:eastAsia="zh-CN"/>
        </w:rPr>
      </w:pPr>
      <w:r>
        <w:rPr>
          <w:rFonts w:hint="eastAsia"/>
          <w:lang w:val="en-US" w:eastAsia="zh-CN"/>
        </w:rPr>
        <w:t>增加新的一列“手机”的测试结果</w:t>
      </w:r>
    </w:p>
  </w:comment>
  <w:comment w:id="6" w:author="贾金原Jinyuan Jia-Tongji" w:date="2021-02-22T17:06:16Z" w:initials="">
    <w:p w14:paraId="36B77EA8">
      <w:pPr>
        <w:pStyle w:val="4"/>
        <w:rPr>
          <w:rFonts w:hint="default" w:eastAsiaTheme="minorEastAsia"/>
          <w:lang w:val="en-US" w:eastAsia="zh-CN"/>
        </w:rPr>
      </w:pPr>
      <w:r>
        <w:rPr>
          <w:rFonts w:hint="eastAsia"/>
          <w:lang w:val="en-US" w:eastAsia="zh-CN"/>
        </w:rPr>
        <w:t>图表的英文都需要参照下面的修改过来。</w:t>
      </w:r>
    </w:p>
  </w:comment>
  <w:comment w:id="7" w:author="贾金原Jinyuan Jia-Tongji" w:date="2021-02-22T16:51:49Z" w:initials="">
    <w:p w14:paraId="685F1FAA">
      <w:pPr>
        <w:pStyle w:val="4"/>
        <w:rPr>
          <w:rFonts w:hint="default" w:eastAsiaTheme="minorEastAsia"/>
          <w:lang w:val="en-US" w:eastAsia="zh-CN"/>
        </w:rPr>
      </w:pPr>
      <w:r>
        <w:rPr>
          <w:rFonts w:hint="eastAsia"/>
          <w:lang w:val="en-US" w:eastAsia="zh-CN"/>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B951B07" w15:done="0"/>
  <w15:commentEx w15:paraId="61D54039" w15:done="0"/>
  <w15:commentEx w15:paraId="4EDD071D" w15:done="0"/>
  <w15:commentEx w15:paraId="0DDF0F00" w15:done="0"/>
  <w15:commentEx w15:paraId="16ED2694" w15:done="0"/>
  <w15:commentEx w15:paraId="554725D2" w15:done="0"/>
  <w15:commentEx w15:paraId="36B77EA8" w15:done="0"/>
  <w15:commentEx w15:paraId="685F1F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LinLibertin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WPS Office" w15:userId="202747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89E62F9"/>
    <w:rsid w:val="0B894AC9"/>
    <w:rsid w:val="0BC5073B"/>
    <w:rsid w:val="0EDB22AC"/>
    <w:rsid w:val="110761DD"/>
    <w:rsid w:val="11CC11E4"/>
    <w:rsid w:val="178F505D"/>
    <w:rsid w:val="190B4B23"/>
    <w:rsid w:val="19AB6B59"/>
    <w:rsid w:val="1B9A75E6"/>
    <w:rsid w:val="1CB441AF"/>
    <w:rsid w:val="1F4F1D41"/>
    <w:rsid w:val="20261535"/>
    <w:rsid w:val="23FA5628"/>
    <w:rsid w:val="2738766D"/>
    <w:rsid w:val="27A37492"/>
    <w:rsid w:val="29526853"/>
    <w:rsid w:val="2AAB0DDA"/>
    <w:rsid w:val="2DF04226"/>
    <w:rsid w:val="333109FA"/>
    <w:rsid w:val="3E106CBB"/>
    <w:rsid w:val="4223039B"/>
    <w:rsid w:val="46F35B5F"/>
    <w:rsid w:val="4BE54931"/>
    <w:rsid w:val="52E01FFA"/>
    <w:rsid w:val="5F500430"/>
    <w:rsid w:val="6075359A"/>
    <w:rsid w:val="697B68FF"/>
    <w:rsid w:val="6A086A1F"/>
    <w:rsid w:val="6B792278"/>
    <w:rsid w:val="6C816236"/>
    <w:rsid w:val="6D8677E0"/>
    <w:rsid w:val="6EEB4742"/>
    <w:rsid w:val="780C477B"/>
    <w:rsid w:val="7A3C66B7"/>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2021-02-23T00:45:50Z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