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r>
        <w:rPr>
          <w:rFonts w:hint="eastAsia"/>
          <w:highlight w:val="none"/>
          <w:lang w:val="en-US" w:eastAsia="zh-CN"/>
        </w:rPr>
        <w:t>5G时代加之疫情常态化使得在线WebVR会议逐渐成为热点，本文在分析了大规模多人移动在线WebVR会议的技术瓶颈之后，提出了从服务器端的轻量化3D模型预处理、轻量级渐进式传输调度到网页端轻量级在线渲染的技术路线与系统解决方案。除了静态大型会场3D模型的轻量级细粒度化处理之外，综合运用3D流式化处理、分级复用与参数化差异等技术，设计了大规模参会者虚拟化身及动作行为的轻量级建模方法，使得大规模参会行为情境的轻量性、多样性、真实性与规模性均得到良好的保证。然后，基于兴趣度给出了大规模静态会议场景与动态参会情景的渐进式传输调度机制，使得无论初始加载与漫游时渐进式加载都达到了在线实时的要求。通过对shader的高效调度运用，将部分渲染计算迁移到GPU，并巧妙避免了GPU和内存之间频繁的重复性信息交换，最终在移动网页浏览器上实现了大型会议静态场景与动态参会情景的轻量级实例化在线实时渲染。上述三大关键技术均实现并集成起来，实现了千人级别参会规模的大规模WebVR在线会议并部署在服务器上，任何人无需插件可实时在线访问与虚拟参会，充分验证了本人所提出的关键技术与解决方案的可行性与先进性。</w:t>
      </w:r>
      <w:bookmarkStart w:id="4" w:name="_GoBack"/>
      <w:bookmarkEnd w:id="4"/>
    </w:p>
    <w:p/>
    <w:p>
      <w:r>
        <w:rPr>
          <w:rFonts w:hint="eastAsia"/>
        </w:rPr>
        <w:t>关键字</w:t>
      </w:r>
    </w:p>
    <w:p>
      <w:r>
        <w:rPr>
          <w:rFonts w:hint="eastAsia"/>
          <w:lang w:val="en-US" w:eastAsia="zh-CN"/>
        </w:rPr>
        <w:t>WebVR，虚拟会议，大规模群体参会行为建模，轻量化预处理，渐进式传输调度，轻量级在线渲染</w:t>
      </w:r>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7"/>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7"/>
        <w:numPr>
          <w:ilvl w:val="0"/>
          <w:numId w:val="3"/>
        </w:numPr>
        <w:spacing w:line="360" w:lineRule="auto"/>
        <w:ind w:firstLineChars="0"/>
        <w:rPr>
          <w:rFonts w:ascii="宋体" w:hAnsi="宋体" w:eastAsia="宋体" w:cstheme="minorEastAsia"/>
          <w:sz w:val="24"/>
        </w:rPr>
      </w:pPr>
      <w:bookmarkStart w:id="0" w:name="OLE_LINK6"/>
      <w:bookmarkStart w:id="1" w:name="OLE_LINK7"/>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7"/>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rPr>
          <w:rFonts w:hint="eastAsia" w:eastAsiaTheme="minorEastAsia"/>
          <w:lang w:eastAsia="zh-CN"/>
        </w:rPr>
      </w:pPr>
      <w:r>
        <w:rPr>
          <w:rFonts w:hint="eastAsia"/>
        </w:rPr>
        <w:t>通过上述处理，将原本由4528818个三角面片构成，数据量约为</w:t>
      </w:r>
      <w:r>
        <w:t>729</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w:t>
      </w:r>
      <w:r>
        <w:t>1292</w:t>
      </w:r>
      <w:r>
        <w:rPr>
          <w:rFonts w:hint="eastAsia"/>
        </w:rPr>
        <w:t>把座椅数据量约</w:t>
      </w:r>
      <w:r>
        <w:t>699</w:t>
      </w:r>
      <w:r>
        <w:rPr>
          <w:rFonts w:hint="eastAsia"/>
        </w:rPr>
        <w:t>MB。通过上述处理，系统仅保留了一把座椅作为重用样本，因此传输数据仅有1</w:t>
      </w:r>
      <w:r>
        <w:t>0</w:t>
      </w:r>
      <w:r>
        <w:rPr>
          <w:rFonts w:hint="eastAsia"/>
        </w:rPr>
        <w:t>KB</w:t>
      </w:r>
      <w:r>
        <w:rPr>
          <w:rFonts w:hint="eastAsia"/>
          <w:lang w:eastAsia="zh-CN"/>
        </w:rPr>
        <w:t>。</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rPr>
          <w:rFonts w:hint="default"/>
          <w:lang w:val="en-US" w:eastAsia="zh-CN"/>
        </w:rPr>
      </w:pPr>
      <w:r>
        <w:drawing>
          <wp:inline distT="0" distB="0" distL="114300" distR="114300">
            <wp:extent cx="5274310" cy="28524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852420"/>
                    </a:xfrm>
                    <a:prstGeom prst="rect">
                      <a:avLst/>
                    </a:prstGeom>
                    <a:noFill/>
                    <a:ln>
                      <a:noFill/>
                    </a:ln>
                  </pic:spPr>
                </pic:pic>
              </a:graphicData>
            </a:graphic>
          </wp:inline>
        </w:drawing>
      </w:r>
    </w:p>
    <w:p>
      <w:pPr>
        <w:pStyle w:val="2"/>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PM和骨骼动画处理</w:t>
      </w: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pPr>
        <w:jc w:val="center"/>
      </w:pPr>
      <w: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34510" cy="1530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4858385" cy="2621280"/>
            <wp:effectExtent l="0" t="0" r="571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858385" cy="262128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none"/>
          <w:lang w:val="en-US" w:eastAsia="zh-CN"/>
        </w:rPr>
      </w:pPr>
      <w:r>
        <w:rPr>
          <w:rFonts w:hint="eastAsia"/>
          <w:highlight w:val="none"/>
          <w:lang w:val="en-US" w:eastAsia="zh-CN"/>
        </w:rPr>
        <w:t>5.1轻量化内存管理</w:t>
      </w:r>
    </w:p>
    <w:p>
      <w:pPr>
        <w:ind w:firstLine="420" w:firstLineChars="200"/>
        <w:rPr>
          <w:rFonts w:hint="eastAsia"/>
          <w:highlight w:val="none"/>
          <w:lang w:val="en-US" w:eastAsia="zh-CN"/>
        </w:rPr>
      </w:pPr>
      <w:r>
        <w:rPr>
          <w:rFonts w:hint="eastAsia"/>
          <w:highlight w:val="none"/>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none"/>
          <w:lang w:val="en-US" w:eastAsia="zh-CN"/>
        </w:rPr>
      </w:pPr>
      <w:r>
        <w:rPr>
          <w:rFonts w:hint="eastAsia"/>
          <w:highlight w:val="none"/>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512945" cy="2332355"/>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7.实验结果与性能分析</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yellow"/>
                <w:vertAlign w:val="baseline"/>
                <w:lang w:val="en-US" w:eastAsia="zh-CN"/>
              </w:rPr>
            </w:pPr>
            <w:r>
              <w:rPr>
                <w:rFonts w:hint="eastAsia"/>
                <w:highlight w:val="none"/>
                <w:shd w:val="clear" w:color="auto" w:fill="auto"/>
                <w:lang w:val="en-US" w:eastAsia="zh-CN"/>
              </w:rPr>
              <w:t>测试环境的硬件配置</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台式机</w:t>
            </w:r>
          </w:p>
        </w:tc>
        <w:tc>
          <w:tcPr>
            <w:tcW w:w="2131" w:type="dxa"/>
          </w:tcPr>
          <w:p>
            <w:pPr>
              <w:rPr>
                <w:rFonts w:hint="default"/>
                <w:highlight w:val="yellow"/>
                <w:vertAlign w:val="baseline"/>
                <w:lang w:val="en-US" w:eastAsia="zh-CN"/>
              </w:rPr>
            </w:pPr>
            <w:r>
              <w:rPr>
                <w:rFonts w:hint="eastAsia"/>
                <w:highlight w:val="none"/>
                <w:shd w:val="clear" w:color="auto" w:fill="auto"/>
                <w:lang w:val="en-US" w:eastAsia="zh-CN"/>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CPU</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Memory</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GPU</w:t>
            </w:r>
          </w:p>
        </w:tc>
        <w:tc>
          <w:tcPr>
            <w:tcW w:w="2130" w:type="dxa"/>
          </w:tcPr>
          <w:p>
            <w:pPr>
              <w:rPr>
                <w:rFonts w:hint="default"/>
                <w:highlight w:val="yellow"/>
                <w:vertAlign w:val="baseline"/>
                <w:lang w:val="en-US" w:eastAsia="zh-CN"/>
              </w:rPr>
            </w:pPr>
          </w:p>
        </w:tc>
        <w:tc>
          <w:tcPr>
            <w:tcW w:w="2131" w:type="dxa"/>
          </w:tcPr>
          <w:p>
            <w:pPr>
              <w:ind w:left="210" w:hanging="210" w:hangingChars="100"/>
              <w:rPr>
                <w:rFonts w:hint="default"/>
                <w:highlight w:val="none"/>
                <w:shd w:val="clear" w:color="auto" w:fill="auto"/>
                <w:lang w:val="en-US" w:eastAsia="zh-CN"/>
              </w:rPr>
            </w:pPr>
            <w:r>
              <w:rPr>
                <w:rFonts w:hint="default"/>
                <w:highlight w:val="none"/>
                <w:shd w:val="clear" w:color="auto" w:fill="auto"/>
                <w:lang w:val="en-US" w:eastAsia="zh-CN"/>
              </w:rPr>
              <w:t>Nvidia</w:t>
            </w:r>
            <w:r>
              <w:rPr>
                <w:rFonts w:hint="eastAsia"/>
                <w:highlight w:val="none"/>
                <w:shd w:val="clear" w:color="auto" w:fill="auto"/>
                <w:lang w:val="en-US" w:eastAsia="zh-CN"/>
              </w:rPr>
              <w:t xml:space="preserve"> </w:t>
            </w:r>
            <w:r>
              <w:rPr>
                <w:rFonts w:hint="default"/>
                <w:highlight w:val="none"/>
                <w:shd w:val="clear" w:color="auto" w:fill="auto"/>
                <w:lang w:val="en-US" w:eastAsia="zh-CN"/>
              </w:rP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OS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yellow"/>
                <w:vertAlign w:val="baseline"/>
                <w:lang w:val="en-US" w:eastAsia="zh-CN"/>
              </w:rPr>
            </w:pPr>
            <w:r>
              <w:rPr>
                <w:rFonts w:hint="default"/>
                <w:highlight w:val="none"/>
                <w:shd w:val="clear" w:color="auto" w:fill="auto"/>
                <w:lang w:val="en-US" w:eastAsia="zh-CN"/>
              </w:rPr>
              <w:t xml:space="preserve">64Bit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none"/>
                <w:shd w:val="clear" w:color="auto" w:fill="auto"/>
                <w:lang w:val="en-US" w:eastAsia="zh-CN"/>
              </w:rPr>
            </w:pPr>
            <w:r>
              <w:rPr>
                <w:rFonts w:hint="default"/>
                <w:highlight w:val="none"/>
                <w:shd w:val="clear" w:color="auto" w:fill="auto"/>
                <w:lang w:val="en-US" w:eastAsia="zh-CN"/>
              </w:rP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Networks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yellow"/>
                <w:vertAlign w:val="baseline"/>
                <w:lang w:val="en-US" w:eastAsia="zh-CN"/>
              </w:rPr>
            </w:pPr>
            <w:r>
              <w:rPr>
                <w:rFonts w:hint="default"/>
                <w:highlight w:val="none"/>
                <w:shd w:val="clear" w:color="auto" w:fill="auto"/>
                <w:lang w:val="en-US" w:eastAsia="zh-CN"/>
              </w:rPr>
              <w:t xml:space="preserve">Network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none"/>
                <w:shd w:val="clear" w:color="auto" w:fill="auto"/>
                <w:lang w:val="en-US" w:eastAsia="zh-CN"/>
              </w:rPr>
            </w:pPr>
            <w:r>
              <w:rPr>
                <w:rFonts w:hint="default"/>
                <w:highlight w:val="none"/>
                <w:shd w:val="clear" w:color="auto" w:fill="auto"/>
                <w:lang w:val="en-US" w:eastAsia="zh-CN"/>
              </w:rP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Browser</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 xml:space="preserve">Chrome </w:t>
            </w: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Chrome </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测试环境的硬件配置</w:t>
      </w:r>
    </w:p>
    <w:p>
      <w:pPr>
        <w:ind w:firstLine="420" w:firstLineChars="0"/>
        <w:rPr>
          <w:rFonts w:hint="default"/>
          <w:highlight w:val="none"/>
          <w:lang w:val="en-US" w:eastAsia="zh-CN"/>
        </w:rPr>
      </w:pPr>
      <w:r>
        <w:rPr>
          <w:rFonts w:hint="eastAsia"/>
          <w:highlight w:val="none"/>
          <w:lang w:val="en-US" w:eastAsia="zh-CN"/>
        </w:rPr>
        <w:t>我们的优化方法可以将一部分场景渲染所需要的计算力分散给GPU，所以渲染性能有很大的提升。新技术的优化效果和GUP的硬件性能有很大关系。</w:t>
      </w:r>
    </w:p>
    <w:tbl>
      <w:tblPr>
        <w:tblStyle w:val="3"/>
        <w:tblW w:w="7430" w:type="dxa"/>
        <w:jc w:val="center"/>
        <w:shd w:val="clear" w:color="auto" w:fill="auto"/>
        <w:tblLayout w:type="autofit"/>
        <w:tblCellMar>
          <w:top w:w="0" w:type="dxa"/>
          <w:left w:w="0" w:type="dxa"/>
          <w:bottom w:w="0" w:type="dxa"/>
          <w:right w:w="0" w:type="dxa"/>
        </w:tblCellMar>
      </w:tblPr>
      <w:tblGrid>
        <w:gridCol w:w="2280"/>
        <w:gridCol w:w="2120"/>
        <w:gridCol w:w="3030"/>
      </w:tblGrid>
      <w:tr>
        <w:tblPrEx>
          <w:shd w:val="clear" w:color="auto" w:fill="auto"/>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高模</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3039</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15990</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PM处理效果</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2"/>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3"/>
                    <a:stretch>
                      <a:fillRect/>
                    </a:stretch>
                  </pic:blipFill>
                  <pic:spPr>
                    <a:xfrm>
                      <a:off x="0" y="0"/>
                      <a:ext cx="5271770" cy="2094865"/>
                    </a:xfrm>
                    <a:prstGeom prst="rect">
                      <a:avLst/>
                    </a:prstGeom>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ind w:firstLine="420" w:firstLineChars="0"/>
        <w:rPr>
          <w:rFonts w:hint="default"/>
          <w:lang w:val="en-US" w:eastAsia="zh-CN"/>
        </w:rPr>
      </w:pPr>
      <w:r>
        <w:rPr>
          <w:rFonts w:hint="eastAsia"/>
          <w:lang w:val="en-US" w:eastAsia="zh-CN"/>
        </w:rPr>
        <w:t>从以上结果可以明显看出</w:t>
      </w:r>
      <w:r>
        <w:rPr>
          <w:rFonts w:hint="default"/>
          <w:lang w:val="en-US" w:eastAsia="zh-CN"/>
        </w:rPr>
        <w:t>，</w:t>
      </w:r>
      <w:r>
        <w:rPr>
          <w:rFonts w:hint="eastAsia"/>
          <w:lang w:val="en-US" w:eastAsia="zh-CN"/>
        </w:rPr>
        <w:t>新</w:t>
      </w:r>
      <w:r>
        <w:rPr>
          <w:rFonts w:hint="default"/>
          <w:lang w:val="en-US" w:eastAsia="zh-CN"/>
        </w:rPr>
        <w:t>的方法优于先前的方法。</w:t>
      </w:r>
      <w:r>
        <w:rPr>
          <w:rFonts w:hint="eastAsia"/>
          <w:lang w:val="en-US" w:eastAsia="zh-CN"/>
        </w:rPr>
        <w:t>虽然在人数较少时新的方法表现不是很理想，但随着场景中人数的增加，轻量化处理后的优越性就体现了出来，新的方法可以达到十万人基本，但是传统的方法只能进行百人基本的渲染</w:t>
      </w:r>
      <w:r>
        <w:rPr>
          <w:rFonts w:hint="default"/>
          <w:lang w:val="en-US" w:eastAsia="zh-CN"/>
        </w:rPr>
        <w:t>。该框架确实可以满足</w:t>
      </w:r>
      <w:r>
        <w:rPr>
          <w:rFonts w:hint="eastAsia"/>
          <w:highlight w:val="none"/>
          <w:lang w:val="en-US" w:eastAsia="zh-CN"/>
        </w:rPr>
        <w:t>大规模多人在线webVR会议的千人级别渲染</w:t>
      </w:r>
      <w:r>
        <w:rPr>
          <w:rFonts w:hint="default"/>
          <w:lang w:val="en-US" w:eastAsia="zh-CN"/>
        </w:rPr>
        <w:t>要求。</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8.结论</w:t>
      </w:r>
    </w:p>
    <w:p>
      <w:pPr>
        <w:ind w:firstLine="420" w:firstLineChars="0"/>
        <w:rPr>
          <w:rFonts w:hint="eastAsia"/>
          <w:highlight w:val="none"/>
          <w:lang w:val="en-US" w:eastAsia="zh-CN"/>
        </w:rPr>
      </w:pPr>
      <w:r>
        <w:rPr>
          <w:rFonts w:hint="eastAsia"/>
          <w:highlight w:val="none"/>
          <w:lang w:val="en-US" w:eastAsia="zh-CN"/>
        </w:rPr>
        <w:t>在本研究中，我们提出了对模型的轻量化处理、传输和渲染的一整套解决方案，以解决在大规模多人在线webVR会议中遇到的挑战。 提出的解决方案满足了轻量化、多样性的需要。</w:t>
      </w:r>
    </w:p>
    <w:p>
      <w:pPr>
        <w:ind w:firstLine="420" w:firstLineChars="0"/>
        <w:rPr>
          <w:rFonts w:hint="default"/>
          <w:highlight w:val="none"/>
          <w:lang w:val="en-US" w:eastAsia="zh-CN"/>
        </w:rPr>
      </w:pPr>
      <w:r>
        <w:rPr>
          <w:rFonts w:hint="eastAsia"/>
          <w:highlight w:val="none"/>
          <w:lang w:val="en-US" w:eastAsia="zh-CN"/>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Pr>
        <w:rPr>
          <w:rFonts w:hint="default"/>
          <w:lang w:val="en-US" w:eastAsia="zh-CN"/>
        </w:rPr>
      </w:pPr>
    </w:p>
    <w:p>
      <w:pPr>
        <w:numPr>
          <w:ilvl w:val="0"/>
          <w:numId w:val="0"/>
        </w:numPr>
      </w:pPr>
      <w:r>
        <w:rPr>
          <w:rFonts w:hint="eastAsia"/>
          <w:lang w:val="en-US" w:eastAsia="zh-CN"/>
        </w:rPr>
        <w:t>9.</w:t>
      </w: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6"/>
        </w:rPr>
        <w:t>http://www.vswork.com/</w:t>
      </w:r>
      <w:r>
        <w:rPr>
          <w:rStyle w:val="6"/>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6"/>
        </w:rPr>
        <w:t>https://hubs.mozilla.com/</w:t>
      </w:r>
      <w:r>
        <w:rPr>
          <w:rStyle w:val="6"/>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53150F8"/>
    <w:rsid w:val="28265449"/>
    <w:rsid w:val="2B7F0F4B"/>
    <w:rsid w:val="2D346F3A"/>
    <w:rsid w:val="2D6D5584"/>
    <w:rsid w:val="2DAB2C52"/>
    <w:rsid w:val="2EB05A93"/>
    <w:rsid w:val="37A616A1"/>
    <w:rsid w:val="405D0F1A"/>
    <w:rsid w:val="40FE40EE"/>
    <w:rsid w:val="43B66EB3"/>
    <w:rsid w:val="43BA1321"/>
    <w:rsid w:val="44094EAA"/>
    <w:rsid w:val="456B31C3"/>
    <w:rsid w:val="45F23A0E"/>
    <w:rsid w:val="4A90526E"/>
    <w:rsid w:val="4AB472A2"/>
    <w:rsid w:val="4D6E7AD8"/>
    <w:rsid w:val="4E044C2B"/>
    <w:rsid w:val="4F780638"/>
    <w:rsid w:val="506C1D77"/>
    <w:rsid w:val="510D0B40"/>
    <w:rsid w:val="51B64559"/>
    <w:rsid w:val="544B7BA8"/>
    <w:rsid w:val="572C4429"/>
    <w:rsid w:val="59155FD7"/>
    <w:rsid w:val="5CC37C15"/>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 w:type="paragraph" w:styleId="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2021-02-16T13:05:21Z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